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SCHEDULE 14A</w:t>
      </w:r>
    </w:p>
    <w:p>
      <w:pPr>
        <w:spacing w:after="0" w:line="113"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the Securities Exchange Act of 1934 (Amendment No.     )</w:t>
      </w:r>
    </w:p>
    <w:p>
      <w:pPr>
        <w:spacing w:after="0" w:line="70"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760"/>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7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2"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13"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43180</wp:posOffset>
            </wp:positionV>
            <wp:extent cx="5829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8"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254635</wp:posOffset>
            </wp:positionV>
            <wp:extent cx="5829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ind w:left="760"/>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1120" w:hanging="358"/>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120" w:hanging="358"/>
        <w:spacing w:after="0"/>
        <w:tabs>
          <w:tab w:leader="none" w:pos="11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4424045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142875</wp:posOffset>
            </wp:positionV>
            <wp:extent cx="1885950"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60" w:right="2560"/>
        <w:spacing w:after="0" w:line="235" w:lineRule="auto"/>
        <w:rPr>
          <w:sz w:val="20"/>
          <w:szCs w:val="20"/>
          <w:color w:val="auto"/>
        </w:rPr>
      </w:pPr>
      <w:r>
        <w:rPr>
          <w:rFonts w:ascii="Arial" w:cs="Arial" w:eastAsia="Arial" w:hAnsi="Arial"/>
          <w:sz w:val="54"/>
          <w:szCs w:val="54"/>
          <w:color w:val="002453"/>
        </w:rPr>
        <w:t>Notice of Annual Meeting of Stockholders</w:t>
      </w:r>
    </w:p>
    <w:p>
      <w:pPr>
        <w:spacing w:after="0" w:line="75" w:lineRule="exact"/>
        <w:rPr>
          <w:sz w:val="20"/>
          <w:szCs w:val="20"/>
          <w:color w:val="auto"/>
        </w:rPr>
      </w:pPr>
    </w:p>
    <w:p>
      <w:pPr>
        <w:ind w:left="760"/>
        <w:spacing w:after="0" w:line="257" w:lineRule="auto"/>
        <w:rPr>
          <w:sz w:val="20"/>
          <w:szCs w:val="20"/>
          <w:color w:val="auto"/>
        </w:rPr>
      </w:pPr>
      <w:r>
        <w:rPr>
          <w:rFonts w:ascii="Arial" w:cs="Arial" w:eastAsia="Arial" w:hAnsi="Arial"/>
          <w:sz w:val="18"/>
          <w:szCs w:val="18"/>
          <w:color w:val="auto"/>
        </w:rPr>
        <w:t>Notice is hereby given that the 2023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of Virtu Financial,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Virtu</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will be held on Tuesday, June 13, 2023, at 9:00 a.m. (Eastern Time). The Annual Meeting will be held in a virtual meeting format only. You can attend the Annual Meeting online, vote your shares electronically and submit your questions during the Annual Meeting, by visiting www.virtualshareholdermeeting.com/VIRT2023. You will need to have your 16-Digit Control Number included on your Notice or your proxy card (if you received a printed copy of the proxy materials) to join the Annual Meeting.</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holding the meeting for the following purposes:</w:t>
      </w:r>
    </w:p>
    <w:p>
      <w:pPr>
        <w:spacing w:after="0" w:line="117" w:lineRule="exact"/>
        <w:rPr>
          <w:sz w:val="20"/>
          <w:szCs w:val="20"/>
          <w:color w:val="auto"/>
        </w:rPr>
      </w:pPr>
    </w:p>
    <w:p>
      <w:pPr>
        <w:ind w:left="1200" w:right="20" w:hanging="222"/>
        <w:spacing w:after="0" w:line="233"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elect three directors to our board of directors, each to serve as a Class II director for a term of three years expiring at the annual meeting of stockholders to be held in 2026 and until such director’s successor has been duly elected and qualified;</w:t>
      </w:r>
    </w:p>
    <w:p>
      <w:pPr>
        <w:spacing w:after="0" w:line="122" w:lineRule="exact"/>
        <w:rPr>
          <w:rFonts w:ascii="Arial" w:cs="Arial" w:eastAsia="Arial" w:hAnsi="Arial"/>
          <w:sz w:val="22"/>
          <w:szCs w:val="22"/>
          <w:b w:val="1"/>
          <w:bCs w:val="1"/>
          <w:color w:val="00C08A"/>
        </w:rPr>
      </w:pPr>
    </w:p>
    <w:p>
      <w:pPr>
        <w:ind w:left="1200" w:right="540" w:hanging="222"/>
        <w:spacing w:after="0" w:line="225"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108" w:lineRule="exact"/>
        <w:rPr>
          <w:rFonts w:ascii="Arial" w:cs="Arial" w:eastAsia="Arial" w:hAnsi="Arial"/>
          <w:sz w:val="22"/>
          <w:szCs w:val="22"/>
          <w:b w:val="1"/>
          <w:bCs w:val="1"/>
          <w:color w:val="00C08A"/>
        </w:rPr>
      </w:pPr>
    </w:p>
    <w:p>
      <w:pPr>
        <w:ind w:left="1200" w:right="280" w:hanging="222"/>
        <w:spacing w:after="0" w:line="225"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ratify the appointment of PricewaterhouseCoopers LLP as our independent registered public accounting firm for the fiscal year ending December 31, 2023;</w:t>
      </w:r>
    </w:p>
    <w:p>
      <w:pPr>
        <w:spacing w:after="0" w:line="108" w:lineRule="exact"/>
        <w:rPr>
          <w:rFonts w:ascii="Arial" w:cs="Arial" w:eastAsia="Arial" w:hAnsi="Arial"/>
          <w:sz w:val="22"/>
          <w:szCs w:val="22"/>
          <w:b w:val="1"/>
          <w:bCs w:val="1"/>
          <w:color w:val="00C08A"/>
        </w:rPr>
      </w:pPr>
    </w:p>
    <w:p>
      <w:pPr>
        <w:ind w:left="1200" w:right="780" w:hanging="222"/>
        <w:spacing w:after="0" w:line="225"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approve an amendment to the Company’s Certificate of Incorporation to reflect new Delaware law provisions regarding officer exculpation; and</w:t>
      </w:r>
    </w:p>
    <w:p>
      <w:pPr>
        <w:spacing w:after="0" w:line="122" w:lineRule="exact"/>
        <w:rPr>
          <w:rFonts w:ascii="Arial" w:cs="Arial" w:eastAsia="Arial" w:hAnsi="Arial"/>
          <w:sz w:val="22"/>
          <w:szCs w:val="22"/>
          <w:b w:val="1"/>
          <w:bCs w:val="1"/>
          <w:color w:val="00C08A"/>
        </w:rPr>
      </w:pPr>
    </w:p>
    <w:p>
      <w:pPr>
        <w:ind w:left="1200" w:right="540" w:hanging="222"/>
        <w:spacing w:after="0" w:line="225"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transact any other business as may properly come before the Annual Meeting or any adjournment or postponement thereof.</w:t>
      </w:r>
    </w:p>
    <w:p>
      <w:pPr>
        <w:spacing w:after="0" w:line="87" w:lineRule="exact"/>
        <w:rPr>
          <w:sz w:val="20"/>
          <w:szCs w:val="20"/>
          <w:color w:val="auto"/>
        </w:rPr>
      </w:pPr>
    </w:p>
    <w:p>
      <w:pPr>
        <w:ind w:left="760" w:right="400"/>
        <w:spacing w:after="0" w:line="287" w:lineRule="auto"/>
        <w:rPr>
          <w:sz w:val="20"/>
          <w:szCs w:val="20"/>
          <w:color w:val="auto"/>
        </w:rPr>
      </w:pPr>
      <w:r>
        <w:rPr>
          <w:rFonts w:ascii="Arial" w:cs="Arial" w:eastAsia="Arial" w:hAnsi="Arial"/>
          <w:sz w:val="18"/>
          <w:szCs w:val="18"/>
          <w:color w:val="auto"/>
        </w:rPr>
        <w:t>Only stockholders of record as of the close of business on April 18, 2023 (the “</w:t>
      </w:r>
      <w:r>
        <w:rPr>
          <w:rFonts w:ascii="Arial" w:cs="Arial" w:eastAsia="Arial" w:hAnsi="Arial"/>
          <w:sz w:val="18"/>
          <w:szCs w:val="18"/>
          <w:b w:val="1"/>
          <w:bCs w:val="1"/>
          <w:color w:val="auto"/>
        </w:rPr>
        <w:t>Record Date</w:t>
      </w:r>
      <w:r>
        <w:rPr>
          <w:rFonts w:ascii="Arial" w:cs="Arial" w:eastAsia="Arial" w:hAnsi="Arial"/>
          <w:sz w:val="18"/>
          <w:szCs w:val="18"/>
          <w:color w:val="auto"/>
        </w:rPr>
        <w:t>”) will be entitled to attend or vote at the Annual Meeting or any adjournment or postponement thereof.</w:t>
      </w:r>
    </w:p>
    <w:p>
      <w:pPr>
        <w:spacing w:after="0" w:line="67" w:lineRule="exact"/>
        <w:rPr>
          <w:sz w:val="20"/>
          <w:szCs w:val="20"/>
          <w:color w:val="auto"/>
        </w:rPr>
      </w:pPr>
    </w:p>
    <w:p>
      <w:pPr>
        <w:ind w:left="760" w:right="360"/>
        <w:spacing w:after="0" w:line="261" w:lineRule="auto"/>
        <w:rPr>
          <w:sz w:val="20"/>
          <w:szCs w:val="20"/>
          <w:color w:val="auto"/>
        </w:rPr>
      </w:pPr>
      <w:r>
        <w:rPr>
          <w:rFonts w:ascii="Arial" w:cs="Arial" w:eastAsia="Arial" w:hAnsi="Arial"/>
          <w:sz w:val="18"/>
          <w:szCs w:val="18"/>
          <w:color w:val="auto"/>
        </w:rPr>
        <w:t>To make it easy to vote, Internet and telephone voting are available. The instructions for voting are on the proxy card.</w:t>
      </w:r>
    </w:p>
    <w:p>
      <w:pPr>
        <w:spacing w:after="0" w:line="90" w:lineRule="exact"/>
        <w:rPr>
          <w:sz w:val="20"/>
          <w:szCs w:val="20"/>
          <w:color w:val="auto"/>
        </w:rPr>
      </w:pPr>
    </w:p>
    <w:p>
      <w:pPr>
        <w:ind w:left="760" w:right="280"/>
        <w:spacing w:after="0" w:line="261" w:lineRule="auto"/>
        <w:rPr>
          <w:sz w:val="20"/>
          <w:szCs w:val="20"/>
          <w:color w:val="auto"/>
        </w:rPr>
      </w:pPr>
      <w:r>
        <w:rPr>
          <w:rFonts w:ascii="Arial" w:cs="Arial" w:eastAsia="Arial" w:hAnsi="Arial"/>
          <w:sz w:val="18"/>
          <w:szCs w:val="18"/>
          <w:color w:val="auto"/>
        </w:rPr>
        <w:t>If you hold your shares through a bank, broker or other holder of record, please follow the voting instructions you received from the holder of record.</w:t>
      </w:r>
    </w:p>
    <w:p>
      <w:pPr>
        <w:spacing w:after="0" w:line="68" w:lineRule="exact"/>
        <w:rPr>
          <w:sz w:val="20"/>
          <w:szCs w:val="20"/>
          <w:color w:val="auto"/>
        </w:rPr>
      </w:pPr>
    </w:p>
    <w:p>
      <w:pPr>
        <w:ind w:left="760" w:right="140"/>
        <w:spacing w:after="0" w:line="282" w:lineRule="auto"/>
        <w:rPr>
          <w:sz w:val="20"/>
          <w:szCs w:val="20"/>
          <w:color w:val="auto"/>
        </w:rPr>
      </w:pPr>
      <w:r>
        <w:rPr>
          <w:rFonts w:ascii="Arial" w:cs="Arial" w:eastAsia="Arial" w:hAnsi="Arial"/>
          <w:sz w:val="17"/>
          <w:szCs w:val="17"/>
          <w:b w:val="1"/>
          <w:bCs w:val="1"/>
          <w:color w:val="auto"/>
        </w:rPr>
        <w:t>Your vote is important. Whether or not you plan to attend the Annual Meeting, we hope you will vote your shares as soon as possible. Please mark, sign, date and return the accompanying proxy card or voting instruction form in the postage paid envelope or instruct us by telephone or via the Internet as to how you would like your shares voted. Instructions are included on the proxy card and voting instruction form.</w:t>
      </w:r>
    </w:p>
    <w:p>
      <w:pPr>
        <w:spacing w:after="0" w:line="7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40640</wp:posOffset>
            </wp:positionV>
            <wp:extent cx="2914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Michael T. Viola</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Chairman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27, 2022</w:t>
      </w:r>
    </w:p>
    <w:p>
      <w:pPr>
        <w:spacing w:after="0" w:line="311" w:lineRule="exact"/>
        <w:rPr>
          <w:sz w:val="20"/>
          <w:szCs w:val="20"/>
          <w:color w:val="auto"/>
        </w:rPr>
      </w:pPr>
    </w:p>
    <w:p>
      <w:pPr>
        <w:ind w:left="760" w:right="160"/>
        <w:spacing w:after="0" w:line="268"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JUNE 13, 2023: Virtu’s Proxy Statement and Annual Report on Form 10-K for the fiscal year ended December 31, 2022 are also available at https://materials.proxyvote.com/.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530225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131" w:right="139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p>
    <w:p>
      <w:pPr>
        <w:spacing w:after="0" w:line="202" w:lineRule="exact"/>
        <w:rPr>
          <w:sz w:val="20"/>
          <w:szCs w:val="20"/>
          <w:color w:val="auto"/>
        </w:rPr>
      </w:pPr>
    </w:p>
    <w:p>
      <w:pPr>
        <w:ind w:left="760"/>
        <w:spacing w:after="0" w:line="268" w:lineRule="auto"/>
        <w:rPr>
          <w:sz w:val="20"/>
          <w:szCs w:val="20"/>
          <w:color w:val="auto"/>
        </w:rPr>
      </w:pPr>
      <w:r>
        <w:rPr>
          <w:rFonts w:ascii="Arial" w:cs="Arial" w:eastAsia="Arial" w:hAnsi="Arial"/>
          <w:sz w:val="17"/>
          <w:szCs w:val="17"/>
          <w:b w:val="1"/>
          <w:bCs w:val="1"/>
          <w:color w:val="auto"/>
        </w:rPr>
        <w:t>CAUTIONARY NOTICE REGARDING FORWARD-LOOKING STATEMENTS: This Proxy Statement may contain “forward-looking statements” made pursuant to the safe harbor provisions of the Private Securities Litigation Reform Act of 1995. Statements regarding Virtu’s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 faith belief with respect to future events, and are subject to risks and uncertainties, some or all of which are not predictable or within Virtu’s control, that could cause actual performance or results to differ materially from those expressed in the statements. For a discussion of the risks and uncertainties which could cause actual results to differ from those contained in forward-looking statements, please see Virtu’s Securities and Exchange Commission (“SEC”) filings, including but not limited to the information contained under the heading “Risk Factors” in Virtu’s Annual Report on Form 10-K, Virtu’s Quarterly Reports on Form 10-Q and Virtu’s Current Reports on Form 8-K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6072505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131" w:right="139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Table of Contents</w:t>
      </w:r>
    </w:p>
    <w:p>
      <w:pPr>
        <w:spacing w:after="0" w:line="133" w:lineRule="exact"/>
        <w:rPr>
          <w:sz w:val="20"/>
          <w:szCs w:val="20"/>
          <w:color w:val="auto"/>
        </w:rPr>
      </w:pPr>
    </w:p>
    <w:tbl>
      <w:tblPr>
        <w:tblLayout w:type="fixed"/>
        <w:tblInd w:w="760" w:type="dxa"/>
        <w:tblCellMar>
          <w:top w:w="0" w:type="dxa"/>
          <w:left w:w="0" w:type="dxa"/>
          <w:bottom w:w="0" w:type="dxa"/>
          <w:right w:w="0" w:type="dxa"/>
        </w:tblCellMar>
      </w:tblPr>
      <w:tr>
        <w:trPr>
          <w:trHeight w:val="250"/>
        </w:trPr>
        <w:tc>
          <w:tcPr>
            <w:tcW w:w="8580" w:type="dxa"/>
            <w:vAlign w:val="bottom"/>
            <w:tcBorders>
              <w:top w:val="single" w:sz="8" w:color="00C08A"/>
            </w:tcBorders>
            <w:gridSpan w:val="10"/>
            <w:shd w:val="clear" w:color="auto" w:fill="CCEEFF"/>
          </w:tcPr>
          <w:p>
            <w:pPr>
              <w:spacing w:after="0"/>
              <w:rPr>
                <w:sz w:val="20"/>
                <w:szCs w:val="20"/>
                <w:color w:val="auto"/>
              </w:rPr>
            </w:pPr>
            <w:r>
              <w:rPr>
                <w:rFonts w:ascii="Arial" w:cs="Arial" w:eastAsia="Arial" w:hAnsi="Arial"/>
                <w:sz w:val="18"/>
                <w:szCs w:val="18"/>
                <w:color w:val="0000EE"/>
              </w:rPr>
              <w:t>PROXY STATEMENT SUMMARY</w:t>
            </w:r>
          </w:p>
        </w:tc>
        <w:tc>
          <w:tcPr>
            <w:tcW w:w="320" w:type="dxa"/>
            <w:vAlign w:val="bottom"/>
            <w:tcBorders>
              <w:top w:val="single" w:sz="8" w:color="00C08A"/>
            </w:tcBorders>
            <w:shd w:val="clear" w:color="auto" w:fill="CCEEFF"/>
          </w:tcPr>
          <w:p>
            <w:pPr>
              <w:spacing w:after="0"/>
              <w:rPr>
                <w:sz w:val="21"/>
                <w:szCs w:val="21"/>
                <w:color w:val="auto"/>
              </w:rPr>
            </w:pP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gridSpan w:val="3"/>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80" w:type="dxa"/>
            <w:vAlign w:val="bottom"/>
            <w:tcBorders>
              <w:top w:val="single" w:sz="8" w:color="CCEEFF"/>
              <w:bottom w:val="single" w:sz="8" w:color="00C08A"/>
            </w:tcBorders>
            <w:shd w:val="clear" w:color="auto" w:fill="CCEEFF"/>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top w:val="single" w:sz="8" w:color="CCEEFF"/>
              <w:bottom w:val="single" w:sz="8" w:color="00C08A"/>
            </w:tcBorders>
            <w:shd w:val="clear" w:color="auto" w:fill="CCEEFF"/>
          </w:tcPr>
          <w:p>
            <w:pPr>
              <w:spacing w:after="0"/>
              <w:rPr>
                <w:sz w:val="3"/>
                <w:szCs w:val="3"/>
                <w:color w:val="auto"/>
              </w:rPr>
            </w:pPr>
          </w:p>
        </w:tc>
        <w:tc>
          <w:tcPr>
            <w:tcW w:w="300" w:type="dxa"/>
            <w:vAlign w:val="bottom"/>
            <w:tcBorders>
              <w:top w:val="single" w:sz="8" w:color="CCEEFF"/>
              <w:bottom w:val="single" w:sz="8" w:color="00C08A"/>
            </w:tcBorders>
            <w:shd w:val="clear" w:color="auto" w:fill="CCEEFF"/>
          </w:tcPr>
          <w:p>
            <w:pPr>
              <w:spacing w:after="0"/>
              <w:rPr>
                <w:sz w:val="3"/>
                <w:szCs w:val="3"/>
                <w:color w:val="auto"/>
              </w:rPr>
            </w:pPr>
          </w:p>
        </w:tc>
        <w:tc>
          <w:tcPr>
            <w:tcW w:w="880" w:type="dxa"/>
            <w:vAlign w:val="bottom"/>
            <w:tcBorders>
              <w:top w:val="single" w:sz="8" w:color="CCEEFF"/>
              <w:bottom w:val="single" w:sz="8" w:color="00C08A"/>
            </w:tcBorders>
            <w:shd w:val="clear" w:color="auto" w:fill="CCEEFF"/>
          </w:tcPr>
          <w:p>
            <w:pPr>
              <w:spacing w:after="0"/>
              <w:rPr>
                <w:sz w:val="3"/>
                <w:szCs w:val="3"/>
                <w:color w:val="auto"/>
              </w:rPr>
            </w:pPr>
          </w:p>
        </w:tc>
        <w:tc>
          <w:tcPr>
            <w:tcW w:w="260" w:type="dxa"/>
            <w:vAlign w:val="bottom"/>
            <w:tcBorders>
              <w:top w:val="single" w:sz="8" w:color="CCEEFF"/>
              <w:bottom w:val="single" w:sz="8" w:color="00C08A"/>
            </w:tcBorders>
            <w:shd w:val="clear" w:color="auto" w:fill="CCEEFF"/>
          </w:tcPr>
          <w:p>
            <w:pPr>
              <w:spacing w:after="0"/>
              <w:rPr>
                <w:sz w:val="3"/>
                <w:szCs w:val="3"/>
                <w:color w:val="auto"/>
              </w:rPr>
            </w:pPr>
          </w:p>
        </w:tc>
        <w:tc>
          <w:tcPr>
            <w:tcW w:w="520" w:type="dxa"/>
            <w:vAlign w:val="bottom"/>
            <w:tcBorders>
              <w:top w:val="single" w:sz="8" w:color="CCEEFF"/>
              <w:bottom w:val="single" w:sz="8" w:color="00C08A"/>
            </w:tcBorders>
            <w:shd w:val="clear" w:color="auto" w:fill="CCEEFF"/>
          </w:tcPr>
          <w:p>
            <w:pPr>
              <w:spacing w:after="0"/>
              <w:rPr>
                <w:sz w:val="3"/>
                <w:szCs w:val="3"/>
                <w:color w:val="auto"/>
              </w:rPr>
            </w:pPr>
          </w:p>
        </w:tc>
        <w:tc>
          <w:tcPr>
            <w:tcW w:w="580" w:type="dxa"/>
            <w:vAlign w:val="bottom"/>
            <w:tcBorders>
              <w:top w:val="single" w:sz="8" w:color="CCEEFF"/>
              <w:bottom w:val="single" w:sz="8" w:color="00C08A"/>
            </w:tcBorders>
            <w:shd w:val="clear" w:color="auto" w:fill="CCEEFF"/>
          </w:tcPr>
          <w:p>
            <w:pPr>
              <w:spacing w:after="0"/>
              <w:rPr>
                <w:sz w:val="3"/>
                <w:szCs w:val="3"/>
                <w:color w:val="auto"/>
              </w:rPr>
            </w:pPr>
          </w:p>
        </w:tc>
        <w:tc>
          <w:tcPr>
            <w:tcW w:w="3300" w:type="dxa"/>
            <w:vAlign w:val="bottom"/>
            <w:tcBorders>
              <w:top w:val="single" w:sz="8" w:color="CCEEFF"/>
              <w:bottom w:val="single" w:sz="8" w:color="00C08A"/>
            </w:tcBorders>
            <w:shd w:val="clear" w:color="auto" w:fill="CCEEFF"/>
          </w:tcPr>
          <w:p>
            <w:pPr>
              <w:spacing w:after="0"/>
              <w:rPr>
                <w:sz w:val="3"/>
                <w:szCs w:val="3"/>
                <w:color w:val="auto"/>
              </w:rPr>
            </w:pPr>
          </w:p>
        </w:tc>
        <w:tc>
          <w:tcPr>
            <w:tcW w:w="220" w:type="dxa"/>
            <w:vAlign w:val="bottom"/>
            <w:tcBorders>
              <w:top w:val="single" w:sz="8" w:color="CCEEFF"/>
              <w:bottom w:val="single" w:sz="8" w:color="00C08A"/>
            </w:tcBorders>
            <w:shd w:val="clear" w:color="auto" w:fill="CCEEFF"/>
          </w:tcPr>
          <w:p>
            <w:pPr>
              <w:spacing w:after="0"/>
              <w:rPr>
                <w:sz w:val="3"/>
                <w:szCs w:val="3"/>
                <w:color w:val="auto"/>
              </w:rPr>
            </w:pPr>
          </w:p>
        </w:tc>
        <w:tc>
          <w:tcPr>
            <w:tcW w:w="940" w:type="dxa"/>
            <w:vAlign w:val="bottom"/>
            <w:tcBorders>
              <w:top w:val="single" w:sz="8" w:color="CCEEFF"/>
              <w:bottom w:val="single" w:sz="8" w:color="00C08A"/>
            </w:tcBorders>
            <w:shd w:val="clear" w:color="auto" w:fill="CCEEFF"/>
          </w:tcPr>
          <w:p>
            <w:pPr>
              <w:spacing w:after="0"/>
              <w:rPr>
                <w:sz w:val="3"/>
                <w:szCs w:val="3"/>
                <w:color w:val="auto"/>
              </w:rPr>
            </w:pPr>
          </w:p>
        </w:tc>
        <w:tc>
          <w:tcPr>
            <w:tcW w:w="320" w:type="dxa"/>
            <w:vAlign w:val="bottom"/>
            <w:tcBorders>
              <w:top w:val="single" w:sz="8" w:color="CCEEFF"/>
              <w:bottom w:val="single" w:sz="8" w:color="00C08A"/>
            </w:tcBorders>
            <w:shd w:val="clear" w:color="auto" w:fill="CCEEFF"/>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top w:val="single" w:sz="8" w:color="CCEEFF"/>
              <w:bottom w:val="single" w:sz="8" w:color="00C08A"/>
            </w:tcBorders>
            <w:shd w:val="clear" w:color="auto" w:fill="CCEEFF"/>
          </w:tcPr>
          <w:p>
            <w:pPr>
              <w:spacing w:after="0"/>
              <w:rPr>
                <w:sz w:val="3"/>
                <w:szCs w:val="3"/>
                <w:color w:val="auto"/>
              </w:rPr>
            </w:pPr>
          </w:p>
        </w:tc>
        <w:tc>
          <w:tcPr>
            <w:tcW w:w="20" w:type="dxa"/>
            <w:vAlign w:val="bottom"/>
            <w:tcBorders>
              <w:top w:val="single" w:sz="8" w:color="CCEEFF"/>
              <w:bottom w:val="single" w:sz="8" w:color="00C08A"/>
            </w:tcBorders>
            <w:shd w:val="clear" w:color="auto" w:fill="CCEEFF"/>
          </w:tcPr>
          <w:p>
            <w:pPr>
              <w:spacing w:after="0"/>
              <w:rPr>
                <w:sz w:val="3"/>
                <w:szCs w:val="3"/>
                <w:color w:val="auto"/>
              </w:rPr>
            </w:pPr>
          </w:p>
        </w:tc>
        <w:tc>
          <w:tcPr>
            <w:tcW w:w="100" w:type="dxa"/>
            <w:vAlign w:val="bottom"/>
            <w:tcBorders>
              <w:top w:val="single" w:sz="8" w:color="CCEEFF"/>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BOARD DIVERSITY</w:t>
            </w:r>
          </w:p>
        </w:tc>
        <w:tc>
          <w:tcPr>
            <w:tcW w:w="320" w:type="dxa"/>
            <w:vAlign w:val="bottom"/>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80" w:type="dxa"/>
            <w:vAlign w:val="bottom"/>
            <w:tcBorders>
              <w:bottom w:val="single" w:sz="8" w:color="00C08A"/>
            </w:tcBorders>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bottom w:val="single" w:sz="8" w:color="00C08A"/>
            </w:tcBorders>
          </w:tcPr>
          <w:p>
            <w:pPr>
              <w:spacing w:after="0"/>
              <w:rPr>
                <w:sz w:val="3"/>
                <w:szCs w:val="3"/>
                <w:color w:val="auto"/>
              </w:rPr>
            </w:pPr>
          </w:p>
        </w:tc>
        <w:tc>
          <w:tcPr>
            <w:tcW w:w="300" w:type="dxa"/>
            <w:vAlign w:val="bottom"/>
            <w:tcBorders>
              <w:bottom w:val="single" w:sz="8" w:color="00C08A"/>
            </w:tcBorders>
          </w:tcPr>
          <w:p>
            <w:pPr>
              <w:spacing w:after="0"/>
              <w:rPr>
                <w:sz w:val="3"/>
                <w:szCs w:val="3"/>
                <w:color w:val="auto"/>
              </w:rPr>
            </w:pPr>
          </w:p>
        </w:tc>
        <w:tc>
          <w:tcPr>
            <w:tcW w:w="880" w:type="dxa"/>
            <w:vAlign w:val="bottom"/>
            <w:tcBorders>
              <w:bottom w:val="single" w:sz="8" w:color="00C08A"/>
            </w:tcBorders>
          </w:tcPr>
          <w:p>
            <w:pPr>
              <w:spacing w:after="0"/>
              <w:rPr>
                <w:sz w:val="3"/>
                <w:szCs w:val="3"/>
                <w:color w:val="auto"/>
              </w:rPr>
            </w:pPr>
          </w:p>
        </w:tc>
        <w:tc>
          <w:tcPr>
            <w:tcW w:w="26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300" w:type="dxa"/>
            <w:vAlign w:val="bottom"/>
            <w:tcBorders>
              <w:bottom w:val="single" w:sz="8" w:color="00C08A"/>
            </w:tcBorders>
          </w:tcPr>
          <w:p>
            <w:pPr>
              <w:spacing w:after="0"/>
              <w:rPr>
                <w:sz w:val="3"/>
                <w:szCs w:val="3"/>
                <w:color w:val="auto"/>
              </w:rPr>
            </w:pPr>
          </w:p>
        </w:tc>
        <w:tc>
          <w:tcPr>
            <w:tcW w:w="220" w:type="dxa"/>
            <w:vAlign w:val="bottom"/>
            <w:tcBorders>
              <w:bottom w:val="single" w:sz="8" w:color="00C08A"/>
            </w:tcBorders>
          </w:tcPr>
          <w:p>
            <w:pPr>
              <w:spacing w:after="0"/>
              <w:rPr>
                <w:sz w:val="3"/>
                <w:szCs w:val="3"/>
                <w:color w:val="auto"/>
              </w:rPr>
            </w:pPr>
          </w:p>
        </w:tc>
        <w:tc>
          <w:tcPr>
            <w:tcW w:w="940" w:type="dxa"/>
            <w:vAlign w:val="bottom"/>
            <w:tcBorders>
              <w:bottom w:val="single" w:sz="8" w:color="00C08A"/>
            </w:tcBorders>
          </w:tcPr>
          <w:p>
            <w:pPr>
              <w:spacing w:after="0"/>
              <w:rPr>
                <w:sz w:val="3"/>
                <w:szCs w:val="3"/>
                <w:color w:val="auto"/>
              </w:rPr>
            </w:pPr>
          </w:p>
        </w:tc>
        <w:tc>
          <w:tcPr>
            <w:tcW w:w="320" w:type="dxa"/>
            <w:vAlign w:val="bottom"/>
            <w:tcBorders>
              <w:bottom w:val="single" w:sz="8" w:color="00C08A"/>
            </w:tcBorders>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PROPOSAL 1: ELECTION OF DIRECTORS</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 w:type="dxa"/>
            <w:vAlign w:val="bottom"/>
            <w:tcBorders>
              <w:top w:val="single" w:sz="8" w:color="CCEEFF"/>
              <w:bottom w:val="single" w:sz="8" w:color="00C08A"/>
            </w:tcBorders>
            <w:shd w:val="clear" w:color="auto" w:fill="CCEEFF"/>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top w:val="single" w:sz="8" w:color="CCEEFF"/>
              <w:bottom w:val="single" w:sz="8" w:color="00C08A"/>
            </w:tcBorders>
            <w:shd w:val="clear" w:color="auto" w:fill="CCEEFF"/>
          </w:tcPr>
          <w:p>
            <w:pPr>
              <w:spacing w:after="0"/>
              <w:rPr>
                <w:sz w:val="3"/>
                <w:szCs w:val="3"/>
                <w:color w:val="auto"/>
              </w:rPr>
            </w:pPr>
          </w:p>
        </w:tc>
        <w:tc>
          <w:tcPr>
            <w:tcW w:w="300" w:type="dxa"/>
            <w:vAlign w:val="bottom"/>
            <w:tcBorders>
              <w:top w:val="single" w:sz="8" w:color="CCEEFF"/>
              <w:bottom w:val="single" w:sz="8" w:color="00C08A"/>
            </w:tcBorders>
            <w:shd w:val="clear" w:color="auto" w:fill="CCEEFF"/>
          </w:tcPr>
          <w:p>
            <w:pPr>
              <w:spacing w:after="0"/>
              <w:rPr>
                <w:sz w:val="3"/>
                <w:szCs w:val="3"/>
                <w:color w:val="auto"/>
              </w:rPr>
            </w:pPr>
          </w:p>
        </w:tc>
        <w:tc>
          <w:tcPr>
            <w:tcW w:w="880" w:type="dxa"/>
            <w:vAlign w:val="bottom"/>
            <w:tcBorders>
              <w:top w:val="single" w:sz="8" w:color="CCEEFF"/>
              <w:bottom w:val="single" w:sz="8" w:color="00C08A"/>
            </w:tcBorders>
            <w:shd w:val="clear" w:color="auto" w:fill="CCEEFF"/>
          </w:tcPr>
          <w:p>
            <w:pPr>
              <w:spacing w:after="0"/>
              <w:rPr>
                <w:sz w:val="3"/>
                <w:szCs w:val="3"/>
                <w:color w:val="auto"/>
              </w:rPr>
            </w:pPr>
          </w:p>
        </w:tc>
        <w:tc>
          <w:tcPr>
            <w:tcW w:w="260" w:type="dxa"/>
            <w:vAlign w:val="bottom"/>
            <w:tcBorders>
              <w:top w:val="single" w:sz="8" w:color="CCEEFF"/>
              <w:bottom w:val="single" w:sz="8" w:color="00C08A"/>
            </w:tcBorders>
            <w:shd w:val="clear" w:color="auto" w:fill="CCEEFF"/>
          </w:tcPr>
          <w:p>
            <w:pPr>
              <w:spacing w:after="0"/>
              <w:rPr>
                <w:sz w:val="3"/>
                <w:szCs w:val="3"/>
                <w:color w:val="auto"/>
              </w:rPr>
            </w:pPr>
          </w:p>
        </w:tc>
        <w:tc>
          <w:tcPr>
            <w:tcW w:w="520" w:type="dxa"/>
            <w:vAlign w:val="bottom"/>
            <w:tcBorders>
              <w:top w:val="single" w:sz="8" w:color="CCEEFF"/>
              <w:bottom w:val="single" w:sz="8" w:color="00C08A"/>
            </w:tcBorders>
            <w:shd w:val="clear" w:color="auto" w:fill="CCEEFF"/>
          </w:tcPr>
          <w:p>
            <w:pPr>
              <w:spacing w:after="0"/>
              <w:rPr>
                <w:sz w:val="3"/>
                <w:szCs w:val="3"/>
                <w:color w:val="auto"/>
              </w:rPr>
            </w:pPr>
          </w:p>
        </w:tc>
        <w:tc>
          <w:tcPr>
            <w:tcW w:w="580" w:type="dxa"/>
            <w:vAlign w:val="bottom"/>
            <w:tcBorders>
              <w:top w:val="single" w:sz="8" w:color="CCEEFF"/>
              <w:bottom w:val="single" w:sz="8" w:color="00C08A"/>
            </w:tcBorders>
            <w:shd w:val="clear" w:color="auto" w:fill="CCEEFF"/>
          </w:tcPr>
          <w:p>
            <w:pPr>
              <w:spacing w:after="0"/>
              <w:rPr>
                <w:sz w:val="3"/>
                <w:szCs w:val="3"/>
                <w:color w:val="auto"/>
              </w:rPr>
            </w:pPr>
          </w:p>
        </w:tc>
        <w:tc>
          <w:tcPr>
            <w:tcW w:w="3300" w:type="dxa"/>
            <w:vAlign w:val="bottom"/>
            <w:tcBorders>
              <w:top w:val="single" w:sz="8" w:color="CCEEFF"/>
              <w:bottom w:val="single" w:sz="8" w:color="00C08A"/>
            </w:tcBorders>
            <w:shd w:val="clear" w:color="auto" w:fill="CCEEFF"/>
          </w:tcPr>
          <w:p>
            <w:pPr>
              <w:spacing w:after="0"/>
              <w:rPr>
                <w:sz w:val="3"/>
                <w:szCs w:val="3"/>
                <w:color w:val="auto"/>
              </w:rPr>
            </w:pPr>
          </w:p>
        </w:tc>
        <w:tc>
          <w:tcPr>
            <w:tcW w:w="220" w:type="dxa"/>
            <w:vAlign w:val="bottom"/>
            <w:tcBorders>
              <w:top w:val="single" w:sz="8" w:color="CCEEFF"/>
              <w:bottom w:val="single" w:sz="8" w:color="00C08A"/>
            </w:tcBorders>
            <w:shd w:val="clear" w:color="auto" w:fill="CCEEFF"/>
          </w:tcPr>
          <w:p>
            <w:pPr>
              <w:spacing w:after="0"/>
              <w:rPr>
                <w:sz w:val="3"/>
                <w:szCs w:val="3"/>
                <w:color w:val="auto"/>
              </w:rPr>
            </w:pPr>
          </w:p>
        </w:tc>
        <w:tc>
          <w:tcPr>
            <w:tcW w:w="940" w:type="dxa"/>
            <w:vAlign w:val="bottom"/>
            <w:tcBorders>
              <w:top w:val="single" w:sz="8" w:color="CCEEFF"/>
              <w:bottom w:val="single" w:sz="8" w:color="00C08A"/>
            </w:tcBorders>
            <w:shd w:val="clear" w:color="auto" w:fill="CCEEFF"/>
          </w:tcPr>
          <w:p>
            <w:pPr>
              <w:spacing w:after="0"/>
              <w:rPr>
                <w:sz w:val="3"/>
                <w:szCs w:val="3"/>
                <w:color w:val="auto"/>
              </w:rPr>
            </w:pPr>
          </w:p>
        </w:tc>
        <w:tc>
          <w:tcPr>
            <w:tcW w:w="320" w:type="dxa"/>
            <w:vAlign w:val="bottom"/>
            <w:tcBorders>
              <w:top w:val="single" w:sz="8" w:color="CCEEFF"/>
              <w:bottom w:val="single" w:sz="8" w:color="00C08A"/>
            </w:tcBorders>
            <w:shd w:val="clear" w:color="auto" w:fill="CCEEFF"/>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top w:val="single" w:sz="8" w:color="CCEEFF"/>
              <w:bottom w:val="single" w:sz="8" w:color="00C08A"/>
            </w:tcBorders>
            <w:shd w:val="clear" w:color="auto" w:fill="CCEEFF"/>
          </w:tcPr>
          <w:p>
            <w:pPr>
              <w:spacing w:after="0"/>
              <w:rPr>
                <w:sz w:val="3"/>
                <w:szCs w:val="3"/>
                <w:color w:val="auto"/>
              </w:rPr>
            </w:pPr>
          </w:p>
        </w:tc>
        <w:tc>
          <w:tcPr>
            <w:tcW w:w="20" w:type="dxa"/>
            <w:vAlign w:val="bottom"/>
            <w:tcBorders>
              <w:top w:val="single" w:sz="8" w:color="CCEEFF"/>
              <w:bottom w:val="single" w:sz="8" w:color="00C08A"/>
            </w:tcBorders>
            <w:shd w:val="clear" w:color="auto" w:fill="CCEEFF"/>
          </w:tcPr>
          <w:p>
            <w:pPr>
              <w:spacing w:after="0"/>
              <w:rPr>
                <w:sz w:val="3"/>
                <w:szCs w:val="3"/>
                <w:color w:val="auto"/>
              </w:rPr>
            </w:pPr>
          </w:p>
        </w:tc>
        <w:tc>
          <w:tcPr>
            <w:tcW w:w="100" w:type="dxa"/>
            <w:vAlign w:val="bottom"/>
            <w:tcBorders>
              <w:top w:val="single" w:sz="8" w:color="CCEEFF"/>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CORPORATE GOVERNANCE</w:t>
            </w:r>
          </w:p>
        </w:tc>
        <w:tc>
          <w:tcPr>
            <w:tcW w:w="320" w:type="dxa"/>
            <w:vAlign w:val="bottom"/>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tcPr>
          <w:p>
            <w:pPr>
              <w:jc w:val="right"/>
              <w:spacing w:after="0" w:line="196" w:lineRule="exact"/>
              <w:rPr>
                <w:sz w:val="20"/>
                <w:szCs w:val="20"/>
                <w:color w:val="auto"/>
              </w:rPr>
            </w:pPr>
            <w:r>
              <w:rPr>
                <w:rFonts w:ascii="Arial" w:cs="Arial" w:eastAsia="Arial" w:hAnsi="Arial"/>
                <w:sz w:val="18"/>
                <w:szCs w:val="18"/>
                <w:color w:val="0000EE"/>
                <w:w w:val="99"/>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 w:type="dxa"/>
            <w:vAlign w:val="bottom"/>
            <w:tcBorders>
              <w:bottom w:val="single" w:sz="8" w:color="00C08A"/>
            </w:tcBorders>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bottom w:val="single" w:sz="8" w:color="00C08A"/>
            </w:tcBorders>
          </w:tcPr>
          <w:p>
            <w:pPr>
              <w:spacing w:after="0"/>
              <w:rPr>
                <w:sz w:val="3"/>
                <w:szCs w:val="3"/>
                <w:color w:val="auto"/>
              </w:rPr>
            </w:pPr>
          </w:p>
        </w:tc>
        <w:tc>
          <w:tcPr>
            <w:tcW w:w="300" w:type="dxa"/>
            <w:vAlign w:val="bottom"/>
            <w:tcBorders>
              <w:bottom w:val="single" w:sz="8" w:color="00C08A"/>
            </w:tcBorders>
          </w:tcPr>
          <w:p>
            <w:pPr>
              <w:spacing w:after="0"/>
              <w:rPr>
                <w:sz w:val="3"/>
                <w:szCs w:val="3"/>
                <w:color w:val="auto"/>
              </w:rPr>
            </w:pPr>
          </w:p>
        </w:tc>
        <w:tc>
          <w:tcPr>
            <w:tcW w:w="880" w:type="dxa"/>
            <w:vAlign w:val="bottom"/>
            <w:tcBorders>
              <w:bottom w:val="single" w:sz="8" w:color="00C08A"/>
            </w:tcBorders>
          </w:tcPr>
          <w:p>
            <w:pPr>
              <w:spacing w:after="0"/>
              <w:rPr>
                <w:sz w:val="3"/>
                <w:szCs w:val="3"/>
                <w:color w:val="auto"/>
              </w:rPr>
            </w:pPr>
          </w:p>
        </w:tc>
        <w:tc>
          <w:tcPr>
            <w:tcW w:w="26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300" w:type="dxa"/>
            <w:vAlign w:val="bottom"/>
            <w:tcBorders>
              <w:bottom w:val="single" w:sz="8" w:color="00C08A"/>
            </w:tcBorders>
          </w:tcPr>
          <w:p>
            <w:pPr>
              <w:spacing w:after="0"/>
              <w:rPr>
                <w:sz w:val="3"/>
                <w:szCs w:val="3"/>
                <w:color w:val="auto"/>
              </w:rPr>
            </w:pPr>
          </w:p>
        </w:tc>
        <w:tc>
          <w:tcPr>
            <w:tcW w:w="220" w:type="dxa"/>
            <w:vAlign w:val="bottom"/>
            <w:tcBorders>
              <w:bottom w:val="single" w:sz="8" w:color="00C08A"/>
            </w:tcBorders>
          </w:tcPr>
          <w:p>
            <w:pPr>
              <w:spacing w:after="0"/>
              <w:rPr>
                <w:sz w:val="3"/>
                <w:szCs w:val="3"/>
                <w:color w:val="auto"/>
              </w:rPr>
            </w:pPr>
          </w:p>
        </w:tc>
        <w:tc>
          <w:tcPr>
            <w:tcW w:w="940" w:type="dxa"/>
            <w:vAlign w:val="bottom"/>
            <w:tcBorders>
              <w:bottom w:val="single" w:sz="8" w:color="00C08A"/>
            </w:tcBorders>
          </w:tcPr>
          <w:p>
            <w:pPr>
              <w:spacing w:after="0"/>
              <w:rPr>
                <w:sz w:val="3"/>
                <w:szCs w:val="3"/>
                <w:color w:val="auto"/>
              </w:rPr>
            </w:pPr>
          </w:p>
        </w:tc>
        <w:tc>
          <w:tcPr>
            <w:tcW w:w="320" w:type="dxa"/>
            <w:vAlign w:val="bottom"/>
            <w:tcBorders>
              <w:bottom w:val="single" w:sz="8" w:color="00C08A"/>
            </w:tcBorders>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PROPOSAL 2: ADVISORY VOTE TO APPROVE COMPENSATION OF NAMED EXECUTIVE OFFICERS</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w w:val="99"/>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 w:type="dxa"/>
            <w:vAlign w:val="bottom"/>
            <w:tcBorders>
              <w:top w:val="single" w:sz="8" w:color="CCEEFF"/>
              <w:bottom w:val="single" w:sz="8" w:color="00C08A"/>
            </w:tcBorders>
            <w:shd w:val="clear" w:color="auto" w:fill="CCEEFF"/>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top w:val="single" w:sz="8" w:color="CCEEFF"/>
              <w:bottom w:val="single" w:sz="8" w:color="00C08A"/>
            </w:tcBorders>
            <w:shd w:val="clear" w:color="auto" w:fill="CCEEFF"/>
          </w:tcPr>
          <w:p>
            <w:pPr>
              <w:spacing w:after="0"/>
              <w:rPr>
                <w:sz w:val="3"/>
                <w:szCs w:val="3"/>
                <w:color w:val="auto"/>
              </w:rPr>
            </w:pPr>
          </w:p>
        </w:tc>
        <w:tc>
          <w:tcPr>
            <w:tcW w:w="300" w:type="dxa"/>
            <w:vAlign w:val="bottom"/>
            <w:tcBorders>
              <w:top w:val="single" w:sz="8" w:color="CCEEFF"/>
              <w:bottom w:val="single" w:sz="8" w:color="00C08A"/>
            </w:tcBorders>
            <w:shd w:val="clear" w:color="auto" w:fill="CCEEFF"/>
          </w:tcPr>
          <w:p>
            <w:pPr>
              <w:spacing w:after="0"/>
              <w:rPr>
                <w:sz w:val="3"/>
                <w:szCs w:val="3"/>
                <w:color w:val="auto"/>
              </w:rPr>
            </w:pPr>
          </w:p>
        </w:tc>
        <w:tc>
          <w:tcPr>
            <w:tcW w:w="880" w:type="dxa"/>
            <w:vAlign w:val="bottom"/>
            <w:tcBorders>
              <w:top w:val="single" w:sz="8" w:color="CCEEFF"/>
              <w:bottom w:val="single" w:sz="8" w:color="00C08A"/>
            </w:tcBorders>
            <w:shd w:val="clear" w:color="auto" w:fill="CCEEFF"/>
          </w:tcPr>
          <w:p>
            <w:pPr>
              <w:spacing w:after="0"/>
              <w:rPr>
                <w:sz w:val="3"/>
                <w:szCs w:val="3"/>
                <w:color w:val="auto"/>
              </w:rPr>
            </w:pPr>
          </w:p>
        </w:tc>
        <w:tc>
          <w:tcPr>
            <w:tcW w:w="260" w:type="dxa"/>
            <w:vAlign w:val="bottom"/>
            <w:tcBorders>
              <w:top w:val="single" w:sz="8" w:color="CCEEFF"/>
              <w:bottom w:val="single" w:sz="8" w:color="00C08A"/>
            </w:tcBorders>
            <w:shd w:val="clear" w:color="auto" w:fill="CCEEFF"/>
          </w:tcPr>
          <w:p>
            <w:pPr>
              <w:spacing w:after="0"/>
              <w:rPr>
                <w:sz w:val="3"/>
                <w:szCs w:val="3"/>
                <w:color w:val="auto"/>
              </w:rPr>
            </w:pPr>
          </w:p>
        </w:tc>
        <w:tc>
          <w:tcPr>
            <w:tcW w:w="520" w:type="dxa"/>
            <w:vAlign w:val="bottom"/>
            <w:tcBorders>
              <w:top w:val="single" w:sz="8" w:color="CCEEFF"/>
              <w:bottom w:val="single" w:sz="8" w:color="00C08A"/>
            </w:tcBorders>
            <w:shd w:val="clear" w:color="auto" w:fill="CCEEFF"/>
          </w:tcPr>
          <w:p>
            <w:pPr>
              <w:spacing w:after="0"/>
              <w:rPr>
                <w:sz w:val="3"/>
                <w:szCs w:val="3"/>
                <w:color w:val="auto"/>
              </w:rPr>
            </w:pPr>
          </w:p>
        </w:tc>
        <w:tc>
          <w:tcPr>
            <w:tcW w:w="580" w:type="dxa"/>
            <w:vAlign w:val="bottom"/>
            <w:tcBorders>
              <w:top w:val="single" w:sz="8" w:color="CCEEFF"/>
              <w:bottom w:val="single" w:sz="8" w:color="00C08A"/>
            </w:tcBorders>
            <w:shd w:val="clear" w:color="auto" w:fill="CCEEFF"/>
          </w:tcPr>
          <w:p>
            <w:pPr>
              <w:spacing w:after="0"/>
              <w:rPr>
                <w:sz w:val="3"/>
                <w:szCs w:val="3"/>
                <w:color w:val="auto"/>
              </w:rPr>
            </w:pPr>
          </w:p>
        </w:tc>
        <w:tc>
          <w:tcPr>
            <w:tcW w:w="3300" w:type="dxa"/>
            <w:vAlign w:val="bottom"/>
            <w:tcBorders>
              <w:top w:val="single" w:sz="8" w:color="CCEEFF"/>
              <w:bottom w:val="single" w:sz="8" w:color="00C08A"/>
            </w:tcBorders>
            <w:shd w:val="clear" w:color="auto" w:fill="CCEEFF"/>
          </w:tcPr>
          <w:p>
            <w:pPr>
              <w:spacing w:after="0"/>
              <w:rPr>
                <w:sz w:val="3"/>
                <w:szCs w:val="3"/>
                <w:color w:val="auto"/>
              </w:rPr>
            </w:pPr>
          </w:p>
        </w:tc>
        <w:tc>
          <w:tcPr>
            <w:tcW w:w="220" w:type="dxa"/>
            <w:vAlign w:val="bottom"/>
            <w:tcBorders>
              <w:top w:val="single" w:sz="8" w:color="CCEEFF"/>
              <w:bottom w:val="single" w:sz="8" w:color="00C08A"/>
            </w:tcBorders>
            <w:shd w:val="clear" w:color="auto" w:fill="CCEEFF"/>
          </w:tcPr>
          <w:p>
            <w:pPr>
              <w:spacing w:after="0"/>
              <w:rPr>
                <w:sz w:val="3"/>
                <w:szCs w:val="3"/>
                <w:color w:val="auto"/>
              </w:rPr>
            </w:pPr>
          </w:p>
        </w:tc>
        <w:tc>
          <w:tcPr>
            <w:tcW w:w="940" w:type="dxa"/>
            <w:vAlign w:val="bottom"/>
            <w:tcBorders>
              <w:top w:val="single" w:sz="8" w:color="CCEEFF"/>
              <w:bottom w:val="single" w:sz="8" w:color="00C08A"/>
            </w:tcBorders>
            <w:shd w:val="clear" w:color="auto" w:fill="CCEEFF"/>
          </w:tcPr>
          <w:p>
            <w:pPr>
              <w:spacing w:after="0"/>
              <w:rPr>
                <w:sz w:val="3"/>
                <w:szCs w:val="3"/>
                <w:color w:val="auto"/>
              </w:rPr>
            </w:pPr>
          </w:p>
        </w:tc>
        <w:tc>
          <w:tcPr>
            <w:tcW w:w="320" w:type="dxa"/>
            <w:vAlign w:val="bottom"/>
            <w:tcBorders>
              <w:top w:val="single" w:sz="8" w:color="CCEEFF"/>
              <w:bottom w:val="single" w:sz="8" w:color="00C08A"/>
            </w:tcBorders>
            <w:shd w:val="clear" w:color="auto" w:fill="CCEEFF"/>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top w:val="single" w:sz="8" w:color="CCEEFF"/>
              <w:bottom w:val="single" w:sz="8" w:color="00C08A"/>
            </w:tcBorders>
            <w:shd w:val="clear" w:color="auto" w:fill="CCEEFF"/>
          </w:tcPr>
          <w:p>
            <w:pPr>
              <w:spacing w:after="0"/>
              <w:rPr>
                <w:sz w:val="3"/>
                <w:szCs w:val="3"/>
                <w:color w:val="auto"/>
              </w:rPr>
            </w:pPr>
          </w:p>
        </w:tc>
        <w:tc>
          <w:tcPr>
            <w:tcW w:w="20" w:type="dxa"/>
            <w:vAlign w:val="bottom"/>
            <w:tcBorders>
              <w:top w:val="single" w:sz="8" w:color="CCEEFF"/>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EXECUTIVE COMPENSATION</w:t>
            </w:r>
          </w:p>
        </w:tc>
        <w:tc>
          <w:tcPr>
            <w:tcW w:w="320" w:type="dxa"/>
            <w:vAlign w:val="bottom"/>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tcPr>
          <w:p>
            <w:pPr>
              <w:jc w:val="right"/>
              <w:spacing w:after="0" w:line="196" w:lineRule="exact"/>
              <w:rPr>
                <w:sz w:val="20"/>
                <w:szCs w:val="20"/>
                <w:color w:val="auto"/>
              </w:rPr>
            </w:pPr>
            <w:r>
              <w:rPr>
                <w:rFonts w:ascii="Arial" w:cs="Arial" w:eastAsia="Arial" w:hAnsi="Arial"/>
                <w:sz w:val="18"/>
                <w:szCs w:val="18"/>
                <w:color w:val="0000EE"/>
                <w:w w:val="99"/>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 w:type="dxa"/>
            <w:vAlign w:val="bottom"/>
            <w:tcBorders>
              <w:bottom w:val="single" w:sz="8" w:color="00C08A"/>
            </w:tcBorders>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bottom w:val="single" w:sz="8" w:color="00C08A"/>
            </w:tcBorders>
          </w:tcPr>
          <w:p>
            <w:pPr>
              <w:spacing w:after="0"/>
              <w:rPr>
                <w:sz w:val="3"/>
                <w:szCs w:val="3"/>
                <w:color w:val="auto"/>
              </w:rPr>
            </w:pPr>
          </w:p>
        </w:tc>
        <w:tc>
          <w:tcPr>
            <w:tcW w:w="300" w:type="dxa"/>
            <w:vAlign w:val="bottom"/>
            <w:tcBorders>
              <w:bottom w:val="single" w:sz="8" w:color="00C08A"/>
            </w:tcBorders>
          </w:tcPr>
          <w:p>
            <w:pPr>
              <w:spacing w:after="0"/>
              <w:rPr>
                <w:sz w:val="3"/>
                <w:szCs w:val="3"/>
                <w:color w:val="auto"/>
              </w:rPr>
            </w:pPr>
          </w:p>
        </w:tc>
        <w:tc>
          <w:tcPr>
            <w:tcW w:w="880" w:type="dxa"/>
            <w:vAlign w:val="bottom"/>
            <w:tcBorders>
              <w:bottom w:val="single" w:sz="8" w:color="00C08A"/>
            </w:tcBorders>
          </w:tcPr>
          <w:p>
            <w:pPr>
              <w:spacing w:after="0"/>
              <w:rPr>
                <w:sz w:val="3"/>
                <w:szCs w:val="3"/>
                <w:color w:val="auto"/>
              </w:rPr>
            </w:pPr>
          </w:p>
        </w:tc>
        <w:tc>
          <w:tcPr>
            <w:tcW w:w="26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300" w:type="dxa"/>
            <w:vAlign w:val="bottom"/>
            <w:tcBorders>
              <w:bottom w:val="single" w:sz="8" w:color="00C08A"/>
            </w:tcBorders>
          </w:tcPr>
          <w:p>
            <w:pPr>
              <w:spacing w:after="0"/>
              <w:rPr>
                <w:sz w:val="3"/>
                <w:szCs w:val="3"/>
                <w:color w:val="auto"/>
              </w:rPr>
            </w:pPr>
          </w:p>
        </w:tc>
        <w:tc>
          <w:tcPr>
            <w:tcW w:w="220" w:type="dxa"/>
            <w:vAlign w:val="bottom"/>
            <w:tcBorders>
              <w:bottom w:val="single" w:sz="8" w:color="00C08A"/>
            </w:tcBorders>
          </w:tcPr>
          <w:p>
            <w:pPr>
              <w:spacing w:after="0"/>
              <w:rPr>
                <w:sz w:val="3"/>
                <w:szCs w:val="3"/>
                <w:color w:val="auto"/>
              </w:rPr>
            </w:pPr>
          </w:p>
        </w:tc>
        <w:tc>
          <w:tcPr>
            <w:tcW w:w="940" w:type="dxa"/>
            <w:vAlign w:val="bottom"/>
            <w:tcBorders>
              <w:bottom w:val="single" w:sz="8" w:color="00C08A"/>
            </w:tcBorders>
          </w:tcPr>
          <w:p>
            <w:pPr>
              <w:spacing w:after="0"/>
              <w:rPr>
                <w:sz w:val="3"/>
                <w:szCs w:val="3"/>
                <w:color w:val="auto"/>
              </w:rPr>
            </w:pPr>
          </w:p>
        </w:tc>
        <w:tc>
          <w:tcPr>
            <w:tcW w:w="320" w:type="dxa"/>
            <w:vAlign w:val="bottom"/>
            <w:tcBorders>
              <w:bottom w:val="single" w:sz="8" w:color="00C08A"/>
            </w:tcBorders>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68"/>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360" w:type="dxa"/>
            <w:vAlign w:val="bottom"/>
            <w:tcBorders>
              <w:bottom w:val="single" w:sz="8" w:color="0000EE"/>
            </w:tcBorders>
            <w:gridSpan w:val="5"/>
            <w:shd w:val="clear" w:color="auto" w:fill="CCEEFF"/>
          </w:tcPr>
          <w:p>
            <w:pPr>
              <w:spacing w:after="0" w:line="196" w:lineRule="exact"/>
              <w:rPr>
                <w:sz w:val="20"/>
                <w:szCs w:val="20"/>
                <w:color w:val="auto"/>
              </w:rPr>
            </w:pPr>
            <w:r>
              <w:rPr>
                <w:rFonts w:ascii="Arial" w:cs="Arial" w:eastAsia="Arial" w:hAnsi="Arial"/>
                <w:sz w:val="18"/>
                <w:szCs w:val="18"/>
                <w:color w:val="0000EE"/>
                <w:w w:val="98"/>
              </w:rPr>
              <w:t>COMPENSATION COMMITTEE REPORT</w:t>
            </w:r>
          </w:p>
        </w:tc>
        <w:tc>
          <w:tcPr>
            <w:tcW w:w="5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23</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0" w:type="dxa"/>
            <w:vAlign w:val="bottom"/>
            <w:tcBorders>
              <w:top w:val="single" w:sz="8" w:color="00C08A"/>
              <w:bottom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3940" w:type="dxa"/>
            <w:vAlign w:val="bottom"/>
            <w:tcBorders>
              <w:top w:val="single" w:sz="8" w:color="00C08A"/>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8"/>
              </w:rPr>
              <w:t>COMPENSATION DISCUSSION AND ANALYSIS</w:t>
            </w:r>
          </w:p>
        </w:tc>
        <w:tc>
          <w:tcPr>
            <w:tcW w:w="3300" w:type="dxa"/>
            <w:vAlign w:val="bottom"/>
            <w:tcBorders>
              <w:top w:val="single" w:sz="8" w:color="00C08A"/>
              <w:bottom w:val="single" w:sz="8" w:color="00C08A"/>
            </w:tcBorders>
            <w:vMerge w:val="restart"/>
          </w:tcPr>
          <w:p>
            <w:pPr>
              <w:spacing w:after="0"/>
              <w:rPr>
                <w:sz w:val="18"/>
                <w:szCs w:val="18"/>
                <w:color w:val="auto"/>
              </w:rPr>
            </w:pPr>
          </w:p>
        </w:tc>
        <w:tc>
          <w:tcPr>
            <w:tcW w:w="220" w:type="dxa"/>
            <w:vAlign w:val="bottom"/>
            <w:tcBorders>
              <w:top w:val="single" w:sz="8" w:color="00C08A"/>
              <w:bottom w:val="single" w:sz="8" w:color="00C08A"/>
            </w:tcBorders>
            <w:vMerge w:val="restart"/>
          </w:tcPr>
          <w:p>
            <w:pPr>
              <w:spacing w:after="0"/>
              <w:rPr>
                <w:sz w:val="18"/>
                <w:szCs w:val="18"/>
                <w:color w:val="auto"/>
              </w:rPr>
            </w:pPr>
          </w:p>
        </w:tc>
        <w:tc>
          <w:tcPr>
            <w:tcW w:w="940" w:type="dxa"/>
            <w:vAlign w:val="bottom"/>
            <w:tcBorders>
              <w:top w:val="single" w:sz="8" w:color="00C08A"/>
              <w:bottom w:val="single" w:sz="8" w:color="00C08A"/>
            </w:tcBorders>
            <w:vMerge w:val="restart"/>
          </w:tcPr>
          <w:p>
            <w:pPr>
              <w:spacing w:after="0"/>
              <w:rPr>
                <w:sz w:val="18"/>
                <w:szCs w:val="18"/>
                <w:color w:val="auto"/>
              </w:rPr>
            </w:pPr>
          </w:p>
        </w:tc>
        <w:tc>
          <w:tcPr>
            <w:tcW w:w="380" w:type="dxa"/>
            <w:vAlign w:val="bottom"/>
            <w:tcBorders>
              <w:top w:val="single" w:sz="8" w:color="00C08A"/>
              <w:bottom w:val="single" w:sz="8" w:color="00C08A"/>
            </w:tcBorders>
            <w:gridSpan w:val="2"/>
            <w:vMerge w:val="restart"/>
          </w:tcPr>
          <w:p>
            <w:pPr>
              <w:ind w:left="1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 w:type="dxa"/>
            <w:vAlign w:val="bottom"/>
            <w:tcBorders>
              <w:top w:val="single" w:sz="8" w:color="00C08A"/>
              <w:bottom w:val="single" w:sz="8" w:color="00C08A"/>
            </w:tcBorders>
            <w:vMerge w:val="restart"/>
          </w:tcPr>
          <w:p>
            <w:pPr>
              <w:spacing w:after="0"/>
              <w:rPr>
                <w:sz w:val="18"/>
                <w:szCs w:val="18"/>
                <w:color w:val="auto"/>
              </w:rPr>
            </w:pPr>
          </w:p>
        </w:tc>
        <w:tc>
          <w:tcPr>
            <w:tcW w:w="200" w:type="dxa"/>
            <w:vAlign w:val="bottom"/>
            <w:tcBorders>
              <w:top w:val="single" w:sz="8" w:color="00C08A"/>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23</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08A"/>
            </w:tcBorders>
            <w:vMerge w:val="continue"/>
          </w:tcPr>
          <w:p>
            <w:pPr>
              <w:spacing w:after="0"/>
              <w:rPr>
                <w:sz w:val="2"/>
                <w:szCs w:val="2"/>
                <w:color w:val="auto"/>
              </w:rPr>
            </w:pPr>
          </w:p>
        </w:tc>
        <w:tc>
          <w:tcPr>
            <w:tcW w:w="1400" w:type="dxa"/>
            <w:vAlign w:val="bottom"/>
            <w:tcBorders>
              <w:bottom w:val="single" w:sz="8" w:color="00C08A"/>
            </w:tcBorders>
          </w:tcPr>
          <w:p>
            <w:pPr>
              <w:spacing w:after="0"/>
              <w:rPr>
                <w:sz w:val="2"/>
                <w:szCs w:val="2"/>
                <w:color w:val="auto"/>
              </w:rPr>
            </w:pPr>
          </w:p>
        </w:tc>
        <w:tc>
          <w:tcPr>
            <w:tcW w:w="300" w:type="dxa"/>
            <w:vAlign w:val="bottom"/>
            <w:tcBorders>
              <w:bottom w:val="single" w:sz="8" w:color="00C08A"/>
            </w:tcBorders>
          </w:tcPr>
          <w:p>
            <w:pPr>
              <w:spacing w:after="0"/>
              <w:rPr>
                <w:sz w:val="2"/>
                <w:szCs w:val="2"/>
                <w:color w:val="auto"/>
              </w:rPr>
            </w:pPr>
          </w:p>
        </w:tc>
        <w:tc>
          <w:tcPr>
            <w:tcW w:w="880" w:type="dxa"/>
            <w:vAlign w:val="bottom"/>
            <w:tcBorders>
              <w:bottom w:val="single" w:sz="8" w:color="00C08A"/>
            </w:tcBorders>
          </w:tcPr>
          <w:p>
            <w:pPr>
              <w:spacing w:after="0"/>
              <w:rPr>
                <w:sz w:val="2"/>
                <w:szCs w:val="2"/>
                <w:color w:val="auto"/>
              </w:rPr>
            </w:pPr>
          </w:p>
        </w:tc>
        <w:tc>
          <w:tcPr>
            <w:tcW w:w="260" w:type="dxa"/>
            <w:vAlign w:val="bottom"/>
            <w:tcBorders>
              <w:bottom w:val="single" w:sz="8" w:color="00C08A"/>
            </w:tcBorders>
          </w:tcPr>
          <w:p>
            <w:pPr>
              <w:spacing w:after="0"/>
              <w:rPr>
                <w:sz w:val="2"/>
                <w:szCs w:val="2"/>
                <w:color w:val="auto"/>
              </w:rPr>
            </w:pPr>
          </w:p>
        </w:tc>
        <w:tc>
          <w:tcPr>
            <w:tcW w:w="1100" w:type="dxa"/>
            <w:vAlign w:val="bottom"/>
            <w:tcBorders>
              <w:bottom w:val="single" w:sz="8" w:color="00C08A"/>
            </w:tcBorders>
            <w:gridSpan w:val="2"/>
          </w:tcPr>
          <w:p>
            <w:pPr>
              <w:spacing w:after="0"/>
              <w:rPr>
                <w:sz w:val="2"/>
                <w:szCs w:val="2"/>
                <w:color w:val="auto"/>
              </w:rPr>
            </w:pPr>
          </w:p>
        </w:tc>
        <w:tc>
          <w:tcPr>
            <w:tcW w:w="3300" w:type="dxa"/>
            <w:vAlign w:val="bottom"/>
            <w:tcBorders>
              <w:bottom w:val="single" w:sz="8" w:color="00C08A"/>
            </w:tcBorders>
            <w:vMerge w:val="continue"/>
          </w:tcPr>
          <w:p>
            <w:pPr>
              <w:spacing w:after="0"/>
              <w:rPr>
                <w:sz w:val="2"/>
                <w:szCs w:val="2"/>
                <w:color w:val="auto"/>
              </w:rPr>
            </w:pPr>
          </w:p>
        </w:tc>
        <w:tc>
          <w:tcPr>
            <w:tcW w:w="220" w:type="dxa"/>
            <w:vAlign w:val="bottom"/>
            <w:tcBorders>
              <w:bottom w:val="single" w:sz="8" w:color="00C08A"/>
            </w:tcBorders>
            <w:vMerge w:val="continue"/>
          </w:tcPr>
          <w:p>
            <w:pPr>
              <w:spacing w:after="0"/>
              <w:rPr>
                <w:sz w:val="2"/>
                <w:szCs w:val="2"/>
                <w:color w:val="auto"/>
              </w:rPr>
            </w:pPr>
          </w:p>
        </w:tc>
        <w:tc>
          <w:tcPr>
            <w:tcW w:w="940" w:type="dxa"/>
            <w:vAlign w:val="bottom"/>
            <w:tcBorders>
              <w:bottom w:val="single" w:sz="8" w:color="00C08A"/>
            </w:tcBorders>
            <w:vMerge w:val="continue"/>
          </w:tcPr>
          <w:p>
            <w:pPr>
              <w:spacing w:after="0"/>
              <w:rPr>
                <w:sz w:val="2"/>
                <w:szCs w:val="2"/>
                <w:color w:val="auto"/>
              </w:rPr>
            </w:pPr>
          </w:p>
        </w:tc>
        <w:tc>
          <w:tcPr>
            <w:tcW w:w="380" w:type="dxa"/>
            <w:vAlign w:val="bottom"/>
            <w:tcBorders>
              <w:bottom w:val="single" w:sz="8" w:color="00C08A"/>
            </w:tcBorders>
            <w:gridSpan w:val="2"/>
            <w:vMerge w:val="continue"/>
          </w:tcPr>
          <w:p>
            <w:pPr>
              <w:spacing w:after="0"/>
              <w:rPr>
                <w:sz w:val="2"/>
                <w:szCs w:val="2"/>
                <w:color w:val="auto"/>
              </w:rPr>
            </w:pPr>
          </w:p>
        </w:tc>
        <w:tc>
          <w:tcPr>
            <w:tcW w:w="20" w:type="dxa"/>
            <w:vAlign w:val="bottom"/>
            <w:tcBorders>
              <w:bottom w:val="single" w:sz="8" w:color="00C08A"/>
            </w:tcBorders>
            <w:vMerge w:val="continue"/>
          </w:tcPr>
          <w:p>
            <w:pPr>
              <w:spacing w:after="0"/>
              <w:rPr>
                <w:sz w:val="2"/>
                <w:szCs w:val="2"/>
                <w:color w:val="auto"/>
              </w:rPr>
            </w:pPr>
          </w:p>
        </w:tc>
        <w:tc>
          <w:tcPr>
            <w:tcW w:w="200" w:type="dxa"/>
            <w:vAlign w:val="bottom"/>
            <w:tcBorders>
              <w:bottom w:val="single" w:sz="8" w:color="00C08A"/>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97"/>
              </w:rPr>
              <w:t>CEO PAY RATIO DISCLOSURE</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46</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0" w:type="dxa"/>
            <w:vAlign w:val="bottom"/>
            <w:tcBorders>
              <w:top w:val="single" w:sz="8" w:color="00C08A"/>
              <w:bottom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2840" w:type="dxa"/>
            <w:vAlign w:val="bottom"/>
            <w:tcBorders>
              <w:top w:val="single" w:sz="8" w:color="00C08A"/>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COMPENSATION OF DIRECTORS</w:t>
            </w:r>
          </w:p>
        </w:tc>
        <w:tc>
          <w:tcPr>
            <w:tcW w:w="1100" w:type="dxa"/>
            <w:vAlign w:val="bottom"/>
            <w:tcBorders>
              <w:top w:val="single" w:sz="8" w:color="00C08A"/>
              <w:bottom w:val="single" w:sz="8" w:color="00C08A"/>
            </w:tcBorders>
            <w:gridSpan w:val="2"/>
            <w:vMerge w:val="restart"/>
          </w:tcPr>
          <w:p>
            <w:pPr>
              <w:spacing w:after="0"/>
              <w:rPr>
                <w:sz w:val="18"/>
                <w:szCs w:val="18"/>
                <w:color w:val="auto"/>
              </w:rPr>
            </w:pPr>
          </w:p>
        </w:tc>
        <w:tc>
          <w:tcPr>
            <w:tcW w:w="3300" w:type="dxa"/>
            <w:vAlign w:val="bottom"/>
            <w:tcBorders>
              <w:top w:val="single" w:sz="8" w:color="00C08A"/>
              <w:bottom w:val="single" w:sz="8" w:color="00C08A"/>
            </w:tcBorders>
            <w:vMerge w:val="restart"/>
          </w:tcPr>
          <w:p>
            <w:pPr>
              <w:spacing w:after="0"/>
              <w:rPr>
                <w:sz w:val="18"/>
                <w:szCs w:val="18"/>
                <w:color w:val="auto"/>
              </w:rPr>
            </w:pPr>
          </w:p>
        </w:tc>
        <w:tc>
          <w:tcPr>
            <w:tcW w:w="220" w:type="dxa"/>
            <w:vAlign w:val="bottom"/>
            <w:tcBorders>
              <w:top w:val="single" w:sz="8" w:color="00C08A"/>
              <w:bottom w:val="single" w:sz="8" w:color="00C08A"/>
            </w:tcBorders>
            <w:vMerge w:val="restart"/>
          </w:tcPr>
          <w:p>
            <w:pPr>
              <w:spacing w:after="0"/>
              <w:rPr>
                <w:sz w:val="18"/>
                <w:szCs w:val="18"/>
                <w:color w:val="auto"/>
              </w:rPr>
            </w:pPr>
          </w:p>
        </w:tc>
        <w:tc>
          <w:tcPr>
            <w:tcW w:w="940" w:type="dxa"/>
            <w:vAlign w:val="bottom"/>
            <w:tcBorders>
              <w:top w:val="single" w:sz="8" w:color="00C08A"/>
              <w:bottom w:val="single" w:sz="8" w:color="00C08A"/>
            </w:tcBorders>
            <w:vMerge w:val="restart"/>
          </w:tcPr>
          <w:p>
            <w:pPr>
              <w:spacing w:after="0"/>
              <w:rPr>
                <w:sz w:val="18"/>
                <w:szCs w:val="18"/>
                <w:color w:val="auto"/>
              </w:rPr>
            </w:pPr>
          </w:p>
        </w:tc>
        <w:tc>
          <w:tcPr>
            <w:tcW w:w="380" w:type="dxa"/>
            <w:vAlign w:val="bottom"/>
            <w:tcBorders>
              <w:top w:val="single" w:sz="8" w:color="00C08A"/>
              <w:bottom w:val="single" w:sz="8" w:color="00C08A"/>
            </w:tcBorders>
            <w:gridSpan w:val="2"/>
            <w:vMerge w:val="restart"/>
          </w:tcPr>
          <w:p>
            <w:pPr>
              <w:ind w:left="1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 w:type="dxa"/>
            <w:vAlign w:val="bottom"/>
            <w:tcBorders>
              <w:top w:val="single" w:sz="8" w:color="00C08A"/>
              <w:bottom w:val="single" w:sz="8" w:color="00C08A"/>
            </w:tcBorders>
            <w:vMerge w:val="restart"/>
          </w:tcPr>
          <w:p>
            <w:pPr>
              <w:spacing w:after="0"/>
              <w:rPr>
                <w:sz w:val="18"/>
                <w:szCs w:val="18"/>
                <w:color w:val="auto"/>
              </w:rPr>
            </w:pPr>
          </w:p>
        </w:tc>
        <w:tc>
          <w:tcPr>
            <w:tcW w:w="200" w:type="dxa"/>
            <w:vAlign w:val="bottom"/>
            <w:tcBorders>
              <w:top w:val="single" w:sz="8" w:color="00C08A"/>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47</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08A"/>
            </w:tcBorders>
            <w:vMerge w:val="continue"/>
          </w:tcPr>
          <w:p>
            <w:pPr>
              <w:spacing w:after="0"/>
              <w:rPr>
                <w:sz w:val="2"/>
                <w:szCs w:val="2"/>
                <w:color w:val="auto"/>
              </w:rPr>
            </w:pPr>
          </w:p>
        </w:tc>
        <w:tc>
          <w:tcPr>
            <w:tcW w:w="1400" w:type="dxa"/>
            <w:vAlign w:val="bottom"/>
            <w:tcBorders>
              <w:bottom w:val="single" w:sz="8" w:color="00C08A"/>
            </w:tcBorders>
          </w:tcPr>
          <w:p>
            <w:pPr>
              <w:spacing w:after="0"/>
              <w:rPr>
                <w:sz w:val="2"/>
                <w:szCs w:val="2"/>
                <w:color w:val="auto"/>
              </w:rPr>
            </w:pPr>
          </w:p>
        </w:tc>
        <w:tc>
          <w:tcPr>
            <w:tcW w:w="300" w:type="dxa"/>
            <w:vAlign w:val="bottom"/>
            <w:tcBorders>
              <w:bottom w:val="single" w:sz="8" w:color="00C08A"/>
            </w:tcBorders>
          </w:tcPr>
          <w:p>
            <w:pPr>
              <w:spacing w:after="0"/>
              <w:rPr>
                <w:sz w:val="2"/>
                <w:szCs w:val="2"/>
                <w:color w:val="auto"/>
              </w:rPr>
            </w:pPr>
          </w:p>
        </w:tc>
        <w:tc>
          <w:tcPr>
            <w:tcW w:w="1140" w:type="dxa"/>
            <w:vAlign w:val="bottom"/>
            <w:tcBorders>
              <w:bottom w:val="single" w:sz="8" w:color="00C08A"/>
            </w:tcBorders>
            <w:gridSpan w:val="2"/>
          </w:tcPr>
          <w:p>
            <w:pPr>
              <w:spacing w:after="0"/>
              <w:rPr>
                <w:sz w:val="2"/>
                <w:szCs w:val="2"/>
                <w:color w:val="auto"/>
              </w:rPr>
            </w:pPr>
          </w:p>
        </w:tc>
        <w:tc>
          <w:tcPr>
            <w:tcW w:w="1100" w:type="dxa"/>
            <w:vAlign w:val="bottom"/>
            <w:tcBorders>
              <w:bottom w:val="single" w:sz="8" w:color="00C08A"/>
            </w:tcBorders>
            <w:gridSpan w:val="2"/>
            <w:vMerge w:val="continue"/>
          </w:tcPr>
          <w:p>
            <w:pPr>
              <w:spacing w:after="0"/>
              <w:rPr>
                <w:sz w:val="2"/>
                <w:szCs w:val="2"/>
                <w:color w:val="auto"/>
              </w:rPr>
            </w:pPr>
          </w:p>
        </w:tc>
        <w:tc>
          <w:tcPr>
            <w:tcW w:w="3300" w:type="dxa"/>
            <w:vAlign w:val="bottom"/>
            <w:tcBorders>
              <w:bottom w:val="single" w:sz="8" w:color="00C08A"/>
            </w:tcBorders>
            <w:vMerge w:val="continue"/>
          </w:tcPr>
          <w:p>
            <w:pPr>
              <w:spacing w:after="0"/>
              <w:rPr>
                <w:sz w:val="2"/>
                <w:szCs w:val="2"/>
                <w:color w:val="auto"/>
              </w:rPr>
            </w:pPr>
          </w:p>
        </w:tc>
        <w:tc>
          <w:tcPr>
            <w:tcW w:w="220" w:type="dxa"/>
            <w:vAlign w:val="bottom"/>
            <w:tcBorders>
              <w:bottom w:val="single" w:sz="8" w:color="00C08A"/>
            </w:tcBorders>
            <w:vMerge w:val="continue"/>
          </w:tcPr>
          <w:p>
            <w:pPr>
              <w:spacing w:after="0"/>
              <w:rPr>
                <w:sz w:val="2"/>
                <w:szCs w:val="2"/>
                <w:color w:val="auto"/>
              </w:rPr>
            </w:pPr>
          </w:p>
        </w:tc>
        <w:tc>
          <w:tcPr>
            <w:tcW w:w="940" w:type="dxa"/>
            <w:vAlign w:val="bottom"/>
            <w:tcBorders>
              <w:bottom w:val="single" w:sz="8" w:color="00C08A"/>
            </w:tcBorders>
            <w:vMerge w:val="continue"/>
          </w:tcPr>
          <w:p>
            <w:pPr>
              <w:spacing w:after="0"/>
              <w:rPr>
                <w:sz w:val="2"/>
                <w:szCs w:val="2"/>
                <w:color w:val="auto"/>
              </w:rPr>
            </w:pPr>
          </w:p>
        </w:tc>
        <w:tc>
          <w:tcPr>
            <w:tcW w:w="380" w:type="dxa"/>
            <w:vAlign w:val="bottom"/>
            <w:tcBorders>
              <w:bottom w:val="single" w:sz="8" w:color="00C08A"/>
            </w:tcBorders>
            <w:gridSpan w:val="2"/>
            <w:vMerge w:val="continue"/>
          </w:tcPr>
          <w:p>
            <w:pPr>
              <w:spacing w:after="0"/>
              <w:rPr>
                <w:sz w:val="2"/>
                <w:szCs w:val="2"/>
                <w:color w:val="auto"/>
              </w:rPr>
            </w:pPr>
          </w:p>
        </w:tc>
        <w:tc>
          <w:tcPr>
            <w:tcW w:w="20" w:type="dxa"/>
            <w:vAlign w:val="bottom"/>
            <w:tcBorders>
              <w:bottom w:val="single" w:sz="8" w:color="00C08A"/>
            </w:tcBorders>
            <w:vMerge w:val="continue"/>
          </w:tcPr>
          <w:p>
            <w:pPr>
              <w:spacing w:after="0"/>
              <w:rPr>
                <w:sz w:val="2"/>
                <w:szCs w:val="2"/>
                <w:color w:val="auto"/>
              </w:rPr>
            </w:pPr>
          </w:p>
        </w:tc>
        <w:tc>
          <w:tcPr>
            <w:tcW w:w="200" w:type="dxa"/>
            <w:vAlign w:val="bottom"/>
            <w:tcBorders>
              <w:bottom w:val="single" w:sz="8" w:color="00C08A"/>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PROPOSAL 3: RATIFICATION OF APPOINTMENT OF INDEPENDENT REGISTERED PUBLIC</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top w:val="single" w:sz="8" w:color="0000EE"/>
              <w:bottom w:val="single" w:sz="8" w:color="0000EE"/>
            </w:tcBorders>
            <w:gridSpan w:val="2"/>
            <w:shd w:val="clear" w:color="auto" w:fill="CCEEFF"/>
          </w:tcPr>
          <w:p>
            <w:pPr>
              <w:spacing w:after="0" w:line="182" w:lineRule="exact"/>
              <w:rPr>
                <w:sz w:val="20"/>
                <w:szCs w:val="20"/>
                <w:color w:val="auto"/>
              </w:rPr>
            </w:pPr>
            <w:r>
              <w:rPr>
                <w:rFonts w:ascii="Arial" w:cs="Arial" w:eastAsia="Arial" w:hAnsi="Arial"/>
                <w:sz w:val="18"/>
                <w:szCs w:val="18"/>
                <w:color w:val="0000EE"/>
                <w:w w:val="98"/>
              </w:rPr>
              <w:t>ACCOUNTING FIRM</w:t>
            </w:r>
          </w:p>
        </w:tc>
        <w:tc>
          <w:tcPr>
            <w:tcW w:w="1140" w:type="dxa"/>
            <w:vAlign w:val="bottom"/>
            <w:tcBorders>
              <w:top w:val="single" w:sz="8" w:color="0000EE"/>
              <w:bottom w:val="single" w:sz="8" w:color="0000EE"/>
            </w:tcBorders>
            <w:gridSpan w:val="2"/>
            <w:shd w:val="clear" w:color="auto" w:fill="CCEEFF"/>
          </w:tcPr>
          <w:p>
            <w:pPr>
              <w:spacing w:after="0"/>
              <w:rPr>
                <w:sz w:val="22"/>
                <w:szCs w:val="22"/>
                <w:color w:val="auto"/>
              </w:rPr>
            </w:pPr>
          </w:p>
        </w:tc>
        <w:tc>
          <w:tcPr>
            <w:tcW w:w="1100" w:type="dxa"/>
            <w:vAlign w:val="bottom"/>
            <w:tcBorders>
              <w:top w:val="single" w:sz="8" w:color="0000EE"/>
              <w:bottom w:val="single" w:sz="8" w:color="0000EE"/>
            </w:tcBorders>
            <w:gridSpan w:val="2"/>
            <w:shd w:val="clear" w:color="auto" w:fill="CCEEFF"/>
          </w:tcPr>
          <w:p>
            <w:pPr>
              <w:spacing w:after="0"/>
              <w:rPr>
                <w:sz w:val="22"/>
                <w:szCs w:val="22"/>
                <w:color w:val="auto"/>
              </w:rPr>
            </w:pPr>
          </w:p>
        </w:tc>
        <w:tc>
          <w:tcPr>
            <w:tcW w:w="3300" w:type="dxa"/>
            <w:vAlign w:val="bottom"/>
            <w:tcBorders>
              <w:top w:val="single" w:sz="8" w:color="0000EE"/>
              <w:bottom w:val="single" w:sz="8" w:color="0000EE"/>
            </w:tcBorders>
            <w:shd w:val="clear" w:color="auto" w:fill="CCEEFF"/>
          </w:tcPr>
          <w:p>
            <w:pPr>
              <w:spacing w:after="0"/>
              <w:rPr>
                <w:sz w:val="22"/>
                <w:szCs w:val="22"/>
                <w:color w:val="auto"/>
              </w:rPr>
            </w:pPr>
          </w:p>
        </w:tc>
        <w:tc>
          <w:tcPr>
            <w:tcW w:w="220" w:type="dxa"/>
            <w:vAlign w:val="bottom"/>
            <w:tcBorders>
              <w:top w:val="single" w:sz="8" w:color="0000EE"/>
              <w:bottom w:val="single" w:sz="8" w:color="0000EE"/>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48</w:t>
            </w: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80" w:type="dxa"/>
            <w:vAlign w:val="bottom"/>
            <w:tcBorders>
              <w:top w:val="single" w:sz="8" w:color="00C08A"/>
            </w:tcBorders>
            <w:gridSpan w:val="10"/>
          </w:tcPr>
          <w:p>
            <w:pPr>
              <w:spacing w:after="0" w:line="196" w:lineRule="exact"/>
              <w:rPr>
                <w:sz w:val="20"/>
                <w:szCs w:val="20"/>
                <w:color w:val="auto"/>
              </w:rPr>
            </w:pPr>
            <w:r>
              <w:rPr>
                <w:rFonts w:ascii="Arial" w:cs="Arial" w:eastAsia="Arial" w:hAnsi="Arial"/>
                <w:sz w:val="18"/>
                <w:szCs w:val="18"/>
                <w:color w:val="0000EE"/>
              </w:rPr>
              <w:t>INFORMATION REGARDING INDEPENDENT REGISTERED PUBLIC ACCOUNTING FIRM</w:t>
            </w:r>
          </w:p>
        </w:tc>
        <w:tc>
          <w:tcPr>
            <w:tcW w:w="320" w:type="dxa"/>
            <w:vAlign w:val="bottom"/>
            <w:tcBorders>
              <w:top w:val="single" w:sz="8" w:color="00C08A"/>
            </w:tcBorders>
          </w:tcPr>
          <w:p>
            <w:pPr>
              <w:spacing w:after="0"/>
              <w:rPr>
                <w:sz w:val="17"/>
                <w:szCs w:val="17"/>
                <w:color w:val="auto"/>
              </w:rPr>
            </w:pPr>
          </w:p>
        </w:tc>
        <w:tc>
          <w:tcPr>
            <w:tcW w:w="60" w:type="dxa"/>
            <w:vAlign w:val="bottom"/>
            <w:tcBorders>
              <w:top w:val="single" w:sz="8" w:color="00C08A"/>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gridSpan w:val="3"/>
          </w:tcPr>
          <w:p>
            <w:pPr>
              <w:jc w:val="right"/>
              <w:spacing w:after="0" w:line="196" w:lineRule="exact"/>
              <w:rPr>
                <w:sz w:val="20"/>
                <w:szCs w:val="20"/>
                <w:color w:val="auto"/>
              </w:rPr>
            </w:pPr>
            <w:r>
              <w:rPr>
                <w:rFonts w:ascii="Arial" w:cs="Arial" w:eastAsia="Arial" w:hAnsi="Arial"/>
                <w:sz w:val="18"/>
                <w:szCs w:val="18"/>
                <w:color w:val="0000EE"/>
                <w:w w:val="99"/>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80" w:type="dxa"/>
            <w:vAlign w:val="bottom"/>
            <w:tcBorders>
              <w:bottom w:val="single" w:sz="8" w:color="00C08A"/>
            </w:tcBorders>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bottom w:val="single" w:sz="8" w:color="00C08A"/>
            </w:tcBorders>
          </w:tcPr>
          <w:p>
            <w:pPr>
              <w:spacing w:after="0"/>
              <w:rPr>
                <w:sz w:val="3"/>
                <w:szCs w:val="3"/>
                <w:color w:val="auto"/>
              </w:rPr>
            </w:pPr>
          </w:p>
        </w:tc>
        <w:tc>
          <w:tcPr>
            <w:tcW w:w="300" w:type="dxa"/>
            <w:vAlign w:val="bottom"/>
            <w:tcBorders>
              <w:bottom w:val="single" w:sz="8" w:color="00C08A"/>
            </w:tcBorders>
          </w:tcPr>
          <w:p>
            <w:pPr>
              <w:spacing w:after="0"/>
              <w:rPr>
                <w:sz w:val="3"/>
                <w:szCs w:val="3"/>
                <w:color w:val="auto"/>
              </w:rPr>
            </w:pPr>
          </w:p>
        </w:tc>
        <w:tc>
          <w:tcPr>
            <w:tcW w:w="880" w:type="dxa"/>
            <w:vAlign w:val="bottom"/>
            <w:tcBorders>
              <w:bottom w:val="single" w:sz="8" w:color="00C08A"/>
            </w:tcBorders>
          </w:tcPr>
          <w:p>
            <w:pPr>
              <w:spacing w:after="0"/>
              <w:rPr>
                <w:sz w:val="3"/>
                <w:szCs w:val="3"/>
                <w:color w:val="auto"/>
              </w:rPr>
            </w:pPr>
          </w:p>
        </w:tc>
        <w:tc>
          <w:tcPr>
            <w:tcW w:w="26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300" w:type="dxa"/>
            <w:vAlign w:val="bottom"/>
            <w:tcBorders>
              <w:bottom w:val="single" w:sz="8" w:color="00C08A"/>
            </w:tcBorders>
          </w:tcPr>
          <w:p>
            <w:pPr>
              <w:spacing w:after="0"/>
              <w:rPr>
                <w:sz w:val="3"/>
                <w:szCs w:val="3"/>
                <w:color w:val="auto"/>
              </w:rPr>
            </w:pPr>
          </w:p>
        </w:tc>
        <w:tc>
          <w:tcPr>
            <w:tcW w:w="220" w:type="dxa"/>
            <w:vAlign w:val="bottom"/>
            <w:tcBorders>
              <w:bottom w:val="single" w:sz="8" w:color="00C08A"/>
            </w:tcBorders>
          </w:tcPr>
          <w:p>
            <w:pPr>
              <w:spacing w:after="0"/>
              <w:rPr>
                <w:sz w:val="3"/>
                <w:szCs w:val="3"/>
                <w:color w:val="auto"/>
              </w:rPr>
            </w:pPr>
          </w:p>
        </w:tc>
        <w:tc>
          <w:tcPr>
            <w:tcW w:w="940" w:type="dxa"/>
            <w:vAlign w:val="bottom"/>
            <w:tcBorders>
              <w:bottom w:val="single" w:sz="8" w:color="00C08A"/>
            </w:tcBorders>
          </w:tcPr>
          <w:p>
            <w:pPr>
              <w:spacing w:after="0"/>
              <w:rPr>
                <w:sz w:val="3"/>
                <w:szCs w:val="3"/>
                <w:color w:val="auto"/>
              </w:rPr>
            </w:pPr>
          </w:p>
        </w:tc>
        <w:tc>
          <w:tcPr>
            <w:tcW w:w="320" w:type="dxa"/>
            <w:vAlign w:val="bottom"/>
            <w:tcBorders>
              <w:bottom w:val="single" w:sz="8" w:color="00C08A"/>
            </w:tcBorders>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PROPOSAL 4: AMENDMENT TO THE VIRTU FINANCIAL, INC. CERTIFICATE OF INCORPORATION</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w w:val="99"/>
              </w:rPr>
              <w:t>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80" w:type="dxa"/>
            <w:vAlign w:val="bottom"/>
            <w:tcBorders>
              <w:top w:val="single" w:sz="8" w:color="CCEEFF"/>
              <w:bottom w:val="single" w:sz="8" w:color="00C08A"/>
            </w:tcBorders>
            <w:shd w:val="clear" w:color="auto" w:fill="CCEEFF"/>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top w:val="single" w:sz="8" w:color="CCEEFF"/>
              <w:bottom w:val="single" w:sz="8" w:color="00C08A"/>
            </w:tcBorders>
            <w:shd w:val="clear" w:color="auto" w:fill="CCEEFF"/>
          </w:tcPr>
          <w:p>
            <w:pPr>
              <w:spacing w:after="0"/>
              <w:rPr>
                <w:sz w:val="3"/>
                <w:szCs w:val="3"/>
                <w:color w:val="auto"/>
              </w:rPr>
            </w:pPr>
          </w:p>
        </w:tc>
        <w:tc>
          <w:tcPr>
            <w:tcW w:w="300" w:type="dxa"/>
            <w:vAlign w:val="bottom"/>
            <w:tcBorders>
              <w:top w:val="single" w:sz="8" w:color="CCEEFF"/>
              <w:bottom w:val="single" w:sz="8" w:color="00C08A"/>
            </w:tcBorders>
            <w:shd w:val="clear" w:color="auto" w:fill="CCEEFF"/>
          </w:tcPr>
          <w:p>
            <w:pPr>
              <w:spacing w:after="0"/>
              <w:rPr>
                <w:sz w:val="3"/>
                <w:szCs w:val="3"/>
                <w:color w:val="auto"/>
              </w:rPr>
            </w:pPr>
          </w:p>
        </w:tc>
        <w:tc>
          <w:tcPr>
            <w:tcW w:w="880" w:type="dxa"/>
            <w:vAlign w:val="bottom"/>
            <w:tcBorders>
              <w:top w:val="single" w:sz="8" w:color="CCEEFF"/>
              <w:bottom w:val="single" w:sz="8" w:color="00C08A"/>
            </w:tcBorders>
            <w:shd w:val="clear" w:color="auto" w:fill="CCEEFF"/>
          </w:tcPr>
          <w:p>
            <w:pPr>
              <w:spacing w:after="0"/>
              <w:rPr>
                <w:sz w:val="3"/>
                <w:szCs w:val="3"/>
                <w:color w:val="auto"/>
              </w:rPr>
            </w:pPr>
          </w:p>
        </w:tc>
        <w:tc>
          <w:tcPr>
            <w:tcW w:w="260" w:type="dxa"/>
            <w:vAlign w:val="bottom"/>
            <w:tcBorders>
              <w:top w:val="single" w:sz="8" w:color="CCEEFF"/>
              <w:bottom w:val="single" w:sz="8" w:color="00C08A"/>
            </w:tcBorders>
            <w:shd w:val="clear" w:color="auto" w:fill="CCEEFF"/>
          </w:tcPr>
          <w:p>
            <w:pPr>
              <w:spacing w:after="0"/>
              <w:rPr>
                <w:sz w:val="3"/>
                <w:szCs w:val="3"/>
                <w:color w:val="auto"/>
              </w:rPr>
            </w:pPr>
          </w:p>
        </w:tc>
        <w:tc>
          <w:tcPr>
            <w:tcW w:w="520" w:type="dxa"/>
            <w:vAlign w:val="bottom"/>
            <w:tcBorders>
              <w:top w:val="single" w:sz="8" w:color="CCEEFF"/>
              <w:bottom w:val="single" w:sz="8" w:color="00C08A"/>
            </w:tcBorders>
            <w:shd w:val="clear" w:color="auto" w:fill="CCEEFF"/>
          </w:tcPr>
          <w:p>
            <w:pPr>
              <w:spacing w:after="0"/>
              <w:rPr>
                <w:sz w:val="3"/>
                <w:szCs w:val="3"/>
                <w:color w:val="auto"/>
              </w:rPr>
            </w:pPr>
          </w:p>
        </w:tc>
        <w:tc>
          <w:tcPr>
            <w:tcW w:w="580" w:type="dxa"/>
            <w:vAlign w:val="bottom"/>
            <w:tcBorders>
              <w:top w:val="single" w:sz="8" w:color="CCEEFF"/>
              <w:bottom w:val="single" w:sz="8" w:color="00C08A"/>
            </w:tcBorders>
            <w:shd w:val="clear" w:color="auto" w:fill="CCEEFF"/>
          </w:tcPr>
          <w:p>
            <w:pPr>
              <w:spacing w:after="0"/>
              <w:rPr>
                <w:sz w:val="3"/>
                <w:szCs w:val="3"/>
                <w:color w:val="auto"/>
              </w:rPr>
            </w:pPr>
          </w:p>
        </w:tc>
        <w:tc>
          <w:tcPr>
            <w:tcW w:w="3300" w:type="dxa"/>
            <w:vAlign w:val="bottom"/>
            <w:tcBorders>
              <w:top w:val="single" w:sz="8" w:color="CCEEFF"/>
              <w:bottom w:val="single" w:sz="8" w:color="00C08A"/>
            </w:tcBorders>
            <w:shd w:val="clear" w:color="auto" w:fill="CCEEFF"/>
          </w:tcPr>
          <w:p>
            <w:pPr>
              <w:spacing w:after="0"/>
              <w:rPr>
                <w:sz w:val="3"/>
                <w:szCs w:val="3"/>
                <w:color w:val="auto"/>
              </w:rPr>
            </w:pPr>
          </w:p>
        </w:tc>
        <w:tc>
          <w:tcPr>
            <w:tcW w:w="220" w:type="dxa"/>
            <w:vAlign w:val="bottom"/>
            <w:tcBorders>
              <w:top w:val="single" w:sz="8" w:color="CCEEFF"/>
              <w:bottom w:val="single" w:sz="8" w:color="00C08A"/>
            </w:tcBorders>
            <w:shd w:val="clear" w:color="auto" w:fill="CCEEFF"/>
          </w:tcPr>
          <w:p>
            <w:pPr>
              <w:spacing w:after="0"/>
              <w:rPr>
                <w:sz w:val="3"/>
                <w:szCs w:val="3"/>
                <w:color w:val="auto"/>
              </w:rPr>
            </w:pPr>
          </w:p>
        </w:tc>
        <w:tc>
          <w:tcPr>
            <w:tcW w:w="940" w:type="dxa"/>
            <w:vAlign w:val="bottom"/>
            <w:tcBorders>
              <w:top w:val="single" w:sz="8" w:color="CCEEFF"/>
              <w:bottom w:val="single" w:sz="8" w:color="00C08A"/>
            </w:tcBorders>
            <w:shd w:val="clear" w:color="auto" w:fill="CCEEFF"/>
          </w:tcPr>
          <w:p>
            <w:pPr>
              <w:spacing w:after="0"/>
              <w:rPr>
                <w:sz w:val="3"/>
                <w:szCs w:val="3"/>
                <w:color w:val="auto"/>
              </w:rPr>
            </w:pPr>
          </w:p>
        </w:tc>
        <w:tc>
          <w:tcPr>
            <w:tcW w:w="320" w:type="dxa"/>
            <w:vAlign w:val="bottom"/>
            <w:tcBorders>
              <w:top w:val="single" w:sz="8" w:color="CCEEFF"/>
              <w:bottom w:val="single" w:sz="8" w:color="00C08A"/>
            </w:tcBorders>
            <w:shd w:val="clear" w:color="auto" w:fill="CCEEFF"/>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top w:val="single" w:sz="8" w:color="CCEEFF"/>
              <w:bottom w:val="single" w:sz="8" w:color="00C08A"/>
            </w:tcBorders>
            <w:shd w:val="clear" w:color="auto" w:fill="CCEEFF"/>
          </w:tcPr>
          <w:p>
            <w:pPr>
              <w:spacing w:after="0"/>
              <w:rPr>
                <w:sz w:val="3"/>
                <w:szCs w:val="3"/>
                <w:color w:val="auto"/>
              </w:rPr>
            </w:pPr>
          </w:p>
        </w:tc>
        <w:tc>
          <w:tcPr>
            <w:tcW w:w="20" w:type="dxa"/>
            <w:vAlign w:val="bottom"/>
            <w:tcBorders>
              <w:top w:val="single" w:sz="8" w:color="CCEEFF"/>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AUDIT COMMITTEE REPORT</w:t>
            </w:r>
          </w:p>
        </w:tc>
        <w:tc>
          <w:tcPr>
            <w:tcW w:w="320" w:type="dxa"/>
            <w:vAlign w:val="bottom"/>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tcPr>
          <w:p>
            <w:pPr>
              <w:jc w:val="right"/>
              <w:spacing w:after="0" w:line="196" w:lineRule="exact"/>
              <w:rPr>
                <w:sz w:val="20"/>
                <w:szCs w:val="20"/>
                <w:color w:val="auto"/>
              </w:rPr>
            </w:pPr>
            <w:r>
              <w:rPr>
                <w:rFonts w:ascii="Arial" w:cs="Arial" w:eastAsia="Arial" w:hAnsi="Arial"/>
                <w:sz w:val="18"/>
                <w:szCs w:val="18"/>
                <w:color w:val="0000EE"/>
                <w:w w:val="99"/>
              </w:rPr>
              <w:t>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 w:type="dxa"/>
            <w:vAlign w:val="bottom"/>
            <w:tcBorders>
              <w:bottom w:val="single" w:sz="8" w:color="00C08A"/>
            </w:tcBorders>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bottom w:val="single" w:sz="8" w:color="00C08A"/>
            </w:tcBorders>
          </w:tcPr>
          <w:p>
            <w:pPr>
              <w:spacing w:after="0"/>
              <w:rPr>
                <w:sz w:val="3"/>
                <w:szCs w:val="3"/>
                <w:color w:val="auto"/>
              </w:rPr>
            </w:pPr>
          </w:p>
        </w:tc>
        <w:tc>
          <w:tcPr>
            <w:tcW w:w="300" w:type="dxa"/>
            <w:vAlign w:val="bottom"/>
            <w:tcBorders>
              <w:bottom w:val="single" w:sz="8" w:color="00C08A"/>
            </w:tcBorders>
          </w:tcPr>
          <w:p>
            <w:pPr>
              <w:spacing w:after="0"/>
              <w:rPr>
                <w:sz w:val="3"/>
                <w:szCs w:val="3"/>
                <w:color w:val="auto"/>
              </w:rPr>
            </w:pPr>
          </w:p>
        </w:tc>
        <w:tc>
          <w:tcPr>
            <w:tcW w:w="880" w:type="dxa"/>
            <w:vAlign w:val="bottom"/>
            <w:tcBorders>
              <w:bottom w:val="single" w:sz="8" w:color="00C08A"/>
            </w:tcBorders>
          </w:tcPr>
          <w:p>
            <w:pPr>
              <w:spacing w:after="0"/>
              <w:rPr>
                <w:sz w:val="3"/>
                <w:szCs w:val="3"/>
                <w:color w:val="auto"/>
              </w:rPr>
            </w:pPr>
          </w:p>
        </w:tc>
        <w:tc>
          <w:tcPr>
            <w:tcW w:w="26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300" w:type="dxa"/>
            <w:vAlign w:val="bottom"/>
            <w:tcBorders>
              <w:bottom w:val="single" w:sz="8" w:color="00C08A"/>
            </w:tcBorders>
          </w:tcPr>
          <w:p>
            <w:pPr>
              <w:spacing w:after="0"/>
              <w:rPr>
                <w:sz w:val="3"/>
                <w:szCs w:val="3"/>
                <w:color w:val="auto"/>
              </w:rPr>
            </w:pPr>
          </w:p>
        </w:tc>
        <w:tc>
          <w:tcPr>
            <w:tcW w:w="220" w:type="dxa"/>
            <w:vAlign w:val="bottom"/>
            <w:tcBorders>
              <w:bottom w:val="single" w:sz="8" w:color="00C08A"/>
            </w:tcBorders>
          </w:tcPr>
          <w:p>
            <w:pPr>
              <w:spacing w:after="0"/>
              <w:rPr>
                <w:sz w:val="3"/>
                <w:szCs w:val="3"/>
                <w:color w:val="auto"/>
              </w:rPr>
            </w:pPr>
          </w:p>
        </w:tc>
        <w:tc>
          <w:tcPr>
            <w:tcW w:w="940" w:type="dxa"/>
            <w:vAlign w:val="bottom"/>
            <w:tcBorders>
              <w:bottom w:val="single" w:sz="8" w:color="00C08A"/>
            </w:tcBorders>
          </w:tcPr>
          <w:p>
            <w:pPr>
              <w:spacing w:after="0"/>
              <w:rPr>
                <w:sz w:val="3"/>
                <w:szCs w:val="3"/>
                <w:color w:val="auto"/>
              </w:rPr>
            </w:pPr>
          </w:p>
        </w:tc>
        <w:tc>
          <w:tcPr>
            <w:tcW w:w="320" w:type="dxa"/>
            <w:vAlign w:val="bottom"/>
            <w:tcBorders>
              <w:bottom w:val="single" w:sz="8" w:color="00C08A"/>
            </w:tcBorders>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STOCK OWNERSHIP OF CERTAIN BENEFICIAL OWNERS AND MANAGEMENT</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w w:val="99"/>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 w:type="dxa"/>
            <w:vAlign w:val="bottom"/>
            <w:tcBorders>
              <w:top w:val="single" w:sz="8" w:color="CCEEFF"/>
              <w:bottom w:val="single" w:sz="8" w:color="00C08A"/>
            </w:tcBorders>
            <w:shd w:val="clear" w:color="auto" w:fill="CCEEFF"/>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top w:val="single" w:sz="8" w:color="CCEEFF"/>
              <w:bottom w:val="single" w:sz="8" w:color="00C08A"/>
            </w:tcBorders>
            <w:shd w:val="clear" w:color="auto" w:fill="CCEEFF"/>
          </w:tcPr>
          <w:p>
            <w:pPr>
              <w:spacing w:after="0"/>
              <w:rPr>
                <w:sz w:val="3"/>
                <w:szCs w:val="3"/>
                <w:color w:val="auto"/>
              </w:rPr>
            </w:pPr>
          </w:p>
        </w:tc>
        <w:tc>
          <w:tcPr>
            <w:tcW w:w="300" w:type="dxa"/>
            <w:vAlign w:val="bottom"/>
            <w:tcBorders>
              <w:top w:val="single" w:sz="8" w:color="CCEEFF"/>
              <w:bottom w:val="single" w:sz="8" w:color="00C08A"/>
            </w:tcBorders>
            <w:shd w:val="clear" w:color="auto" w:fill="CCEEFF"/>
          </w:tcPr>
          <w:p>
            <w:pPr>
              <w:spacing w:after="0"/>
              <w:rPr>
                <w:sz w:val="3"/>
                <w:szCs w:val="3"/>
                <w:color w:val="auto"/>
              </w:rPr>
            </w:pPr>
          </w:p>
        </w:tc>
        <w:tc>
          <w:tcPr>
            <w:tcW w:w="880" w:type="dxa"/>
            <w:vAlign w:val="bottom"/>
            <w:tcBorders>
              <w:top w:val="single" w:sz="8" w:color="CCEEFF"/>
              <w:bottom w:val="single" w:sz="8" w:color="00C08A"/>
            </w:tcBorders>
            <w:shd w:val="clear" w:color="auto" w:fill="CCEEFF"/>
          </w:tcPr>
          <w:p>
            <w:pPr>
              <w:spacing w:after="0"/>
              <w:rPr>
                <w:sz w:val="3"/>
                <w:szCs w:val="3"/>
                <w:color w:val="auto"/>
              </w:rPr>
            </w:pPr>
          </w:p>
        </w:tc>
        <w:tc>
          <w:tcPr>
            <w:tcW w:w="260" w:type="dxa"/>
            <w:vAlign w:val="bottom"/>
            <w:tcBorders>
              <w:top w:val="single" w:sz="8" w:color="CCEEFF"/>
              <w:bottom w:val="single" w:sz="8" w:color="00C08A"/>
            </w:tcBorders>
            <w:shd w:val="clear" w:color="auto" w:fill="CCEEFF"/>
          </w:tcPr>
          <w:p>
            <w:pPr>
              <w:spacing w:after="0"/>
              <w:rPr>
                <w:sz w:val="3"/>
                <w:szCs w:val="3"/>
                <w:color w:val="auto"/>
              </w:rPr>
            </w:pPr>
          </w:p>
        </w:tc>
        <w:tc>
          <w:tcPr>
            <w:tcW w:w="520" w:type="dxa"/>
            <w:vAlign w:val="bottom"/>
            <w:tcBorders>
              <w:top w:val="single" w:sz="8" w:color="CCEEFF"/>
              <w:bottom w:val="single" w:sz="8" w:color="00C08A"/>
            </w:tcBorders>
            <w:shd w:val="clear" w:color="auto" w:fill="CCEEFF"/>
          </w:tcPr>
          <w:p>
            <w:pPr>
              <w:spacing w:after="0"/>
              <w:rPr>
                <w:sz w:val="3"/>
                <w:szCs w:val="3"/>
                <w:color w:val="auto"/>
              </w:rPr>
            </w:pPr>
          </w:p>
        </w:tc>
        <w:tc>
          <w:tcPr>
            <w:tcW w:w="580" w:type="dxa"/>
            <w:vAlign w:val="bottom"/>
            <w:tcBorders>
              <w:top w:val="single" w:sz="8" w:color="CCEEFF"/>
              <w:bottom w:val="single" w:sz="8" w:color="00C08A"/>
            </w:tcBorders>
            <w:shd w:val="clear" w:color="auto" w:fill="CCEEFF"/>
          </w:tcPr>
          <w:p>
            <w:pPr>
              <w:spacing w:after="0"/>
              <w:rPr>
                <w:sz w:val="3"/>
                <w:szCs w:val="3"/>
                <w:color w:val="auto"/>
              </w:rPr>
            </w:pPr>
          </w:p>
        </w:tc>
        <w:tc>
          <w:tcPr>
            <w:tcW w:w="3300" w:type="dxa"/>
            <w:vAlign w:val="bottom"/>
            <w:tcBorders>
              <w:top w:val="single" w:sz="8" w:color="CCEEFF"/>
              <w:bottom w:val="single" w:sz="8" w:color="00C08A"/>
            </w:tcBorders>
            <w:shd w:val="clear" w:color="auto" w:fill="CCEEFF"/>
          </w:tcPr>
          <w:p>
            <w:pPr>
              <w:spacing w:after="0"/>
              <w:rPr>
                <w:sz w:val="3"/>
                <w:szCs w:val="3"/>
                <w:color w:val="auto"/>
              </w:rPr>
            </w:pPr>
          </w:p>
        </w:tc>
        <w:tc>
          <w:tcPr>
            <w:tcW w:w="220" w:type="dxa"/>
            <w:vAlign w:val="bottom"/>
            <w:tcBorders>
              <w:top w:val="single" w:sz="8" w:color="CCEEFF"/>
              <w:bottom w:val="single" w:sz="8" w:color="00C08A"/>
            </w:tcBorders>
            <w:shd w:val="clear" w:color="auto" w:fill="CCEEFF"/>
          </w:tcPr>
          <w:p>
            <w:pPr>
              <w:spacing w:after="0"/>
              <w:rPr>
                <w:sz w:val="3"/>
                <w:szCs w:val="3"/>
                <w:color w:val="auto"/>
              </w:rPr>
            </w:pPr>
          </w:p>
        </w:tc>
        <w:tc>
          <w:tcPr>
            <w:tcW w:w="940" w:type="dxa"/>
            <w:vAlign w:val="bottom"/>
            <w:tcBorders>
              <w:top w:val="single" w:sz="8" w:color="CCEEFF"/>
              <w:bottom w:val="single" w:sz="8" w:color="00C08A"/>
            </w:tcBorders>
            <w:shd w:val="clear" w:color="auto" w:fill="CCEEFF"/>
          </w:tcPr>
          <w:p>
            <w:pPr>
              <w:spacing w:after="0"/>
              <w:rPr>
                <w:sz w:val="3"/>
                <w:szCs w:val="3"/>
                <w:color w:val="auto"/>
              </w:rPr>
            </w:pPr>
          </w:p>
        </w:tc>
        <w:tc>
          <w:tcPr>
            <w:tcW w:w="320" w:type="dxa"/>
            <w:vAlign w:val="bottom"/>
            <w:tcBorders>
              <w:top w:val="single" w:sz="8" w:color="CCEEFF"/>
              <w:bottom w:val="single" w:sz="8" w:color="00C08A"/>
            </w:tcBorders>
            <w:shd w:val="clear" w:color="auto" w:fill="CCEEFF"/>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top w:val="single" w:sz="8" w:color="CCEEFF"/>
              <w:bottom w:val="single" w:sz="8" w:color="00C08A"/>
            </w:tcBorders>
            <w:shd w:val="clear" w:color="auto" w:fill="CCEEFF"/>
          </w:tcPr>
          <w:p>
            <w:pPr>
              <w:spacing w:after="0"/>
              <w:rPr>
                <w:sz w:val="3"/>
                <w:szCs w:val="3"/>
                <w:color w:val="auto"/>
              </w:rPr>
            </w:pPr>
          </w:p>
        </w:tc>
        <w:tc>
          <w:tcPr>
            <w:tcW w:w="20" w:type="dxa"/>
            <w:vAlign w:val="bottom"/>
            <w:tcBorders>
              <w:top w:val="single" w:sz="8" w:color="CCEEFF"/>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CERTAIN RELATIONSHIPS AND RELATED PARTY TRANSACTIONS</w:t>
            </w:r>
          </w:p>
        </w:tc>
        <w:tc>
          <w:tcPr>
            <w:tcW w:w="320" w:type="dxa"/>
            <w:vAlign w:val="bottom"/>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tcPr>
          <w:p>
            <w:pPr>
              <w:jc w:val="right"/>
              <w:spacing w:after="0" w:line="196" w:lineRule="exact"/>
              <w:rPr>
                <w:sz w:val="20"/>
                <w:szCs w:val="20"/>
                <w:color w:val="auto"/>
              </w:rPr>
            </w:pPr>
            <w:r>
              <w:rPr>
                <w:rFonts w:ascii="Arial" w:cs="Arial" w:eastAsia="Arial" w:hAnsi="Arial"/>
                <w:sz w:val="18"/>
                <w:szCs w:val="18"/>
                <w:color w:val="0000EE"/>
                <w:w w:val="99"/>
              </w:rPr>
              <w:t>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 w:type="dxa"/>
            <w:vAlign w:val="bottom"/>
            <w:tcBorders>
              <w:bottom w:val="single" w:sz="8" w:color="00C08A"/>
            </w:tcBorders>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bottom w:val="single" w:sz="8" w:color="00C08A"/>
            </w:tcBorders>
          </w:tcPr>
          <w:p>
            <w:pPr>
              <w:spacing w:after="0"/>
              <w:rPr>
                <w:sz w:val="3"/>
                <w:szCs w:val="3"/>
                <w:color w:val="auto"/>
              </w:rPr>
            </w:pPr>
          </w:p>
        </w:tc>
        <w:tc>
          <w:tcPr>
            <w:tcW w:w="300" w:type="dxa"/>
            <w:vAlign w:val="bottom"/>
            <w:tcBorders>
              <w:bottom w:val="single" w:sz="8" w:color="00C08A"/>
            </w:tcBorders>
          </w:tcPr>
          <w:p>
            <w:pPr>
              <w:spacing w:after="0"/>
              <w:rPr>
                <w:sz w:val="3"/>
                <w:szCs w:val="3"/>
                <w:color w:val="auto"/>
              </w:rPr>
            </w:pPr>
          </w:p>
        </w:tc>
        <w:tc>
          <w:tcPr>
            <w:tcW w:w="880" w:type="dxa"/>
            <w:vAlign w:val="bottom"/>
            <w:tcBorders>
              <w:bottom w:val="single" w:sz="8" w:color="00C08A"/>
            </w:tcBorders>
          </w:tcPr>
          <w:p>
            <w:pPr>
              <w:spacing w:after="0"/>
              <w:rPr>
                <w:sz w:val="3"/>
                <w:szCs w:val="3"/>
                <w:color w:val="auto"/>
              </w:rPr>
            </w:pPr>
          </w:p>
        </w:tc>
        <w:tc>
          <w:tcPr>
            <w:tcW w:w="26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300" w:type="dxa"/>
            <w:vAlign w:val="bottom"/>
            <w:tcBorders>
              <w:bottom w:val="single" w:sz="8" w:color="00C08A"/>
            </w:tcBorders>
          </w:tcPr>
          <w:p>
            <w:pPr>
              <w:spacing w:after="0"/>
              <w:rPr>
                <w:sz w:val="3"/>
                <w:szCs w:val="3"/>
                <w:color w:val="auto"/>
              </w:rPr>
            </w:pPr>
          </w:p>
        </w:tc>
        <w:tc>
          <w:tcPr>
            <w:tcW w:w="220" w:type="dxa"/>
            <w:vAlign w:val="bottom"/>
            <w:tcBorders>
              <w:bottom w:val="single" w:sz="8" w:color="00C08A"/>
            </w:tcBorders>
          </w:tcPr>
          <w:p>
            <w:pPr>
              <w:spacing w:after="0"/>
              <w:rPr>
                <w:sz w:val="3"/>
                <w:szCs w:val="3"/>
                <w:color w:val="auto"/>
              </w:rPr>
            </w:pPr>
          </w:p>
        </w:tc>
        <w:tc>
          <w:tcPr>
            <w:tcW w:w="940" w:type="dxa"/>
            <w:vAlign w:val="bottom"/>
            <w:tcBorders>
              <w:bottom w:val="single" w:sz="8" w:color="00C08A"/>
            </w:tcBorders>
          </w:tcPr>
          <w:p>
            <w:pPr>
              <w:spacing w:after="0"/>
              <w:rPr>
                <w:sz w:val="3"/>
                <w:szCs w:val="3"/>
                <w:color w:val="auto"/>
              </w:rPr>
            </w:pPr>
          </w:p>
        </w:tc>
        <w:tc>
          <w:tcPr>
            <w:tcW w:w="320" w:type="dxa"/>
            <w:vAlign w:val="bottom"/>
            <w:tcBorders>
              <w:bottom w:val="single" w:sz="8" w:color="00C08A"/>
            </w:tcBorders>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DELINQUENT SECTION 16(A) REPORTS</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w w:val="99"/>
              </w:rPr>
              <w:t>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80" w:type="dxa"/>
            <w:vAlign w:val="bottom"/>
            <w:tcBorders>
              <w:top w:val="single" w:sz="8" w:color="CCEEFF"/>
              <w:bottom w:val="single" w:sz="8" w:color="00C08A"/>
            </w:tcBorders>
            <w:shd w:val="clear" w:color="auto" w:fill="CCEEFF"/>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top w:val="single" w:sz="8" w:color="CCEEFF"/>
              <w:bottom w:val="single" w:sz="8" w:color="00C08A"/>
            </w:tcBorders>
            <w:shd w:val="clear" w:color="auto" w:fill="CCEEFF"/>
          </w:tcPr>
          <w:p>
            <w:pPr>
              <w:spacing w:after="0"/>
              <w:rPr>
                <w:sz w:val="3"/>
                <w:szCs w:val="3"/>
                <w:color w:val="auto"/>
              </w:rPr>
            </w:pPr>
          </w:p>
        </w:tc>
        <w:tc>
          <w:tcPr>
            <w:tcW w:w="300" w:type="dxa"/>
            <w:vAlign w:val="bottom"/>
            <w:tcBorders>
              <w:top w:val="single" w:sz="8" w:color="CCEEFF"/>
              <w:bottom w:val="single" w:sz="8" w:color="00C08A"/>
            </w:tcBorders>
            <w:shd w:val="clear" w:color="auto" w:fill="CCEEFF"/>
          </w:tcPr>
          <w:p>
            <w:pPr>
              <w:spacing w:after="0"/>
              <w:rPr>
                <w:sz w:val="3"/>
                <w:szCs w:val="3"/>
                <w:color w:val="auto"/>
              </w:rPr>
            </w:pPr>
          </w:p>
        </w:tc>
        <w:tc>
          <w:tcPr>
            <w:tcW w:w="880" w:type="dxa"/>
            <w:vAlign w:val="bottom"/>
            <w:tcBorders>
              <w:top w:val="single" w:sz="8" w:color="CCEEFF"/>
              <w:bottom w:val="single" w:sz="8" w:color="00C08A"/>
            </w:tcBorders>
            <w:shd w:val="clear" w:color="auto" w:fill="CCEEFF"/>
          </w:tcPr>
          <w:p>
            <w:pPr>
              <w:spacing w:after="0"/>
              <w:rPr>
                <w:sz w:val="3"/>
                <w:szCs w:val="3"/>
                <w:color w:val="auto"/>
              </w:rPr>
            </w:pPr>
          </w:p>
        </w:tc>
        <w:tc>
          <w:tcPr>
            <w:tcW w:w="260" w:type="dxa"/>
            <w:vAlign w:val="bottom"/>
            <w:tcBorders>
              <w:top w:val="single" w:sz="8" w:color="CCEEFF"/>
              <w:bottom w:val="single" w:sz="8" w:color="00C08A"/>
            </w:tcBorders>
            <w:shd w:val="clear" w:color="auto" w:fill="CCEEFF"/>
          </w:tcPr>
          <w:p>
            <w:pPr>
              <w:spacing w:after="0"/>
              <w:rPr>
                <w:sz w:val="3"/>
                <w:szCs w:val="3"/>
                <w:color w:val="auto"/>
              </w:rPr>
            </w:pPr>
          </w:p>
        </w:tc>
        <w:tc>
          <w:tcPr>
            <w:tcW w:w="520" w:type="dxa"/>
            <w:vAlign w:val="bottom"/>
            <w:tcBorders>
              <w:top w:val="single" w:sz="8" w:color="CCEEFF"/>
              <w:bottom w:val="single" w:sz="8" w:color="00C08A"/>
            </w:tcBorders>
            <w:shd w:val="clear" w:color="auto" w:fill="CCEEFF"/>
          </w:tcPr>
          <w:p>
            <w:pPr>
              <w:spacing w:after="0"/>
              <w:rPr>
                <w:sz w:val="3"/>
                <w:szCs w:val="3"/>
                <w:color w:val="auto"/>
              </w:rPr>
            </w:pPr>
          </w:p>
        </w:tc>
        <w:tc>
          <w:tcPr>
            <w:tcW w:w="580" w:type="dxa"/>
            <w:vAlign w:val="bottom"/>
            <w:tcBorders>
              <w:top w:val="single" w:sz="8" w:color="CCEEFF"/>
              <w:bottom w:val="single" w:sz="8" w:color="00C08A"/>
            </w:tcBorders>
            <w:shd w:val="clear" w:color="auto" w:fill="CCEEFF"/>
          </w:tcPr>
          <w:p>
            <w:pPr>
              <w:spacing w:after="0"/>
              <w:rPr>
                <w:sz w:val="3"/>
                <w:szCs w:val="3"/>
                <w:color w:val="auto"/>
              </w:rPr>
            </w:pPr>
          </w:p>
        </w:tc>
        <w:tc>
          <w:tcPr>
            <w:tcW w:w="3300" w:type="dxa"/>
            <w:vAlign w:val="bottom"/>
            <w:tcBorders>
              <w:top w:val="single" w:sz="8" w:color="CCEEFF"/>
              <w:bottom w:val="single" w:sz="8" w:color="00C08A"/>
            </w:tcBorders>
            <w:shd w:val="clear" w:color="auto" w:fill="CCEEFF"/>
          </w:tcPr>
          <w:p>
            <w:pPr>
              <w:spacing w:after="0"/>
              <w:rPr>
                <w:sz w:val="3"/>
                <w:szCs w:val="3"/>
                <w:color w:val="auto"/>
              </w:rPr>
            </w:pPr>
          </w:p>
        </w:tc>
        <w:tc>
          <w:tcPr>
            <w:tcW w:w="220" w:type="dxa"/>
            <w:vAlign w:val="bottom"/>
            <w:tcBorders>
              <w:top w:val="single" w:sz="8" w:color="CCEEFF"/>
              <w:bottom w:val="single" w:sz="8" w:color="00C08A"/>
            </w:tcBorders>
            <w:shd w:val="clear" w:color="auto" w:fill="CCEEFF"/>
          </w:tcPr>
          <w:p>
            <w:pPr>
              <w:spacing w:after="0"/>
              <w:rPr>
                <w:sz w:val="3"/>
                <w:szCs w:val="3"/>
                <w:color w:val="auto"/>
              </w:rPr>
            </w:pPr>
          </w:p>
        </w:tc>
        <w:tc>
          <w:tcPr>
            <w:tcW w:w="940" w:type="dxa"/>
            <w:vAlign w:val="bottom"/>
            <w:tcBorders>
              <w:top w:val="single" w:sz="8" w:color="CCEEFF"/>
              <w:bottom w:val="single" w:sz="8" w:color="00C08A"/>
            </w:tcBorders>
            <w:shd w:val="clear" w:color="auto" w:fill="CCEEFF"/>
          </w:tcPr>
          <w:p>
            <w:pPr>
              <w:spacing w:after="0"/>
              <w:rPr>
                <w:sz w:val="3"/>
                <w:szCs w:val="3"/>
                <w:color w:val="auto"/>
              </w:rPr>
            </w:pPr>
          </w:p>
        </w:tc>
        <w:tc>
          <w:tcPr>
            <w:tcW w:w="320" w:type="dxa"/>
            <w:vAlign w:val="bottom"/>
            <w:tcBorders>
              <w:top w:val="single" w:sz="8" w:color="CCEEFF"/>
              <w:bottom w:val="single" w:sz="8" w:color="00C08A"/>
            </w:tcBorders>
            <w:shd w:val="clear" w:color="auto" w:fill="CCEEFF"/>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top w:val="single" w:sz="8" w:color="CCEEFF"/>
              <w:bottom w:val="single" w:sz="8" w:color="00C08A"/>
            </w:tcBorders>
            <w:shd w:val="clear" w:color="auto" w:fill="CCEEFF"/>
          </w:tcPr>
          <w:p>
            <w:pPr>
              <w:spacing w:after="0"/>
              <w:rPr>
                <w:sz w:val="3"/>
                <w:szCs w:val="3"/>
                <w:color w:val="auto"/>
              </w:rPr>
            </w:pPr>
          </w:p>
        </w:tc>
        <w:tc>
          <w:tcPr>
            <w:tcW w:w="20" w:type="dxa"/>
            <w:vAlign w:val="bottom"/>
            <w:tcBorders>
              <w:top w:val="single" w:sz="8" w:color="CCEEFF"/>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ADDITIONAL INFORMATION</w:t>
            </w:r>
          </w:p>
        </w:tc>
        <w:tc>
          <w:tcPr>
            <w:tcW w:w="320" w:type="dxa"/>
            <w:vAlign w:val="bottom"/>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tcPr>
          <w:p>
            <w:pPr>
              <w:jc w:val="right"/>
              <w:spacing w:after="0" w:line="196" w:lineRule="exact"/>
              <w:rPr>
                <w:sz w:val="20"/>
                <w:szCs w:val="20"/>
                <w:color w:val="auto"/>
              </w:rPr>
            </w:pPr>
            <w:r>
              <w:rPr>
                <w:rFonts w:ascii="Arial" w:cs="Arial" w:eastAsia="Arial" w:hAnsi="Arial"/>
                <w:sz w:val="18"/>
                <w:szCs w:val="18"/>
                <w:color w:val="0000EE"/>
                <w:w w:val="99"/>
              </w:rPr>
              <w:t>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80" w:type="dxa"/>
            <w:vAlign w:val="bottom"/>
            <w:tcBorders>
              <w:bottom w:val="single" w:sz="8" w:color="00C08A"/>
            </w:tcBorders>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bottom w:val="single" w:sz="8" w:color="00C08A"/>
            </w:tcBorders>
          </w:tcPr>
          <w:p>
            <w:pPr>
              <w:spacing w:after="0"/>
              <w:rPr>
                <w:sz w:val="3"/>
                <w:szCs w:val="3"/>
                <w:color w:val="auto"/>
              </w:rPr>
            </w:pPr>
          </w:p>
        </w:tc>
        <w:tc>
          <w:tcPr>
            <w:tcW w:w="300" w:type="dxa"/>
            <w:vAlign w:val="bottom"/>
            <w:tcBorders>
              <w:bottom w:val="single" w:sz="8" w:color="00C08A"/>
            </w:tcBorders>
          </w:tcPr>
          <w:p>
            <w:pPr>
              <w:spacing w:after="0"/>
              <w:rPr>
                <w:sz w:val="3"/>
                <w:szCs w:val="3"/>
                <w:color w:val="auto"/>
              </w:rPr>
            </w:pPr>
          </w:p>
        </w:tc>
        <w:tc>
          <w:tcPr>
            <w:tcW w:w="880" w:type="dxa"/>
            <w:vAlign w:val="bottom"/>
            <w:tcBorders>
              <w:bottom w:val="single" w:sz="8" w:color="00C08A"/>
            </w:tcBorders>
          </w:tcPr>
          <w:p>
            <w:pPr>
              <w:spacing w:after="0"/>
              <w:rPr>
                <w:sz w:val="3"/>
                <w:szCs w:val="3"/>
                <w:color w:val="auto"/>
              </w:rPr>
            </w:pPr>
          </w:p>
        </w:tc>
        <w:tc>
          <w:tcPr>
            <w:tcW w:w="26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3300" w:type="dxa"/>
            <w:vAlign w:val="bottom"/>
            <w:tcBorders>
              <w:bottom w:val="single" w:sz="8" w:color="00C08A"/>
            </w:tcBorders>
          </w:tcPr>
          <w:p>
            <w:pPr>
              <w:spacing w:after="0"/>
              <w:rPr>
                <w:sz w:val="3"/>
                <w:szCs w:val="3"/>
                <w:color w:val="auto"/>
              </w:rPr>
            </w:pPr>
          </w:p>
        </w:tc>
        <w:tc>
          <w:tcPr>
            <w:tcW w:w="220" w:type="dxa"/>
            <w:vAlign w:val="bottom"/>
            <w:tcBorders>
              <w:bottom w:val="single" w:sz="8" w:color="00C08A"/>
            </w:tcBorders>
          </w:tcPr>
          <w:p>
            <w:pPr>
              <w:spacing w:after="0"/>
              <w:rPr>
                <w:sz w:val="3"/>
                <w:szCs w:val="3"/>
                <w:color w:val="auto"/>
              </w:rPr>
            </w:pPr>
          </w:p>
        </w:tc>
        <w:tc>
          <w:tcPr>
            <w:tcW w:w="940" w:type="dxa"/>
            <w:vAlign w:val="bottom"/>
            <w:tcBorders>
              <w:bottom w:val="single" w:sz="8" w:color="00C08A"/>
            </w:tcBorders>
          </w:tcPr>
          <w:p>
            <w:pPr>
              <w:spacing w:after="0"/>
              <w:rPr>
                <w:sz w:val="3"/>
                <w:szCs w:val="3"/>
                <w:color w:val="auto"/>
              </w:rPr>
            </w:pPr>
          </w:p>
        </w:tc>
        <w:tc>
          <w:tcPr>
            <w:tcW w:w="320" w:type="dxa"/>
            <w:vAlign w:val="bottom"/>
            <w:tcBorders>
              <w:bottom w:val="single" w:sz="8" w:color="00C08A"/>
            </w:tcBorders>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100" w:type="dxa"/>
            <w:vAlign w:val="bottom"/>
            <w:tcBorders>
              <w:top w:val="single" w:sz="8" w:color="0000EE"/>
              <w:bottom w:val="single" w:sz="8" w:color="00C08A"/>
            </w:tcBorders>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3"/>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GENERAL INFORMATION</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w w:val="99"/>
              </w:rPr>
              <w:t>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80" w:type="dxa"/>
            <w:vAlign w:val="bottom"/>
            <w:tcBorders>
              <w:top w:val="single" w:sz="8" w:color="CCEEFF"/>
              <w:bottom w:val="single" w:sz="8" w:color="00C08A"/>
            </w:tcBorders>
            <w:shd w:val="clear" w:color="auto" w:fill="CCEEFF"/>
          </w:tcPr>
          <w:p>
            <w:pPr>
              <w:spacing w:after="0" w:line="41" w:lineRule="exact"/>
              <w:rPr>
                <w:sz w:val="20"/>
                <w:szCs w:val="20"/>
                <w:color w:val="auto"/>
              </w:rPr>
            </w:pPr>
            <w:r>
              <w:rPr>
                <w:rFonts w:ascii="Arial" w:cs="Arial" w:eastAsia="Arial" w:hAnsi="Arial"/>
                <w:sz w:val="4"/>
                <w:szCs w:val="4"/>
                <w:color w:val="auto"/>
              </w:rPr>
              <w:t>​</w:t>
            </w:r>
          </w:p>
        </w:tc>
        <w:tc>
          <w:tcPr>
            <w:tcW w:w="1400" w:type="dxa"/>
            <w:vAlign w:val="bottom"/>
            <w:tcBorders>
              <w:top w:val="single" w:sz="8" w:color="CCEEFF"/>
              <w:bottom w:val="single" w:sz="8" w:color="00C08A"/>
            </w:tcBorders>
            <w:shd w:val="clear" w:color="auto" w:fill="CCEEFF"/>
          </w:tcPr>
          <w:p>
            <w:pPr>
              <w:spacing w:after="0"/>
              <w:rPr>
                <w:sz w:val="3"/>
                <w:szCs w:val="3"/>
                <w:color w:val="auto"/>
              </w:rPr>
            </w:pPr>
          </w:p>
        </w:tc>
        <w:tc>
          <w:tcPr>
            <w:tcW w:w="300" w:type="dxa"/>
            <w:vAlign w:val="bottom"/>
            <w:tcBorders>
              <w:top w:val="single" w:sz="8" w:color="CCEEFF"/>
              <w:bottom w:val="single" w:sz="8" w:color="00C08A"/>
            </w:tcBorders>
            <w:shd w:val="clear" w:color="auto" w:fill="CCEEFF"/>
          </w:tcPr>
          <w:p>
            <w:pPr>
              <w:spacing w:after="0"/>
              <w:rPr>
                <w:sz w:val="3"/>
                <w:szCs w:val="3"/>
                <w:color w:val="auto"/>
              </w:rPr>
            </w:pPr>
          </w:p>
        </w:tc>
        <w:tc>
          <w:tcPr>
            <w:tcW w:w="880" w:type="dxa"/>
            <w:vAlign w:val="bottom"/>
            <w:tcBorders>
              <w:top w:val="single" w:sz="8" w:color="CCEEFF"/>
              <w:bottom w:val="single" w:sz="8" w:color="00C08A"/>
            </w:tcBorders>
            <w:shd w:val="clear" w:color="auto" w:fill="CCEEFF"/>
          </w:tcPr>
          <w:p>
            <w:pPr>
              <w:spacing w:after="0"/>
              <w:rPr>
                <w:sz w:val="3"/>
                <w:szCs w:val="3"/>
                <w:color w:val="auto"/>
              </w:rPr>
            </w:pPr>
          </w:p>
        </w:tc>
        <w:tc>
          <w:tcPr>
            <w:tcW w:w="260" w:type="dxa"/>
            <w:vAlign w:val="bottom"/>
            <w:tcBorders>
              <w:top w:val="single" w:sz="8" w:color="CCEEFF"/>
              <w:bottom w:val="single" w:sz="8" w:color="00C08A"/>
            </w:tcBorders>
            <w:shd w:val="clear" w:color="auto" w:fill="CCEEFF"/>
          </w:tcPr>
          <w:p>
            <w:pPr>
              <w:spacing w:after="0"/>
              <w:rPr>
                <w:sz w:val="3"/>
                <w:szCs w:val="3"/>
                <w:color w:val="auto"/>
              </w:rPr>
            </w:pPr>
          </w:p>
        </w:tc>
        <w:tc>
          <w:tcPr>
            <w:tcW w:w="520" w:type="dxa"/>
            <w:vAlign w:val="bottom"/>
            <w:tcBorders>
              <w:top w:val="single" w:sz="8" w:color="CCEEFF"/>
              <w:bottom w:val="single" w:sz="8" w:color="00C08A"/>
            </w:tcBorders>
            <w:shd w:val="clear" w:color="auto" w:fill="CCEEFF"/>
          </w:tcPr>
          <w:p>
            <w:pPr>
              <w:spacing w:after="0"/>
              <w:rPr>
                <w:sz w:val="3"/>
                <w:szCs w:val="3"/>
                <w:color w:val="auto"/>
              </w:rPr>
            </w:pPr>
          </w:p>
        </w:tc>
        <w:tc>
          <w:tcPr>
            <w:tcW w:w="580" w:type="dxa"/>
            <w:vAlign w:val="bottom"/>
            <w:tcBorders>
              <w:top w:val="single" w:sz="8" w:color="CCEEFF"/>
              <w:bottom w:val="single" w:sz="8" w:color="00C08A"/>
            </w:tcBorders>
            <w:shd w:val="clear" w:color="auto" w:fill="CCEEFF"/>
          </w:tcPr>
          <w:p>
            <w:pPr>
              <w:spacing w:after="0"/>
              <w:rPr>
                <w:sz w:val="3"/>
                <w:szCs w:val="3"/>
                <w:color w:val="auto"/>
              </w:rPr>
            </w:pPr>
          </w:p>
        </w:tc>
        <w:tc>
          <w:tcPr>
            <w:tcW w:w="3300" w:type="dxa"/>
            <w:vAlign w:val="bottom"/>
            <w:tcBorders>
              <w:top w:val="single" w:sz="8" w:color="CCEEFF"/>
              <w:bottom w:val="single" w:sz="8" w:color="00C08A"/>
            </w:tcBorders>
            <w:shd w:val="clear" w:color="auto" w:fill="CCEEFF"/>
          </w:tcPr>
          <w:p>
            <w:pPr>
              <w:spacing w:after="0"/>
              <w:rPr>
                <w:sz w:val="3"/>
                <w:szCs w:val="3"/>
                <w:color w:val="auto"/>
              </w:rPr>
            </w:pPr>
          </w:p>
        </w:tc>
        <w:tc>
          <w:tcPr>
            <w:tcW w:w="220" w:type="dxa"/>
            <w:vAlign w:val="bottom"/>
            <w:tcBorders>
              <w:top w:val="single" w:sz="8" w:color="CCEEFF"/>
              <w:bottom w:val="single" w:sz="8" w:color="00C08A"/>
            </w:tcBorders>
            <w:shd w:val="clear" w:color="auto" w:fill="CCEEFF"/>
          </w:tcPr>
          <w:p>
            <w:pPr>
              <w:spacing w:after="0"/>
              <w:rPr>
                <w:sz w:val="3"/>
                <w:szCs w:val="3"/>
                <w:color w:val="auto"/>
              </w:rPr>
            </w:pPr>
          </w:p>
        </w:tc>
        <w:tc>
          <w:tcPr>
            <w:tcW w:w="940" w:type="dxa"/>
            <w:vAlign w:val="bottom"/>
            <w:tcBorders>
              <w:top w:val="single" w:sz="8" w:color="CCEEFF"/>
              <w:bottom w:val="single" w:sz="8" w:color="00C08A"/>
            </w:tcBorders>
            <w:shd w:val="clear" w:color="auto" w:fill="CCEEFF"/>
          </w:tcPr>
          <w:p>
            <w:pPr>
              <w:spacing w:after="0"/>
              <w:rPr>
                <w:sz w:val="3"/>
                <w:szCs w:val="3"/>
                <w:color w:val="auto"/>
              </w:rPr>
            </w:pPr>
          </w:p>
        </w:tc>
        <w:tc>
          <w:tcPr>
            <w:tcW w:w="320" w:type="dxa"/>
            <w:vAlign w:val="bottom"/>
            <w:tcBorders>
              <w:top w:val="single" w:sz="8" w:color="CCEEFF"/>
              <w:bottom w:val="single" w:sz="8" w:color="00C08A"/>
            </w:tcBorders>
            <w:shd w:val="clear" w:color="auto" w:fill="CCEEFF"/>
          </w:tcPr>
          <w:p>
            <w:pPr>
              <w:ind w:left="160"/>
              <w:spacing w:after="0" w:line="41" w:lineRule="exact"/>
              <w:rPr>
                <w:sz w:val="20"/>
                <w:szCs w:val="20"/>
                <w:color w:val="auto"/>
              </w:rPr>
            </w:pPr>
            <w:r>
              <w:rPr>
                <w:rFonts w:ascii="Arial" w:cs="Arial" w:eastAsia="Arial" w:hAnsi="Arial"/>
                <w:sz w:val="4"/>
                <w:szCs w:val="4"/>
                <w:color w:val="auto"/>
              </w:rPr>
              <w:t>​ ​</w:t>
            </w:r>
          </w:p>
        </w:tc>
        <w:tc>
          <w:tcPr>
            <w:tcW w:w="60" w:type="dxa"/>
            <w:vAlign w:val="bottom"/>
            <w:tcBorders>
              <w:top w:val="single" w:sz="8" w:color="CCEEFF"/>
              <w:bottom w:val="single" w:sz="8" w:color="00C08A"/>
            </w:tcBorders>
            <w:shd w:val="clear" w:color="auto" w:fill="CCEEFF"/>
          </w:tcPr>
          <w:p>
            <w:pPr>
              <w:spacing w:after="0"/>
              <w:rPr>
                <w:sz w:val="3"/>
                <w:szCs w:val="3"/>
                <w:color w:val="auto"/>
              </w:rPr>
            </w:pPr>
          </w:p>
        </w:tc>
        <w:tc>
          <w:tcPr>
            <w:tcW w:w="20" w:type="dxa"/>
            <w:vAlign w:val="bottom"/>
            <w:tcBorders>
              <w:top w:val="single" w:sz="8" w:color="CCEEFF"/>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100" w:type="dxa"/>
            <w:vAlign w:val="bottom"/>
            <w:tcBorders>
              <w:top w:val="single" w:sz="8" w:color="0000EE"/>
              <w:bottom w:val="single" w:sz="8" w:color="00C08A"/>
            </w:tcBorders>
            <w:shd w:val="clear" w:color="auto" w:fill="CCEEFF"/>
          </w:tcPr>
          <w:p>
            <w:pPr>
              <w:spacing w:after="0"/>
              <w:rPr>
                <w:sz w:val="3"/>
                <w:szCs w:val="3"/>
                <w:color w:val="auto"/>
              </w:rPr>
            </w:pPr>
          </w:p>
        </w:tc>
        <w:tc>
          <w:tcPr>
            <w:tcW w:w="60" w:type="dxa"/>
            <w:vAlign w:val="bottom"/>
          </w:tcPr>
          <w:p>
            <w:pPr>
              <w:spacing w:after="0" w:line="41"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96"/>
        </w:trPr>
        <w:tc>
          <w:tcPr>
            <w:tcW w:w="74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8"/>
              </w:rPr>
              <w:t>APPENDIX A: AMENDED AND RESTATED CERTIFICATE OF INCORPORATION OF VIRTU</w:t>
            </w:r>
          </w:p>
        </w:tc>
        <w:tc>
          <w:tcPr>
            <w:tcW w:w="1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8"/>
              </w:rPr>
              <w:t>FINANCIAL, INC.</w:t>
            </w:r>
          </w:p>
        </w:tc>
        <w:tc>
          <w:tcPr>
            <w:tcW w:w="7000" w:type="dxa"/>
            <w:vAlign w:val="bottom"/>
            <w:gridSpan w:val="8"/>
            <w:vMerge w:val="restart"/>
          </w:tcPr>
          <w:p>
            <w:pPr>
              <w:spacing w:after="0"/>
              <w:rPr>
                <w:sz w:val="17"/>
                <w:szCs w:val="17"/>
                <w:color w:val="auto"/>
              </w:rPr>
            </w:pPr>
          </w:p>
        </w:tc>
        <w:tc>
          <w:tcPr>
            <w:tcW w:w="320" w:type="dxa"/>
            <w:vAlign w:val="bottom"/>
            <w:vMerge w:val="restart"/>
          </w:tcPr>
          <w:p>
            <w:pPr>
              <w:ind w:left="1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b w:val="1"/>
                <w:bCs w:val="1"/>
                <w:color w:val="auto"/>
                <w:w w:val="85"/>
              </w:rPr>
              <w:t>​</w:t>
            </w:r>
            <w:r>
              <w:rPr>
                <w:rFonts w:ascii="Arial" w:cs="Arial" w:eastAsia="Arial" w:hAnsi="Arial"/>
                <w:sz w:val="18"/>
                <w:szCs w:val="18"/>
                <w:color w:val="0000EE"/>
                <w:w w:val="85"/>
              </w:rPr>
              <w:t>A-1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18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7000" w:type="dxa"/>
            <w:vAlign w:val="bottom"/>
            <w:gridSpan w:val="8"/>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280" w:type="dxa"/>
            <w:vAlign w:val="bottom"/>
            <w:gridSpan w:val="4"/>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C08A"/>
          </w:tcPr>
          <w:p>
            <w:pPr>
              <w:spacing w:after="0" w:line="20" w:lineRule="exact"/>
              <w:rPr>
                <w:sz w:val="1"/>
                <w:szCs w:val="1"/>
                <w:color w:val="auto"/>
              </w:rPr>
            </w:pPr>
          </w:p>
        </w:tc>
        <w:tc>
          <w:tcPr>
            <w:tcW w:w="140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880" w:type="dxa"/>
            <w:vAlign w:val="bottom"/>
            <w:shd w:val="clear" w:color="auto" w:fill="00C08A"/>
          </w:tcPr>
          <w:p>
            <w:pPr>
              <w:spacing w:after="0" w:line="20" w:lineRule="exact"/>
              <w:rPr>
                <w:sz w:val="1"/>
                <w:szCs w:val="1"/>
                <w:color w:val="auto"/>
              </w:rPr>
            </w:pPr>
          </w:p>
        </w:tc>
        <w:tc>
          <w:tcPr>
            <w:tcW w:w="26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3300" w:type="dxa"/>
            <w:vAlign w:val="bottom"/>
            <w:shd w:val="clear" w:color="auto" w:fill="00C08A"/>
          </w:tcPr>
          <w:p>
            <w:pPr>
              <w:spacing w:after="0" w:line="20" w:lineRule="exact"/>
              <w:rPr>
                <w:sz w:val="1"/>
                <w:szCs w:val="1"/>
                <w:color w:val="auto"/>
              </w:rPr>
            </w:pPr>
          </w:p>
        </w:tc>
        <w:tc>
          <w:tcPr>
            <w:tcW w:w="220" w:type="dxa"/>
            <w:vAlign w:val="bottom"/>
            <w:shd w:val="clear" w:color="auto" w:fill="00C08A"/>
          </w:tcPr>
          <w:p>
            <w:pPr>
              <w:spacing w:after="0" w:line="20" w:lineRule="exact"/>
              <w:rPr>
                <w:sz w:val="1"/>
                <w:szCs w:val="1"/>
                <w:color w:val="auto"/>
              </w:rPr>
            </w:pPr>
          </w:p>
        </w:tc>
        <w:tc>
          <w:tcPr>
            <w:tcW w:w="940" w:type="dxa"/>
            <w:vAlign w:val="bottom"/>
            <w:shd w:val="clear" w:color="auto" w:fill="00C08A"/>
          </w:tcPr>
          <w:p>
            <w:pPr>
              <w:spacing w:after="0" w:line="20" w:lineRule="exact"/>
              <w:rPr>
                <w:sz w:val="1"/>
                <w:szCs w:val="1"/>
                <w:color w:val="auto"/>
              </w:rPr>
            </w:pPr>
          </w:p>
        </w:tc>
        <w:tc>
          <w:tcPr>
            <w:tcW w:w="32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Borders>
              <w:left w:val="single" w:sz="8" w:color="00C08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-3745865</wp:posOffset>
            </wp:positionV>
            <wp:extent cx="1713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3865"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-3565525</wp:posOffset>
            </wp:positionV>
            <wp:extent cx="1036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-3385185</wp:posOffset>
            </wp:positionV>
            <wp:extent cx="2242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218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-3205480</wp:posOffset>
            </wp:positionV>
            <wp:extent cx="1553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384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-3025140</wp:posOffset>
            </wp:positionV>
            <wp:extent cx="5342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289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-2845435</wp:posOffset>
            </wp:positionV>
            <wp:extent cx="1591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131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-1628140</wp:posOffset>
            </wp:positionV>
            <wp:extent cx="4676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7614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-1447800</wp:posOffset>
            </wp:positionV>
            <wp:extent cx="519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9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-1268095</wp:posOffset>
            </wp:positionV>
            <wp:extent cx="1559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956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-1088390</wp:posOffset>
            </wp:positionV>
            <wp:extent cx="4191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-908050</wp:posOffset>
            </wp:positionV>
            <wp:extent cx="3565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552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-728345</wp:posOffset>
            </wp:positionV>
            <wp:extent cx="2159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63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-548005</wp:posOffset>
            </wp:positionV>
            <wp:extent cx="15024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0241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-368300</wp:posOffset>
            </wp:positionV>
            <wp:extent cx="13633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Proxy Statement Summary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Virtu Financial, Inc.</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New York, New York 10019</w:t>
      </w:r>
    </w:p>
    <w:p>
      <w:pPr>
        <w:spacing w:after="0" w:line="99"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 For more complete information regarding the Company’s 2022 fiscal year performance, please review the Company’s 2022 Annual Report on Form 10-K (the “</w:t>
      </w:r>
      <w:r>
        <w:rPr>
          <w:rFonts w:ascii="Arial" w:cs="Arial" w:eastAsia="Arial" w:hAnsi="Arial"/>
          <w:sz w:val="18"/>
          <w:szCs w:val="18"/>
          <w:b w:val="1"/>
          <w:bCs w:val="1"/>
          <w:i w:val="1"/>
          <w:iCs w:val="1"/>
          <w:color w:val="auto"/>
        </w:rPr>
        <w:t>2022 Annual Report</w:t>
      </w:r>
      <w:r>
        <w:rPr>
          <w:rFonts w:ascii="Arial" w:cs="Arial" w:eastAsia="Arial" w:hAnsi="Arial"/>
          <w:sz w:val="18"/>
          <w:szCs w:val="18"/>
          <w:i w:val="1"/>
          <w:iCs w:val="1"/>
          <w:color w:val="auto"/>
        </w:rPr>
        <w:t>”). This proxy statement also includes several website addresses and references to additional materials found on those websites. These websites and materials are not incorporated by reference herein.</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720" w:type="dxa"/>
            <w:vAlign w:val="bottom"/>
          </w:tcPr>
          <w:p>
            <w:pPr>
              <w:spacing w:after="0"/>
              <w:rPr>
                <w:sz w:val="20"/>
                <w:szCs w:val="20"/>
                <w:color w:val="auto"/>
              </w:rPr>
            </w:pPr>
            <w:r>
              <w:rPr>
                <w:rFonts w:ascii="Arial" w:cs="Arial" w:eastAsia="Arial" w:hAnsi="Arial"/>
                <w:sz w:val="20"/>
                <w:szCs w:val="20"/>
                <w:color w:val="00C08A"/>
              </w:rPr>
              <w:t>​</w:t>
            </w:r>
            <w:r>
              <w:rPr>
                <w:rFonts w:ascii="Arial" w:cs="Arial" w:eastAsia="Arial" w:hAnsi="Arial"/>
                <w:sz w:val="20"/>
                <w:szCs w:val="20"/>
                <w:b w:val="1"/>
                <w:bCs w:val="1"/>
                <w:color w:val="00C08A"/>
              </w:rPr>
              <w:t>DATE:</w:t>
            </w:r>
            <w:r>
              <w:rPr>
                <w:rFonts w:ascii="Arial" w:cs="Arial" w:eastAsia="Arial" w:hAnsi="Arial"/>
                <w:sz w:val="20"/>
                <w:szCs w:val="20"/>
                <w:color w:val="00C08A"/>
              </w:rPr>
              <w:t>​</w:t>
            </w:r>
          </w:p>
        </w:tc>
        <w:tc>
          <w:tcPr>
            <w:tcW w:w="180" w:type="dxa"/>
            <w:vAlign w:val="bottom"/>
          </w:tcPr>
          <w:p>
            <w:pPr>
              <w:ind w:left="60"/>
              <w:spacing w:after="0"/>
              <w:rPr>
                <w:sz w:val="20"/>
                <w:szCs w:val="20"/>
                <w:color w:val="auto"/>
              </w:rPr>
            </w:pPr>
            <w:r>
              <w:rPr>
                <w:rFonts w:ascii="Arial" w:cs="Arial" w:eastAsia="Arial" w:hAnsi="Arial"/>
                <w:sz w:val="20"/>
                <w:szCs w:val="20"/>
                <w:color w:val="00C08A"/>
              </w:rPr>
              <w:t>​</w:t>
            </w:r>
          </w:p>
        </w:tc>
        <w:tc>
          <w:tcPr>
            <w:tcW w:w="2300" w:type="dxa"/>
            <w:vAlign w:val="bottom"/>
          </w:tcPr>
          <w:p>
            <w:pPr>
              <w:ind w:left="80"/>
              <w:spacing w:after="0"/>
              <w:rPr>
                <w:sz w:val="20"/>
                <w:szCs w:val="20"/>
                <w:color w:val="auto"/>
              </w:rPr>
            </w:pPr>
            <w:r>
              <w:rPr>
                <w:rFonts w:ascii="Arial" w:cs="Arial" w:eastAsia="Arial" w:hAnsi="Arial"/>
                <w:sz w:val="20"/>
                <w:szCs w:val="20"/>
                <w:color w:val="002453"/>
              </w:rPr>
              <w:t>Tuesday, June 13, 2023</w:t>
            </w:r>
            <w:r>
              <w:rPr>
                <w:rFonts w:ascii="Arial" w:cs="Arial" w:eastAsia="Arial" w:hAnsi="Arial"/>
                <w:sz w:val="20"/>
                <w:szCs w:val="20"/>
                <w:color w:val="00C08A"/>
              </w:rPr>
              <w:t>​</w:t>
            </w:r>
          </w:p>
        </w:tc>
        <w:tc>
          <w:tcPr>
            <w:tcW w:w="1580" w:type="dxa"/>
            <w:vAlign w:val="bottom"/>
          </w:tcPr>
          <w:p>
            <w:pPr>
              <w:ind w:left="60"/>
              <w:spacing w:after="0"/>
              <w:rPr>
                <w:sz w:val="20"/>
                <w:szCs w:val="20"/>
                <w:color w:val="auto"/>
              </w:rPr>
            </w:pPr>
            <w:r>
              <w:rPr>
                <w:rFonts w:ascii="Arial" w:cs="Arial" w:eastAsia="Arial" w:hAnsi="Arial"/>
                <w:sz w:val="20"/>
                <w:szCs w:val="20"/>
                <w:color w:val="00C08A"/>
              </w:rPr>
              <w:t xml:space="preserve">​  </w:t>
            </w:r>
            <w:r>
              <w:rPr>
                <w:rFonts w:ascii="Arial" w:cs="Arial" w:eastAsia="Arial" w:hAnsi="Arial"/>
                <w:sz w:val="20"/>
                <w:szCs w:val="20"/>
                <w:b w:val="1"/>
                <w:bCs w:val="1"/>
                <w:color w:val="00C08A"/>
              </w:rPr>
              <w:t>LOCATION</w:t>
            </w:r>
            <w:r>
              <w:rPr>
                <w:rFonts w:ascii="Arial" w:cs="Arial" w:eastAsia="Arial" w:hAnsi="Arial"/>
                <w:sz w:val="20"/>
                <w:szCs w:val="20"/>
                <w:color w:val="00C08A"/>
              </w:rPr>
              <w:t xml:space="preserve">  ​</w:t>
            </w:r>
          </w:p>
        </w:tc>
        <w:tc>
          <w:tcPr>
            <w:tcW w:w="4360" w:type="dxa"/>
            <w:vAlign w:val="bottom"/>
          </w:tcPr>
          <w:p>
            <w:pPr>
              <w:ind w:left="60"/>
              <w:spacing w:after="0"/>
              <w:rPr>
                <w:sz w:val="20"/>
                <w:szCs w:val="20"/>
                <w:color w:val="auto"/>
              </w:rPr>
            </w:pPr>
            <w:r>
              <w:rPr>
                <w:rFonts w:ascii="Arial" w:cs="Arial" w:eastAsia="Arial" w:hAnsi="Arial"/>
                <w:sz w:val="20"/>
                <w:szCs w:val="20"/>
                <w:color w:val="00C08A"/>
              </w:rPr>
              <w:t xml:space="preserve">​  </w:t>
            </w:r>
            <w:r>
              <w:rPr>
                <w:rFonts w:ascii="Arial" w:cs="Arial" w:eastAsia="Arial" w:hAnsi="Arial"/>
                <w:sz w:val="20"/>
                <w:szCs w:val="20"/>
                <w:color w:val="002453"/>
              </w:rPr>
              <w:t>Virtual Annual Meeting accessible at</w:t>
            </w:r>
          </w:p>
        </w:tc>
        <w:tc>
          <w:tcPr>
            <w:tcW w:w="80" w:type="dxa"/>
            <w:vAlign w:val="bottom"/>
          </w:tcPr>
          <w:p>
            <w:pPr>
              <w:ind w:left="20"/>
              <w:spacing w:after="0"/>
              <w:rPr>
                <w:sz w:val="20"/>
                <w:szCs w:val="20"/>
                <w:color w:val="auto"/>
              </w:rPr>
            </w:pPr>
            <w:r>
              <w:rPr>
                <w:rFonts w:ascii="Arial" w:cs="Arial" w:eastAsia="Arial" w:hAnsi="Arial"/>
                <w:sz w:val="20"/>
                <w:szCs w:val="20"/>
                <w:color w:val="00C08A"/>
              </w:rPr>
              <w:t>​</w:t>
            </w:r>
          </w:p>
        </w:tc>
      </w:tr>
      <w:tr>
        <w:trPr>
          <w:trHeight w:val="230"/>
        </w:trPr>
        <w:tc>
          <w:tcPr>
            <w:tcW w:w="720" w:type="dxa"/>
            <w:vAlign w:val="bottom"/>
          </w:tcPr>
          <w:p>
            <w:pPr>
              <w:spacing w:after="0"/>
              <w:rPr>
                <w:sz w:val="20"/>
                <w:szCs w:val="20"/>
                <w:color w:val="auto"/>
              </w:rPr>
            </w:pPr>
            <w:r>
              <w:rPr>
                <w:rFonts w:ascii="Arial" w:cs="Arial" w:eastAsia="Arial" w:hAnsi="Arial"/>
                <w:sz w:val="20"/>
                <w:szCs w:val="20"/>
                <w:color w:val="002453"/>
              </w:rPr>
              <w:t>​</w:t>
            </w:r>
            <w:r>
              <w:rPr>
                <w:rFonts w:ascii="Arial" w:cs="Arial" w:eastAsia="Arial" w:hAnsi="Arial"/>
                <w:sz w:val="20"/>
                <w:szCs w:val="20"/>
                <w:b w:val="1"/>
                <w:bCs w:val="1"/>
                <w:color w:val="00C08A"/>
              </w:rPr>
              <w:t>TIME:</w:t>
            </w:r>
            <w:r>
              <w:rPr>
                <w:rFonts w:ascii="Arial" w:cs="Arial" w:eastAsia="Arial" w:hAnsi="Arial"/>
                <w:sz w:val="20"/>
                <w:szCs w:val="20"/>
                <w:color w:val="002453"/>
              </w:rPr>
              <w:t xml:space="preserve"> ​</w:t>
            </w:r>
          </w:p>
        </w:tc>
        <w:tc>
          <w:tcPr>
            <w:tcW w:w="180" w:type="dxa"/>
            <w:vAlign w:val="bottom"/>
          </w:tcPr>
          <w:p>
            <w:pPr>
              <w:ind w:left="60"/>
              <w:spacing w:after="0"/>
              <w:rPr>
                <w:sz w:val="20"/>
                <w:szCs w:val="20"/>
                <w:color w:val="auto"/>
              </w:rPr>
            </w:pPr>
            <w:r>
              <w:rPr>
                <w:rFonts w:ascii="Arial" w:cs="Arial" w:eastAsia="Arial" w:hAnsi="Arial"/>
                <w:sz w:val="20"/>
                <w:szCs w:val="20"/>
                <w:color w:val="002453"/>
              </w:rPr>
              <w:t>​</w:t>
            </w:r>
          </w:p>
        </w:tc>
        <w:tc>
          <w:tcPr>
            <w:tcW w:w="2300" w:type="dxa"/>
            <w:vAlign w:val="bottom"/>
          </w:tcPr>
          <w:p>
            <w:pPr>
              <w:ind w:left="80"/>
              <w:spacing w:after="0"/>
              <w:rPr>
                <w:sz w:val="20"/>
                <w:szCs w:val="20"/>
                <w:color w:val="auto"/>
              </w:rPr>
            </w:pPr>
            <w:r>
              <w:rPr>
                <w:rFonts w:ascii="Arial" w:cs="Arial" w:eastAsia="Arial" w:hAnsi="Arial"/>
                <w:sz w:val="20"/>
                <w:szCs w:val="20"/>
                <w:color w:val="002453"/>
              </w:rPr>
              <w:t>9:00 AM (Eastern Time) ​</w:t>
            </w:r>
          </w:p>
        </w:tc>
        <w:tc>
          <w:tcPr>
            <w:tcW w:w="1580" w:type="dxa"/>
            <w:vAlign w:val="bottom"/>
          </w:tcPr>
          <w:p>
            <w:pPr>
              <w:ind w:left="260"/>
              <w:spacing w:after="0"/>
              <w:rPr>
                <w:sz w:val="20"/>
                <w:szCs w:val="20"/>
                <w:color w:val="auto"/>
              </w:rPr>
            </w:pPr>
            <w:r>
              <w:rPr>
                <w:rFonts w:ascii="Arial" w:cs="Arial" w:eastAsia="Arial" w:hAnsi="Arial"/>
                <w:sz w:val="20"/>
                <w:szCs w:val="20"/>
                <w:b w:val="1"/>
                <w:bCs w:val="1"/>
                <w:color w:val="00C08A"/>
              </w:rPr>
              <w:t>OF ANNUAL</w:t>
            </w:r>
          </w:p>
        </w:tc>
        <w:tc>
          <w:tcPr>
            <w:tcW w:w="4360" w:type="dxa"/>
            <w:vAlign w:val="bottom"/>
          </w:tcPr>
          <w:p>
            <w:pPr>
              <w:ind w:left="260"/>
              <w:spacing w:after="0"/>
              <w:rPr>
                <w:sz w:val="20"/>
                <w:szCs w:val="20"/>
                <w:color w:val="auto"/>
              </w:rPr>
            </w:pPr>
            <w:r>
              <w:rPr>
                <w:rFonts w:ascii="Arial" w:cs="Arial" w:eastAsia="Arial" w:hAnsi="Arial"/>
                <w:sz w:val="20"/>
                <w:szCs w:val="20"/>
                <w:color w:val="002453"/>
                <w:w w:val="97"/>
              </w:rPr>
              <w:t>www.virtualshareholdermeeting.com/VIRT2023</w:t>
            </w:r>
          </w:p>
        </w:tc>
        <w:tc>
          <w:tcPr>
            <w:tcW w:w="80" w:type="dxa"/>
            <w:vAlign w:val="bottom"/>
          </w:tcPr>
          <w:p>
            <w:pPr>
              <w:spacing w:after="0"/>
              <w:rPr>
                <w:sz w:val="20"/>
                <w:szCs w:val="20"/>
                <w:color w:val="auto"/>
              </w:rPr>
            </w:pPr>
          </w:p>
        </w:tc>
      </w:tr>
      <w:tr>
        <w:trPr>
          <w:trHeight w:val="261"/>
        </w:trPr>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80" w:type="dxa"/>
            <w:vAlign w:val="bottom"/>
          </w:tcPr>
          <w:p>
            <w:pPr>
              <w:ind w:left="260"/>
              <w:spacing w:after="0"/>
              <w:rPr>
                <w:sz w:val="20"/>
                <w:szCs w:val="20"/>
                <w:color w:val="auto"/>
              </w:rPr>
            </w:pPr>
            <w:r>
              <w:rPr>
                <w:rFonts w:ascii="Arial" w:cs="Arial" w:eastAsia="Arial" w:hAnsi="Arial"/>
                <w:sz w:val="20"/>
                <w:szCs w:val="20"/>
                <w:b w:val="1"/>
                <w:bCs w:val="1"/>
                <w:color w:val="00C08A"/>
              </w:rPr>
              <w:t>MEETING:</w:t>
            </w:r>
          </w:p>
        </w:tc>
        <w:tc>
          <w:tcPr>
            <w:tcW w:w="436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Voting Matters</w:t>
      </w:r>
    </w:p>
    <w:p>
      <w:pPr>
        <w:spacing w:after="0" w:line="121"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002453"/>
                <w:w w:val="99"/>
              </w:rPr>
              <w:t>Board</w:t>
            </w:r>
          </w:p>
        </w:tc>
        <w:tc>
          <w:tcPr>
            <w:tcW w:w="0" w:type="dxa"/>
            <w:vAlign w:val="bottom"/>
          </w:tcPr>
          <w:p>
            <w:pPr>
              <w:spacing w:after="0"/>
              <w:rPr>
                <w:sz w:val="1"/>
                <w:szCs w:val="1"/>
                <w:color w:val="auto"/>
              </w:rPr>
            </w:pPr>
          </w:p>
        </w:tc>
      </w:tr>
      <w:tr>
        <w:trPr>
          <w:trHeight w:val="257"/>
        </w:trPr>
        <w:tc>
          <w:tcPr>
            <w:tcW w:w="7440" w:type="dxa"/>
            <w:vAlign w:val="bottom"/>
            <w:gridSpan w:val="2"/>
          </w:tcPr>
          <w:p>
            <w:pPr>
              <w:spacing w:after="0"/>
              <w:rPr>
                <w:sz w:val="20"/>
                <w:szCs w:val="20"/>
                <w:color w:val="auto"/>
              </w:rPr>
            </w:pPr>
            <w:r>
              <w:rPr>
                <w:rFonts w:ascii="Arial" w:cs="Arial" w:eastAsia="Arial" w:hAnsi="Arial"/>
                <w:sz w:val="18"/>
                <w:szCs w:val="18"/>
                <w:b w:val="1"/>
                <w:bCs w:val="1"/>
                <w:color w:val="002453"/>
              </w:rPr>
              <w:t>Items of Business</w:t>
            </w:r>
          </w:p>
        </w:tc>
        <w:tc>
          <w:tcPr>
            <w:tcW w:w="1800" w:type="dxa"/>
            <w:vAlign w:val="bottom"/>
            <w:gridSpan w:val="3"/>
          </w:tcPr>
          <w:p>
            <w:pPr>
              <w:ind w:left="20"/>
              <w:spacing w:after="0" w:line="256" w:lineRule="exact"/>
              <w:rPr>
                <w:sz w:val="20"/>
                <w:szCs w:val="20"/>
                <w:color w:val="auto"/>
              </w:rPr>
            </w:pPr>
            <w:r>
              <w:rPr>
                <w:rFonts w:ascii="Arial" w:cs="Arial" w:eastAsia="Arial" w:hAnsi="Arial"/>
                <w:sz w:val="29"/>
                <w:szCs w:val="29"/>
                <w:b w:val="1"/>
                <w:bCs w:val="1"/>
                <w:color w:val="002453"/>
                <w:vertAlign w:val="subscript"/>
              </w:rPr>
              <w:t>​ ​</w:t>
            </w:r>
            <w:r>
              <w:rPr>
                <w:rFonts w:ascii="Arial" w:cs="Arial" w:eastAsia="Arial" w:hAnsi="Arial"/>
                <w:sz w:val="16"/>
                <w:szCs w:val="16"/>
                <w:b w:val="1"/>
                <w:bCs w:val="1"/>
                <w:color w:val="002453"/>
              </w:rPr>
              <w:t xml:space="preserve"> Recommendation</w:t>
            </w:r>
            <w:r>
              <w:rPr>
                <w:rFonts w:ascii="Arial" w:cs="Arial" w:eastAsia="Arial" w:hAnsi="Arial"/>
                <w:sz w:val="29"/>
                <w:szCs w:val="29"/>
                <w:b w:val="1"/>
                <w:bCs w:val="1"/>
                <w:color w:val="002453"/>
                <w:vertAlign w:val="subscript"/>
              </w:rPr>
              <w:t>​</w:t>
            </w:r>
          </w:p>
        </w:tc>
        <w:tc>
          <w:tcPr>
            <w:tcW w:w="0" w:type="dxa"/>
            <w:vAlign w:val="bottom"/>
          </w:tcPr>
          <w:p>
            <w:pPr>
              <w:spacing w:after="0"/>
              <w:rPr>
                <w:sz w:val="1"/>
                <w:szCs w:val="1"/>
                <w:color w:val="auto"/>
              </w:rPr>
            </w:pPr>
          </w:p>
        </w:tc>
      </w:tr>
      <w:tr>
        <w:trPr>
          <w:trHeight w:val="304"/>
        </w:trPr>
        <w:tc>
          <w:tcPr>
            <w:tcW w:w="7440" w:type="dxa"/>
            <w:vAlign w:val="bottom"/>
            <w:tcBorders>
              <w:top w:val="single" w:sz="8" w:color="00C08A"/>
            </w:tcBorders>
            <w:gridSpan w:val="2"/>
          </w:tcPr>
          <w:p>
            <w:pPr>
              <w:ind w:left="200"/>
              <w:spacing w:after="0" w:line="30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To elect three directors to our board of directors, each to serve as a Class II director for a</w:t>
            </w:r>
          </w:p>
        </w:tc>
        <w:tc>
          <w:tcPr>
            <w:tcW w:w="300" w:type="dxa"/>
            <w:vAlign w:val="bottom"/>
            <w:tcBorders>
              <w:top w:val="single" w:sz="8" w:color="00C08A"/>
            </w:tcBorders>
          </w:tcPr>
          <w:p>
            <w:pPr>
              <w:ind w:left="2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40" w:type="dxa"/>
            <w:vAlign w:val="bottom"/>
          </w:tcPr>
          <w:p>
            <w:pPr>
              <w:spacing w:after="0" w:line="242" w:lineRule="exact"/>
              <w:rPr>
                <w:sz w:val="20"/>
                <w:szCs w:val="20"/>
                <w:color w:val="auto"/>
              </w:rPr>
            </w:pPr>
            <w:r>
              <w:rPr>
                <w:rFonts w:ascii="Arial" w:cs="Arial" w:eastAsia="Arial" w:hAnsi="Arial"/>
                <w:sz w:val="28"/>
                <w:szCs w:val="28"/>
                <w:b w:val="1"/>
                <w:bCs w:val="1"/>
                <w:color w:val="00C08A"/>
              </w:rPr>
              <w:t>1</w:t>
            </w:r>
            <w:r>
              <w:rPr>
                <w:rFonts w:ascii="Arial" w:cs="Arial" w:eastAsia="Arial" w:hAnsi="Arial"/>
                <w:sz w:val="15"/>
                <w:szCs w:val="15"/>
                <w:color w:val="000000"/>
              </w:rPr>
              <w:t>​</w:t>
            </w:r>
          </w:p>
        </w:tc>
        <w:tc>
          <w:tcPr>
            <w:tcW w:w="7100" w:type="dxa"/>
            <w:vAlign w:val="bottom"/>
          </w:tcPr>
          <w:p>
            <w:pPr>
              <w:ind w:left="80"/>
              <w:spacing w:after="0"/>
              <w:rPr>
                <w:sz w:val="20"/>
                <w:szCs w:val="20"/>
                <w:color w:val="auto"/>
              </w:rPr>
            </w:pPr>
            <w:r>
              <w:rPr>
                <w:rFonts w:ascii="Arial" w:cs="Arial" w:eastAsia="Arial" w:hAnsi="Arial"/>
                <w:sz w:val="18"/>
                <w:szCs w:val="18"/>
                <w:color w:val="auto"/>
                <w:w w:val="99"/>
              </w:rPr>
              <w:t>term of three years expiring at the annual meeting of stockholders to be held in 2026 and</w:t>
            </w:r>
          </w:p>
        </w:tc>
        <w:tc>
          <w:tcPr>
            <w:tcW w:w="300" w:type="dxa"/>
            <w:vAlign w:val="bottom"/>
          </w:tcPr>
          <w:p>
            <w:pPr>
              <w:spacing w:after="0"/>
              <w:rPr>
                <w:sz w:val="21"/>
                <w:szCs w:val="21"/>
                <w:color w:val="auto"/>
              </w:rPr>
            </w:pPr>
          </w:p>
        </w:tc>
        <w:tc>
          <w:tcPr>
            <w:tcW w:w="1500" w:type="dxa"/>
            <w:vAlign w:val="bottom"/>
            <w:gridSpan w:val="2"/>
          </w:tcPr>
          <w:p>
            <w:pPr>
              <w:jc w:val="center"/>
              <w:ind w:left="127"/>
              <w:spacing w:after="0" w:line="242" w:lineRule="exact"/>
              <w:rPr>
                <w:sz w:val="20"/>
                <w:szCs w:val="20"/>
                <w:color w:val="auto"/>
              </w:rPr>
            </w:pPr>
            <w:r>
              <w:rPr>
                <w:rFonts w:ascii="Arial" w:cs="Arial" w:eastAsia="Arial" w:hAnsi="Arial"/>
                <w:sz w:val="22"/>
                <w:szCs w:val="22"/>
                <w:b w:val="1"/>
                <w:bCs w:val="1"/>
                <w:color w:val="002453"/>
                <w:w w:val="94"/>
              </w:rPr>
              <w:t>FOR</w:t>
            </w: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until such director’s successor has been duly elected and qualified.</w:t>
            </w:r>
          </w:p>
        </w:tc>
        <w:tc>
          <w:tcPr>
            <w:tcW w:w="300" w:type="dxa"/>
            <w:vAlign w:val="bottom"/>
          </w:tcPr>
          <w:p>
            <w:pPr>
              <w:spacing w:after="0"/>
              <w:rPr>
                <w:sz w:val="21"/>
                <w:szCs w:val="21"/>
                <w:color w:val="auto"/>
              </w:rPr>
            </w:pPr>
          </w:p>
        </w:tc>
        <w:tc>
          <w:tcPr>
            <w:tcW w:w="150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each Nominee</w:t>
            </w:r>
          </w:p>
        </w:tc>
        <w:tc>
          <w:tcPr>
            <w:tcW w:w="0" w:type="dxa"/>
            <w:vAlign w:val="bottom"/>
          </w:tcPr>
          <w:p>
            <w:pPr>
              <w:spacing w:after="0"/>
              <w:rPr>
                <w:sz w:val="1"/>
                <w:szCs w:val="1"/>
                <w:color w:val="auto"/>
              </w:rPr>
            </w:pPr>
          </w:p>
        </w:tc>
      </w:tr>
      <w:tr>
        <w:trPr>
          <w:trHeight w:val="290"/>
        </w:trPr>
        <w:tc>
          <w:tcPr>
            <w:tcW w:w="744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on an advisory basis, the compensation of our named executive officers as</w:t>
            </w:r>
          </w:p>
        </w:tc>
        <w:tc>
          <w:tcPr>
            <w:tcW w:w="300" w:type="dxa"/>
            <w:vAlign w:val="bottom"/>
            <w:tcBorders>
              <w:top w:val="single" w:sz="8" w:color="00C08A"/>
            </w:tcBorders>
          </w:tcPr>
          <w:p>
            <w:pPr>
              <w:ind w:left="2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340" w:type="dxa"/>
            <w:vAlign w:val="bottom"/>
          </w:tcPr>
          <w:p>
            <w:pPr>
              <w:spacing w:after="0"/>
              <w:rPr>
                <w:sz w:val="20"/>
                <w:szCs w:val="20"/>
                <w:color w:val="auto"/>
              </w:rPr>
            </w:pPr>
            <w:r>
              <w:rPr>
                <w:rFonts w:ascii="Arial" w:cs="Arial" w:eastAsia="Arial" w:hAnsi="Arial"/>
                <w:sz w:val="36"/>
                <w:szCs w:val="36"/>
                <w:b w:val="1"/>
                <w:bCs w:val="1"/>
                <w:color w:val="00C08A"/>
              </w:rPr>
              <w:t>2</w:t>
            </w:r>
            <w:r>
              <w:rPr>
                <w:rFonts w:ascii="Arial" w:cs="Arial" w:eastAsia="Arial" w:hAnsi="Arial"/>
                <w:sz w:val="17"/>
                <w:szCs w:val="17"/>
                <w:color w:val="000000"/>
              </w:rPr>
              <w:t>​</w:t>
            </w:r>
          </w:p>
        </w:tc>
        <w:tc>
          <w:tcPr>
            <w:tcW w:w="7100" w:type="dxa"/>
            <w:vAlign w:val="bottom"/>
          </w:tcPr>
          <w:p>
            <w:pPr>
              <w:ind w:left="80"/>
              <w:spacing w:after="0"/>
              <w:rPr>
                <w:sz w:val="20"/>
                <w:szCs w:val="20"/>
                <w:color w:val="auto"/>
              </w:rPr>
            </w:pPr>
            <w:r>
              <w:rPr>
                <w:rFonts w:ascii="Arial" w:cs="Arial" w:eastAsia="Arial" w:hAnsi="Arial"/>
                <w:sz w:val="18"/>
                <w:szCs w:val="18"/>
                <w:color w:val="auto"/>
              </w:rPr>
              <w:t>disclosed in the accompanying proxy statement.</w:t>
            </w:r>
          </w:p>
        </w:tc>
        <w:tc>
          <w:tcPr>
            <w:tcW w:w="300" w:type="dxa"/>
            <w:vAlign w:val="bottom"/>
          </w:tcPr>
          <w:p>
            <w:pPr>
              <w:spacing w:after="0"/>
              <w:rPr>
                <w:sz w:val="24"/>
                <w:szCs w:val="24"/>
                <w:color w:val="auto"/>
              </w:rPr>
            </w:pPr>
          </w:p>
        </w:tc>
        <w:tc>
          <w:tcPr>
            <w:tcW w:w="1500" w:type="dxa"/>
            <w:vAlign w:val="bottom"/>
            <w:gridSpan w:val="2"/>
          </w:tcPr>
          <w:p>
            <w:pPr>
              <w:jc w:val="center"/>
              <w:ind w:left="87"/>
              <w:spacing w:after="0"/>
              <w:rPr>
                <w:sz w:val="20"/>
                <w:szCs w:val="20"/>
                <w:color w:val="auto"/>
              </w:rPr>
            </w:pPr>
            <w:r>
              <w:rPr>
                <w:rFonts w:ascii="Arial" w:cs="Arial" w:eastAsia="Arial" w:hAnsi="Arial"/>
                <w:sz w:val="18"/>
                <w:szCs w:val="18"/>
                <w:color w:val="auto"/>
              </w:rPr>
              <w:t> </w:t>
            </w:r>
            <w:r>
              <w:rPr>
                <w:rFonts w:ascii="Arial" w:cs="Arial" w:eastAsia="Arial" w:hAnsi="Arial"/>
                <w:sz w:val="21"/>
                <w:szCs w:val="21"/>
                <w:b w:val="1"/>
                <w:bCs w:val="1"/>
                <w:color w:val="002453"/>
              </w:rPr>
              <w:t>FOR</w:t>
            </w:r>
          </w:p>
        </w:tc>
        <w:tc>
          <w:tcPr>
            <w:tcW w:w="0" w:type="dxa"/>
            <w:vAlign w:val="bottom"/>
          </w:tcPr>
          <w:p>
            <w:pPr>
              <w:spacing w:after="0"/>
              <w:rPr>
                <w:sz w:val="1"/>
                <w:szCs w:val="1"/>
                <w:color w:val="auto"/>
              </w:rPr>
            </w:pPr>
          </w:p>
        </w:tc>
      </w:tr>
      <w:tr>
        <w:trPr>
          <w:trHeight w:val="290"/>
        </w:trPr>
        <w:tc>
          <w:tcPr>
            <w:tcW w:w="744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ratify the appointment of PricewaterhouseCoopers LLP as our independent registered</w:t>
            </w:r>
          </w:p>
        </w:tc>
        <w:tc>
          <w:tcPr>
            <w:tcW w:w="300" w:type="dxa"/>
            <w:vAlign w:val="bottom"/>
            <w:tcBorders>
              <w:top w:val="single" w:sz="8" w:color="00C08A"/>
            </w:tcBorders>
          </w:tcPr>
          <w:p>
            <w:pPr>
              <w:ind w:left="2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0" w:type="dxa"/>
            <w:vAlign w:val="bottom"/>
            <w:vMerge w:val="restart"/>
          </w:tcPr>
          <w:p>
            <w:pPr>
              <w:spacing w:after="0"/>
              <w:rPr>
                <w:sz w:val="20"/>
                <w:szCs w:val="20"/>
                <w:color w:val="auto"/>
              </w:rPr>
            </w:pPr>
            <w:r>
              <w:rPr>
                <w:rFonts w:ascii="Arial" w:cs="Arial" w:eastAsia="Arial" w:hAnsi="Arial"/>
                <w:sz w:val="36"/>
                <w:szCs w:val="36"/>
                <w:b w:val="1"/>
                <w:bCs w:val="1"/>
                <w:color w:val="00C08A"/>
              </w:rPr>
              <w:t>3</w:t>
            </w:r>
            <w:r>
              <w:rPr>
                <w:rFonts w:ascii="Arial" w:cs="Arial" w:eastAsia="Arial" w:hAnsi="Arial"/>
                <w:sz w:val="17"/>
                <w:szCs w:val="17"/>
                <w:color w:val="000000"/>
              </w:rPr>
              <w:t>​</w:t>
            </w:r>
          </w:p>
        </w:tc>
        <w:tc>
          <w:tcPr>
            <w:tcW w:w="7100" w:type="dxa"/>
            <w:vAlign w:val="bottom"/>
            <w:vMerge w:val="restart"/>
          </w:tcPr>
          <w:p>
            <w:pPr>
              <w:ind w:left="80"/>
              <w:spacing w:after="0"/>
              <w:rPr>
                <w:sz w:val="20"/>
                <w:szCs w:val="20"/>
                <w:color w:val="auto"/>
              </w:rPr>
            </w:pPr>
            <w:r>
              <w:rPr>
                <w:rFonts w:ascii="Arial" w:cs="Arial" w:eastAsia="Arial" w:hAnsi="Arial"/>
                <w:sz w:val="18"/>
                <w:szCs w:val="18"/>
                <w:color w:val="auto"/>
              </w:rPr>
              <w:t>public accounting firm for the fiscal year ending December 31, 2023.</w:t>
            </w:r>
          </w:p>
        </w:tc>
        <w:tc>
          <w:tcPr>
            <w:tcW w:w="300" w:type="dxa"/>
            <w:vAlign w:val="bottom"/>
          </w:tcPr>
          <w:p>
            <w:pPr>
              <w:spacing w:after="0"/>
              <w:rPr>
                <w:sz w:val="22"/>
                <w:szCs w:val="22"/>
                <w:color w:val="auto"/>
              </w:rPr>
            </w:pPr>
          </w:p>
        </w:tc>
        <w:tc>
          <w:tcPr>
            <w:tcW w:w="1500" w:type="dxa"/>
            <w:vAlign w:val="bottom"/>
            <w:gridSpan w:val="2"/>
          </w:tcPr>
          <w:p>
            <w:pPr>
              <w:jc w:val="center"/>
              <w:ind w:left="87"/>
              <w:spacing w:after="0"/>
              <w:rPr>
                <w:sz w:val="20"/>
                <w:szCs w:val="20"/>
                <w:color w:val="auto"/>
              </w:rPr>
            </w:pPr>
            <w:r>
              <w:rPr>
                <w:rFonts w:ascii="Arial" w:cs="Arial" w:eastAsia="Arial" w:hAnsi="Arial"/>
                <w:sz w:val="18"/>
                <w:szCs w:val="18"/>
                <w:color w:val="auto"/>
              </w:rPr>
              <w:t> </w:t>
            </w:r>
            <w:r>
              <w:rPr>
                <w:rFonts w:ascii="Arial" w:cs="Arial" w:eastAsia="Arial" w:hAnsi="Arial"/>
                <w:sz w:val="21"/>
                <w:szCs w:val="21"/>
                <w:b w:val="1"/>
                <w:bCs w:val="1"/>
                <w:color w:val="002453"/>
              </w:rPr>
              <w:t>FOR</w:t>
            </w:r>
          </w:p>
        </w:tc>
        <w:tc>
          <w:tcPr>
            <w:tcW w:w="0" w:type="dxa"/>
            <w:vAlign w:val="bottom"/>
          </w:tcPr>
          <w:p>
            <w:pPr>
              <w:spacing w:after="0"/>
              <w:rPr>
                <w:sz w:val="1"/>
                <w:szCs w:val="1"/>
                <w:color w:val="auto"/>
              </w:rPr>
            </w:pPr>
          </w:p>
        </w:tc>
      </w:tr>
      <w:tr>
        <w:trPr>
          <w:trHeight w:val="189"/>
        </w:trPr>
        <w:tc>
          <w:tcPr>
            <w:tcW w:w="340" w:type="dxa"/>
            <w:vAlign w:val="bottom"/>
            <w:tcBorders>
              <w:bottom w:val="single" w:sz="8" w:color="00C08A"/>
            </w:tcBorders>
            <w:vMerge w:val="continue"/>
          </w:tcPr>
          <w:p>
            <w:pPr>
              <w:spacing w:after="0"/>
              <w:rPr>
                <w:sz w:val="16"/>
                <w:szCs w:val="16"/>
                <w:color w:val="auto"/>
              </w:rPr>
            </w:pPr>
          </w:p>
        </w:tc>
        <w:tc>
          <w:tcPr>
            <w:tcW w:w="7100" w:type="dxa"/>
            <w:vAlign w:val="bottom"/>
            <w:tcBorders>
              <w:bottom w:val="single" w:sz="8" w:color="00C08A"/>
            </w:tcBorders>
            <w:vMerge w:val="continue"/>
          </w:tcPr>
          <w:p>
            <w:pPr>
              <w:spacing w:after="0"/>
              <w:rPr>
                <w:sz w:val="16"/>
                <w:szCs w:val="16"/>
                <w:color w:val="auto"/>
              </w:rPr>
            </w:pPr>
          </w:p>
        </w:tc>
        <w:tc>
          <w:tcPr>
            <w:tcW w:w="300" w:type="dxa"/>
            <w:vAlign w:val="bottom"/>
            <w:tcBorders>
              <w:bottom w:val="single" w:sz="8" w:color="00C08A"/>
            </w:tcBorders>
          </w:tcPr>
          <w:p>
            <w:pPr>
              <w:spacing w:after="0"/>
              <w:rPr>
                <w:sz w:val="16"/>
                <w:szCs w:val="16"/>
                <w:color w:val="auto"/>
              </w:rPr>
            </w:pPr>
          </w:p>
        </w:tc>
        <w:tc>
          <w:tcPr>
            <w:tcW w:w="1440" w:type="dxa"/>
            <w:vAlign w:val="bottom"/>
            <w:tcBorders>
              <w:bottom w:val="single" w:sz="8" w:color="00C08A"/>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7440" w:type="dxa"/>
            <w:vAlign w:val="bottom"/>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an amendment to the Virtu Financial, Inc. Certificate of Incorporation to</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14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0" w:type="dxa"/>
            <w:vAlign w:val="bottom"/>
            <w:vMerge w:val="restart"/>
          </w:tcPr>
          <w:p>
            <w:pPr>
              <w:spacing w:after="0"/>
              <w:rPr>
                <w:sz w:val="20"/>
                <w:szCs w:val="20"/>
                <w:color w:val="auto"/>
              </w:rPr>
            </w:pPr>
            <w:r>
              <w:rPr>
                <w:rFonts w:ascii="Arial" w:cs="Arial" w:eastAsia="Arial" w:hAnsi="Arial"/>
                <w:sz w:val="36"/>
                <w:szCs w:val="36"/>
                <w:b w:val="1"/>
                <w:bCs w:val="1"/>
                <w:color w:val="00C08A"/>
              </w:rPr>
              <w:t>4</w:t>
            </w:r>
            <w:r>
              <w:rPr>
                <w:rFonts w:ascii="Arial" w:cs="Arial" w:eastAsia="Arial" w:hAnsi="Arial"/>
                <w:sz w:val="17"/>
                <w:szCs w:val="17"/>
                <w:color w:val="000000"/>
              </w:rPr>
              <w:t>​</w:t>
            </w:r>
          </w:p>
        </w:tc>
        <w:tc>
          <w:tcPr>
            <w:tcW w:w="7100" w:type="dxa"/>
            <w:vAlign w:val="bottom"/>
            <w:vMerge w:val="restart"/>
          </w:tcPr>
          <w:p>
            <w:pPr>
              <w:ind w:left="80"/>
              <w:spacing w:after="0"/>
              <w:rPr>
                <w:sz w:val="20"/>
                <w:szCs w:val="20"/>
                <w:color w:val="auto"/>
              </w:rPr>
            </w:pPr>
            <w:r>
              <w:rPr>
                <w:rFonts w:ascii="Arial" w:cs="Arial" w:eastAsia="Arial" w:hAnsi="Arial"/>
                <w:sz w:val="18"/>
                <w:szCs w:val="18"/>
                <w:color w:val="auto"/>
              </w:rPr>
              <w:t>reflect new Delaware law provisions regarding officer exculpation.</w:t>
            </w:r>
          </w:p>
        </w:tc>
        <w:tc>
          <w:tcPr>
            <w:tcW w:w="300" w:type="dxa"/>
            <w:vAlign w:val="bottom"/>
          </w:tcPr>
          <w:p>
            <w:pPr>
              <w:spacing w:after="0"/>
              <w:rPr>
                <w:sz w:val="22"/>
                <w:szCs w:val="22"/>
                <w:color w:val="auto"/>
              </w:rPr>
            </w:pPr>
          </w:p>
        </w:tc>
        <w:tc>
          <w:tcPr>
            <w:tcW w:w="1500" w:type="dxa"/>
            <w:vAlign w:val="bottom"/>
            <w:gridSpan w:val="2"/>
          </w:tcPr>
          <w:p>
            <w:pPr>
              <w:jc w:val="center"/>
              <w:ind w:left="87"/>
              <w:spacing w:after="0"/>
              <w:rPr>
                <w:sz w:val="20"/>
                <w:szCs w:val="20"/>
                <w:color w:val="auto"/>
              </w:rPr>
            </w:pPr>
            <w:r>
              <w:rPr>
                <w:rFonts w:ascii="Arial" w:cs="Arial" w:eastAsia="Arial" w:hAnsi="Arial"/>
                <w:sz w:val="18"/>
                <w:szCs w:val="18"/>
                <w:color w:val="auto"/>
              </w:rPr>
              <w:t> </w:t>
            </w:r>
            <w:r>
              <w:rPr>
                <w:rFonts w:ascii="Arial" w:cs="Arial" w:eastAsia="Arial" w:hAnsi="Arial"/>
                <w:sz w:val="21"/>
                <w:szCs w:val="21"/>
                <w:b w:val="1"/>
                <w:bCs w:val="1"/>
                <w:color w:val="002453"/>
              </w:rPr>
              <w:t>FOR</w:t>
            </w:r>
          </w:p>
        </w:tc>
        <w:tc>
          <w:tcPr>
            <w:tcW w:w="0" w:type="dxa"/>
            <w:vAlign w:val="bottom"/>
          </w:tcPr>
          <w:p>
            <w:pPr>
              <w:spacing w:after="0"/>
              <w:rPr>
                <w:sz w:val="1"/>
                <w:szCs w:val="1"/>
                <w:color w:val="auto"/>
              </w:rPr>
            </w:pPr>
          </w:p>
        </w:tc>
      </w:tr>
      <w:tr>
        <w:trPr>
          <w:trHeight w:val="189"/>
        </w:trPr>
        <w:tc>
          <w:tcPr>
            <w:tcW w:w="340" w:type="dxa"/>
            <w:vAlign w:val="bottom"/>
            <w:tcBorders>
              <w:bottom w:val="single" w:sz="8" w:color="00C08A"/>
            </w:tcBorders>
            <w:vMerge w:val="continue"/>
          </w:tcPr>
          <w:p>
            <w:pPr>
              <w:spacing w:after="0"/>
              <w:rPr>
                <w:sz w:val="16"/>
                <w:szCs w:val="16"/>
                <w:color w:val="auto"/>
              </w:rPr>
            </w:pPr>
          </w:p>
        </w:tc>
        <w:tc>
          <w:tcPr>
            <w:tcW w:w="7100" w:type="dxa"/>
            <w:vAlign w:val="bottom"/>
            <w:tcBorders>
              <w:bottom w:val="single" w:sz="8" w:color="00C08A"/>
            </w:tcBorders>
            <w:vMerge w:val="continue"/>
          </w:tcPr>
          <w:p>
            <w:pPr>
              <w:spacing w:after="0"/>
              <w:rPr>
                <w:sz w:val="16"/>
                <w:szCs w:val="16"/>
                <w:color w:val="auto"/>
              </w:rPr>
            </w:pPr>
          </w:p>
        </w:tc>
        <w:tc>
          <w:tcPr>
            <w:tcW w:w="300" w:type="dxa"/>
            <w:vAlign w:val="bottom"/>
            <w:tcBorders>
              <w:bottom w:val="single" w:sz="8" w:color="00C08A"/>
            </w:tcBorders>
          </w:tcPr>
          <w:p>
            <w:pPr>
              <w:spacing w:after="0"/>
              <w:rPr>
                <w:sz w:val="16"/>
                <w:szCs w:val="16"/>
                <w:color w:val="auto"/>
              </w:rPr>
            </w:pPr>
          </w:p>
        </w:tc>
        <w:tc>
          <w:tcPr>
            <w:tcW w:w="1440" w:type="dxa"/>
            <w:vAlign w:val="bottom"/>
            <w:tcBorders>
              <w:bottom w:val="single" w:sz="8" w:color="00C08A"/>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-1842135</wp:posOffset>
            </wp:positionV>
            <wp:extent cx="188595"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19748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-1336675</wp:posOffset>
            </wp:positionV>
            <wp:extent cx="188595"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-873760</wp:posOffset>
            </wp:positionV>
            <wp:extent cx="18859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-393700</wp:posOffset>
            </wp:positionV>
            <wp:extent cx="18859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31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How to Vote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143510</wp:posOffset>
            </wp:positionV>
            <wp:extent cx="299720" cy="248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9720" cy="248285"/>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126365</wp:posOffset>
            </wp:positionV>
            <wp:extent cx="179705"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705" cy="26543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109220</wp:posOffset>
            </wp:positionV>
            <wp:extent cx="282575" cy="282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126365</wp:posOffset>
            </wp:positionV>
            <wp:extent cx="282575"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rPr>
              <w:t>​</w:t>
            </w:r>
          </w:p>
        </w:tc>
        <w:tc>
          <w:tcPr>
            <w:tcW w:w="1880" w:type="dxa"/>
            <w:vAlign w:val="bottom"/>
          </w:tcPr>
          <w:p>
            <w:pPr>
              <w:spacing w:after="0"/>
              <w:rPr>
                <w:sz w:val="14"/>
                <w:szCs w:val="14"/>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2240" w:type="dxa"/>
            <w:vAlign w:val="bottom"/>
          </w:tcPr>
          <w:p>
            <w:pPr>
              <w:ind w:left="2200"/>
              <w:spacing w:after="0"/>
              <w:rPr>
                <w:sz w:val="20"/>
                <w:szCs w:val="20"/>
                <w:color w:val="auto"/>
              </w:rPr>
            </w:pPr>
            <w:r>
              <w:rPr>
                <w:rFonts w:ascii="Arial" w:cs="Arial" w:eastAsia="Arial" w:hAnsi="Arial"/>
                <w:sz w:val="14"/>
                <w:szCs w:val="14"/>
                <w:color w:val="auto"/>
              </w:rPr>
              <w:t>​</w:t>
            </w:r>
          </w:p>
        </w:tc>
      </w:tr>
      <w:tr>
        <w:trPr>
          <w:trHeight w:val="275"/>
        </w:trPr>
        <w:tc>
          <w:tcPr>
            <w:tcW w:w="340" w:type="dxa"/>
            <w:vAlign w:val="bottom"/>
          </w:tcPr>
          <w:p>
            <w:pPr>
              <w:spacing w:after="0"/>
              <w:rPr>
                <w:sz w:val="20"/>
                <w:szCs w:val="20"/>
                <w:color w:val="auto"/>
              </w:rPr>
            </w:pPr>
            <w:r>
              <w:rPr>
                <w:rFonts w:ascii="Arial" w:cs="Arial" w:eastAsia="Arial" w:hAnsi="Arial"/>
                <w:sz w:val="16"/>
                <w:szCs w:val="16"/>
                <w:b w:val="1"/>
                <w:bCs w:val="1"/>
                <w:color w:val="auto"/>
              </w:rPr>
              <w:t>​</w:t>
            </w:r>
          </w:p>
        </w:tc>
        <w:tc>
          <w:tcPr>
            <w:tcW w:w="1880" w:type="dxa"/>
            <w:vAlign w:val="bottom"/>
          </w:tcPr>
          <w:p>
            <w:pPr>
              <w:jc w:val="center"/>
              <w:ind w:right="224"/>
              <w:spacing w:after="0"/>
              <w:rPr>
                <w:sz w:val="20"/>
                <w:szCs w:val="20"/>
                <w:color w:val="auto"/>
              </w:rPr>
            </w:pPr>
            <w:r>
              <w:rPr>
                <w:rFonts w:ascii="Arial" w:cs="Arial" w:eastAsia="Arial" w:hAnsi="Arial"/>
                <w:sz w:val="16"/>
                <w:szCs w:val="16"/>
                <w:b w:val="1"/>
                <w:bCs w:val="1"/>
                <w:color w:val="auto"/>
                <w:w w:val="97"/>
              </w:rPr>
              <w:t>INTERNET</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8"/>
              </w:rPr>
              <w:t>TELEPHONE</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7"/>
              </w:rPr>
              <w:t>MAIL</w:t>
            </w:r>
          </w:p>
        </w:tc>
        <w:tc>
          <w:tcPr>
            <w:tcW w:w="2440" w:type="dxa"/>
            <w:vAlign w:val="bottom"/>
            <w:gridSpan w:val="2"/>
          </w:tcPr>
          <w:p>
            <w:pPr>
              <w:jc w:val="center"/>
              <w:ind w:left="27"/>
              <w:spacing w:after="0" w:line="274" w:lineRule="exact"/>
              <w:rPr>
                <w:sz w:val="20"/>
                <w:szCs w:val="20"/>
                <w:color w:val="auto"/>
              </w:rPr>
            </w:pPr>
            <w:r>
              <w:rPr>
                <w:rFonts w:ascii="Arial" w:cs="Arial" w:eastAsia="Arial" w:hAnsi="Arial"/>
                <w:sz w:val="31"/>
                <w:szCs w:val="31"/>
                <w:b w:val="1"/>
                <w:bCs w:val="1"/>
                <w:color w:val="auto"/>
                <w:vertAlign w:val="superscript"/>
              </w:rPr>
              <w:t>​​</w:t>
            </w:r>
            <w:r>
              <w:rPr>
                <w:rFonts w:ascii="Arial" w:cs="Arial" w:eastAsia="Arial" w:hAnsi="Arial"/>
                <w:sz w:val="16"/>
                <w:szCs w:val="16"/>
                <w:b w:val="1"/>
                <w:bCs w:val="1"/>
                <w:color w:val="auto"/>
              </w:rPr>
              <w:t xml:space="preserve">VIRTUAL ANNUAL MEETING </w:t>
            </w:r>
            <w:r>
              <w:rPr>
                <w:rFonts w:ascii="Arial" w:cs="Arial" w:eastAsia="Arial" w:hAnsi="Arial"/>
                <w:sz w:val="31"/>
                <w:szCs w:val="31"/>
                <w:b w:val="1"/>
                <w:bCs w:val="1"/>
                <w:color w:val="auto"/>
                <w:vertAlign w:val="superscript"/>
              </w:rPr>
              <w:t>​</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Visit www.proxyvote.com to vote</w:t>
            </w:r>
          </w:p>
        </w:tc>
        <w:tc>
          <w:tcPr>
            <w:tcW w:w="2500" w:type="dxa"/>
            <w:vAlign w:val="bottom"/>
            <w:gridSpan w:val="3"/>
          </w:tcPr>
          <w:p>
            <w:pPr>
              <w:jc w:val="cente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Call toll-free 1-800-690-6903 in the </w:t>
            </w:r>
            <w:r>
              <w:rPr>
                <w:rFonts w:ascii="Arial" w:cs="Arial" w:eastAsia="Arial" w:hAnsi="Arial"/>
                <w:sz w:val="25"/>
                <w:szCs w:val="25"/>
                <w:color w:val="auto"/>
                <w:vertAlign w:val="superscript"/>
              </w:rPr>
              <w:t>​​</w:t>
            </w:r>
          </w:p>
        </w:tc>
        <w:tc>
          <w:tcPr>
            <w:tcW w:w="2060" w:type="dxa"/>
            <w:vAlign w:val="bottom"/>
          </w:tcPr>
          <w:p>
            <w:pPr>
              <w:jc w:val="center"/>
              <w:spacing w:after="0"/>
              <w:rPr>
                <w:sz w:val="20"/>
                <w:szCs w:val="20"/>
                <w:color w:val="auto"/>
              </w:rPr>
            </w:pPr>
            <w:r>
              <w:rPr>
                <w:rFonts w:ascii="Arial" w:cs="Arial" w:eastAsia="Arial" w:hAnsi="Arial"/>
                <w:sz w:val="14"/>
                <w:szCs w:val="14"/>
                <w:color w:val="auto"/>
              </w:rPr>
              <w:t>Follow the instructions in your</w:t>
            </w:r>
          </w:p>
        </w:tc>
        <w:tc>
          <w:tcPr>
            <w:tcW w:w="2440" w:type="dxa"/>
            <w:vAlign w:val="bottom"/>
            <w:gridSpan w:val="2"/>
          </w:tcPr>
          <w:p>
            <w:pPr>
              <w:jc w:val="center"/>
              <w:ind w:left="27"/>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All stockholders as of the close of </w:t>
            </w:r>
            <w:r>
              <w:rPr>
                <w:rFonts w:ascii="Arial" w:cs="Arial" w:eastAsia="Arial" w:hAnsi="Arial"/>
                <w:sz w:val="25"/>
                <w:szCs w:val="25"/>
                <w:color w:val="auto"/>
                <w:vertAlign w:val="superscript"/>
              </w:rPr>
              <w:t>​</w:t>
            </w:r>
          </w:p>
        </w:tc>
      </w:tr>
      <w:tr>
        <w:trPr>
          <w:trHeight w:val="172"/>
        </w:trPr>
        <w:tc>
          <w:tcPr>
            <w:tcW w:w="340" w:type="dxa"/>
            <w:vAlign w:val="bottom"/>
          </w:tcPr>
          <w:p>
            <w:pPr>
              <w:spacing w:after="0"/>
              <w:rPr>
                <w:sz w:val="14"/>
                <w:szCs w:val="14"/>
                <w:color w:val="auto"/>
              </w:rPr>
            </w:pPr>
          </w:p>
        </w:tc>
        <w:tc>
          <w:tcPr>
            <w:tcW w:w="1880" w:type="dxa"/>
            <w:vAlign w:val="bottom"/>
          </w:tcPr>
          <w:p>
            <w:pPr>
              <w:jc w:val="center"/>
              <w:ind w:right="224"/>
              <w:spacing w:after="0"/>
              <w:rPr>
                <w:sz w:val="20"/>
                <w:szCs w:val="20"/>
                <w:color w:val="auto"/>
              </w:rPr>
            </w:pPr>
            <w:r>
              <w:rPr>
                <w:rFonts w:ascii="Arial" w:cs="Arial" w:eastAsia="Arial" w:hAnsi="Arial"/>
                <w:sz w:val="14"/>
                <w:szCs w:val="14"/>
                <w:color w:val="auto"/>
              </w:rPr>
              <w:t>via the Internet.</w:t>
            </w:r>
          </w:p>
        </w:tc>
        <w:tc>
          <w:tcPr>
            <w:tcW w:w="2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United States or from foreign</w:t>
            </w:r>
          </w:p>
        </w:tc>
        <w:tc>
          <w:tcPr>
            <w:tcW w:w="2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proxy materials.</w:t>
            </w:r>
          </w:p>
        </w:tc>
        <w:tc>
          <w:tcPr>
            <w:tcW w:w="200" w:type="dxa"/>
            <w:vAlign w:val="bottom"/>
          </w:tcPr>
          <w:p>
            <w:pPr>
              <w:spacing w:after="0"/>
              <w:rPr>
                <w:sz w:val="14"/>
                <w:szCs w:val="14"/>
                <w:color w:val="auto"/>
              </w:rPr>
            </w:pPr>
          </w:p>
        </w:tc>
        <w:tc>
          <w:tcPr>
            <w:tcW w:w="2240" w:type="dxa"/>
            <w:vAlign w:val="bottom"/>
          </w:tcPr>
          <w:p>
            <w:pPr>
              <w:jc w:val="center"/>
              <w:ind w:right="8"/>
              <w:spacing w:after="0"/>
              <w:rPr>
                <w:sz w:val="20"/>
                <w:szCs w:val="20"/>
                <w:color w:val="auto"/>
              </w:rPr>
            </w:pPr>
            <w:r>
              <w:rPr>
                <w:rFonts w:ascii="Arial" w:cs="Arial" w:eastAsia="Arial" w:hAnsi="Arial"/>
                <w:sz w:val="14"/>
                <w:szCs w:val="14"/>
                <w:color w:val="auto"/>
              </w:rPr>
              <w:t>business on the Record Date can</w:t>
            </w:r>
          </w:p>
        </w:tc>
      </w:tr>
      <w:tr>
        <w:trPr>
          <w:trHeight w:val="165"/>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countries from any touch-tone</w:t>
            </w: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center"/>
              <w:ind w:right="8"/>
              <w:spacing w:after="0"/>
              <w:rPr>
                <w:sz w:val="20"/>
                <w:szCs w:val="20"/>
                <w:color w:val="auto"/>
              </w:rPr>
            </w:pPr>
            <w:r>
              <w:rPr>
                <w:rFonts w:ascii="Arial" w:cs="Arial" w:eastAsia="Arial" w:hAnsi="Arial"/>
                <w:sz w:val="14"/>
                <w:szCs w:val="14"/>
                <w:color w:val="auto"/>
              </w:rPr>
              <w:t>vote electronically at the virtual</w:t>
            </w:r>
          </w:p>
        </w:tc>
      </w:tr>
      <w:tr>
        <w:trPr>
          <w:trHeight w:val="172"/>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telephone and follow the</w:t>
            </w: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center"/>
              <w:ind w:right="8"/>
              <w:spacing w:after="0"/>
              <w:rPr>
                <w:sz w:val="20"/>
                <w:szCs w:val="20"/>
                <w:color w:val="auto"/>
              </w:rPr>
            </w:pPr>
            <w:r>
              <w:rPr>
                <w:rFonts w:ascii="Arial" w:cs="Arial" w:eastAsia="Arial" w:hAnsi="Arial"/>
                <w:sz w:val="14"/>
                <w:szCs w:val="14"/>
                <w:color w:val="auto"/>
              </w:rPr>
              <w:t>Annual Meeting.</w:t>
            </w:r>
          </w:p>
        </w:tc>
      </w:tr>
      <w:tr>
        <w:trPr>
          <w:trHeight w:val="175"/>
        </w:trPr>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instructions.</w:t>
            </w:r>
          </w:p>
        </w:tc>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744855</wp:posOffset>
            </wp:positionV>
            <wp:extent cx="75438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PROXY STATEMENT SUMMARY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460"/>
        <w:spacing w:after="0" w:line="261" w:lineRule="auto"/>
        <w:rPr>
          <w:sz w:val="20"/>
          <w:szCs w:val="20"/>
          <w:color w:val="auto"/>
        </w:rPr>
      </w:pPr>
      <w:r>
        <w:rPr>
          <w:rFonts w:ascii="Arial" w:cs="Arial" w:eastAsia="Arial" w:hAnsi="Arial"/>
          <w:sz w:val="18"/>
          <w:szCs w:val="18"/>
          <w:color w:val="auto"/>
        </w:rPr>
        <w:t>The following table sets forth certain information about our directors and executive officers as of the date of this proxy statement.</w:t>
      </w:r>
    </w:p>
    <w:p>
      <w:pPr>
        <w:spacing w:after="0" w:line="104"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1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453"/>
              </w:rPr>
              <w:t>Director or</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002453"/>
              </w:rPr>
              <w:t>​</w:t>
            </w:r>
          </w:p>
        </w:tc>
        <w:tc>
          <w:tcPr>
            <w:tcW w:w="240" w:type="dxa"/>
            <w:vAlign w:val="bottom"/>
          </w:tcPr>
          <w:p>
            <w:pPr>
              <w:spacing w:after="0"/>
              <w:rPr>
                <w:sz w:val="17"/>
                <w:szCs w:val="17"/>
                <w:color w:val="auto"/>
              </w:rPr>
            </w:pPr>
          </w:p>
        </w:tc>
        <w:tc>
          <w:tcPr>
            <w:tcW w:w="2100" w:type="dxa"/>
            <w:vAlign w:val="bottom"/>
            <w:gridSpan w:val="5"/>
          </w:tcPr>
          <w:p>
            <w:pPr>
              <w:ind w:left="240"/>
              <w:spacing w:after="0"/>
              <w:rPr>
                <w:sz w:val="20"/>
                <w:szCs w:val="20"/>
                <w:color w:val="auto"/>
              </w:rPr>
            </w:pPr>
            <w:r>
              <w:rPr>
                <w:rFonts w:ascii="Arial" w:cs="Arial" w:eastAsia="Arial" w:hAnsi="Arial"/>
                <w:sz w:val="14"/>
                <w:szCs w:val="14"/>
                <w:b w:val="1"/>
                <w:bCs w:val="1"/>
                <w:color w:val="002453"/>
              </w:rPr>
              <w:t>Committee Membership</w:t>
            </w:r>
          </w:p>
        </w:tc>
        <w:tc>
          <w:tcPr>
            <w:tcW w:w="3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002453"/>
              </w:rPr>
              <w:t>Officer</w:t>
            </w: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240" w:type="dxa"/>
            <w:vAlign w:val="bottom"/>
            <w:tcBorders>
              <w:bottom w:val="single" w:sz="8" w:color="00C08A"/>
            </w:tcBorders>
          </w:tcPr>
          <w:p>
            <w:pPr>
              <w:spacing w:after="0"/>
              <w:rPr>
                <w:sz w:val="2"/>
                <w:szCs w:val="2"/>
                <w:color w:val="auto"/>
              </w:rPr>
            </w:pPr>
          </w:p>
        </w:tc>
        <w:tc>
          <w:tcPr>
            <w:tcW w:w="34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500" w:type="dxa"/>
            <w:vAlign w:val="bottom"/>
            <w:tcBorders>
              <w:bottom w:val="single" w:sz="8" w:color="00C08A"/>
            </w:tcBorders>
          </w:tcPr>
          <w:p>
            <w:pPr>
              <w:spacing w:after="0"/>
              <w:rPr>
                <w:sz w:val="2"/>
                <w:szCs w:val="2"/>
                <w:color w:val="auto"/>
              </w:rPr>
            </w:pPr>
          </w:p>
        </w:tc>
        <w:tc>
          <w:tcPr>
            <w:tcW w:w="540" w:type="dxa"/>
            <w:vAlign w:val="bottom"/>
            <w:tcBorders>
              <w:bottom w:val="single" w:sz="8" w:color="00C08A"/>
            </w:tcBorders>
          </w:tcPr>
          <w:p>
            <w:pPr>
              <w:spacing w:after="0"/>
              <w:rPr>
                <w:sz w:val="2"/>
                <w:szCs w:val="2"/>
                <w:color w:val="auto"/>
              </w:rPr>
            </w:pPr>
          </w:p>
        </w:tc>
        <w:tc>
          <w:tcPr>
            <w:tcW w:w="520" w:type="dxa"/>
            <w:vAlign w:val="bottom"/>
            <w:tcBorders>
              <w:bottom w:val="single" w:sz="8" w:color="00C08A"/>
            </w:tcBorders>
          </w:tcPr>
          <w:p>
            <w:pPr>
              <w:spacing w:after="0"/>
              <w:rPr>
                <w:sz w:val="2"/>
                <w:szCs w:val="2"/>
                <w:color w:val="auto"/>
              </w:rPr>
            </w:pPr>
          </w:p>
        </w:tc>
        <w:tc>
          <w:tcPr>
            <w:tcW w:w="320" w:type="dxa"/>
            <w:vAlign w:val="bottom"/>
            <w:tcBorders>
              <w:bottom w:val="single" w:sz="8" w:color="00C08A"/>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600" w:type="dxa"/>
            <w:vAlign w:val="bottom"/>
            <w:gridSpan w:val="13"/>
            <w:vMerge w:val="restart"/>
          </w:tcPr>
          <w:p>
            <w:pPr>
              <w:ind w:left="40"/>
              <w:spacing w:after="0" w:line="317" w:lineRule="exact"/>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Age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Independent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Audit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Risk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Compensation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N&amp;CG</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4"/>
                <w:szCs w:val="14"/>
                <w:b w:val="1"/>
                <w:bCs w:val="1"/>
                <w:color w:val="002453"/>
              </w:rPr>
              <w:t>Name and Primary Occupation</w:t>
            </w:r>
          </w:p>
        </w:tc>
        <w:tc>
          <w:tcPr>
            <w:tcW w:w="600" w:type="dxa"/>
            <w:vAlign w:val="bottom"/>
          </w:tcPr>
          <w:p>
            <w:pPr>
              <w:ind w:left="420"/>
              <w:spacing w:after="0"/>
              <w:rPr>
                <w:sz w:val="20"/>
                <w:szCs w:val="20"/>
                <w:color w:val="auto"/>
              </w:rPr>
            </w:pPr>
            <w:r>
              <w:rPr>
                <w:rFonts w:ascii="Arial" w:cs="Arial" w:eastAsia="Arial" w:hAnsi="Arial"/>
                <w:sz w:val="14"/>
                <w:szCs w:val="14"/>
                <w:b w:val="1"/>
                <w:bCs w:val="1"/>
                <w:color w:val="002453"/>
              </w:rPr>
              <w:t>​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453"/>
              </w:rPr>
              <w:t>Since</w:t>
            </w:r>
          </w:p>
        </w:tc>
        <w:tc>
          <w:tcPr>
            <w:tcW w:w="4600" w:type="dxa"/>
            <w:vAlign w:val="bottom"/>
            <w:gridSpan w:val="1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340" w:type="dxa"/>
            <w:vAlign w:val="bottom"/>
            <w:tcBorders>
              <w:top w:val="single" w:sz="8" w:color="00C08A"/>
            </w:tcBorders>
          </w:tcPr>
          <w:p>
            <w:pPr>
              <w:spacing w:after="0"/>
              <w:rPr>
                <w:sz w:val="20"/>
                <w:szCs w:val="20"/>
                <w:color w:val="auto"/>
              </w:rPr>
            </w:pPr>
            <w:r>
              <w:rPr>
                <w:rFonts w:ascii="Arial" w:cs="Arial" w:eastAsia="Arial" w:hAnsi="Arial"/>
                <w:sz w:val="18"/>
                <w:szCs w:val="18"/>
                <w:b w:val="1"/>
                <w:bCs w:val="1"/>
                <w:color w:val="auto"/>
              </w:rPr>
              <w:t>Vincent Viola</w:t>
            </w:r>
          </w:p>
        </w:tc>
        <w:tc>
          <w:tcPr>
            <w:tcW w:w="1920" w:type="dxa"/>
            <w:vAlign w:val="bottom"/>
            <w:tcBorders>
              <w:top w:val="single" w:sz="8" w:color="00C08A"/>
            </w:tcBorders>
          </w:tcPr>
          <w:p>
            <w:pPr>
              <w:spacing w:after="0"/>
              <w:rPr>
                <w:sz w:val="21"/>
                <w:szCs w:val="21"/>
                <w:color w:val="auto"/>
              </w:rPr>
            </w:pPr>
          </w:p>
        </w:tc>
        <w:tc>
          <w:tcPr>
            <w:tcW w:w="600" w:type="dxa"/>
            <w:vAlign w:val="bottom"/>
            <w:tcBorders>
              <w:top w:val="single" w:sz="8" w:color="00C08A"/>
            </w:tcBorders>
          </w:tcPr>
          <w:p>
            <w:pPr>
              <w:ind w:left="420"/>
              <w:spacing w:after="0"/>
              <w:rPr>
                <w:sz w:val="20"/>
                <w:szCs w:val="20"/>
                <w:color w:val="auto"/>
              </w:rPr>
            </w:pPr>
            <w:r>
              <w:rPr>
                <w:rFonts w:ascii="Arial" w:cs="Arial" w:eastAsia="Arial" w:hAnsi="Arial"/>
                <w:sz w:val="18"/>
                <w:szCs w:val="18"/>
                <w:color w:val="auto"/>
              </w:rPr>
              <w:t>​ ​</w:t>
            </w:r>
          </w:p>
        </w:tc>
        <w:tc>
          <w:tcPr>
            <w:tcW w:w="780" w:type="dxa"/>
            <w:vAlign w:val="bottom"/>
            <w:tcBorders>
              <w:top w:val="single" w:sz="8" w:color="00C08A"/>
            </w:tcBorders>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Borders>
              <w:top w:val="single" w:sz="8" w:color="00C08A"/>
            </w:tcBorders>
          </w:tcPr>
          <w:p>
            <w:pPr>
              <w:ind w:left="40"/>
              <w:spacing w:after="0" w:line="249"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67</w:t>
            </w:r>
          </w:p>
        </w:tc>
        <w:tc>
          <w:tcPr>
            <w:tcW w:w="420" w:type="dxa"/>
            <w:vAlign w:val="bottom"/>
            <w:tcBorders>
              <w:top w:val="single" w:sz="8" w:color="00C08A"/>
            </w:tcBorders>
          </w:tcPr>
          <w:p>
            <w:pPr>
              <w:ind w:left="40"/>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00C08A"/>
            </w:tcBorders>
          </w:tcPr>
          <w:p>
            <w:pPr>
              <w:ind w:left="2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00C08A"/>
            </w:tcBorders>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00C08A"/>
            </w:tcBorders>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08A"/>
            </w:tcBorders>
          </w:tcPr>
          <w:p>
            <w:pPr>
              <w:ind w:left="100"/>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00C08A"/>
            </w:tcBorders>
          </w:tcPr>
          <w:p>
            <w:pPr>
              <w:ind w:left="80"/>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00C08A"/>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00C08A"/>
            </w:tcBorders>
          </w:tcPr>
          <w:p>
            <w:pPr>
              <w:ind w:left="260"/>
              <w:spacing w:after="0"/>
              <w:rPr>
                <w:sz w:val="20"/>
                <w:szCs w:val="20"/>
                <w:color w:val="auto"/>
              </w:rPr>
            </w:pPr>
            <w:r>
              <w:rPr>
                <w:rFonts w:ascii="Arial" w:cs="Arial" w:eastAsia="Arial" w:hAnsi="Arial"/>
                <w:sz w:val="18"/>
                <w:szCs w:val="18"/>
                <w:color w:val="auto"/>
              </w:rPr>
              <w:t>​ ​</w:t>
            </w:r>
          </w:p>
        </w:tc>
        <w:tc>
          <w:tcPr>
            <w:tcW w:w="320" w:type="dxa"/>
            <w:vAlign w:val="bottom"/>
            <w:tcBorders>
              <w:top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260" w:type="dxa"/>
            <w:vAlign w:val="bottom"/>
            <w:gridSpan w:val="2"/>
          </w:tcPr>
          <w:p>
            <w:pPr>
              <w:spacing w:after="0"/>
              <w:rPr>
                <w:sz w:val="20"/>
                <w:szCs w:val="20"/>
                <w:color w:val="auto"/>
              </w:rPr>
            </w:pPr>
            <w:r>
              <w:rPr>
                <w:rFonts w:ascii="Arial" w:cs="Arial" w:eastAsia="Arial" w:hAnsi="Arial"/>
                <w:sz w:val="18"/>
                <w:szCs w:val="18"/>
                <w:color w:val="auto"/>
              </w:rPr>
              <w:t>Founder and Chairman Emeritus</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340" w:type="dxa"/>
            <w:vAlign w:val="bottom"/>
            <w:tcBorders>
              <w:bottom w:val="single" w:sz="8" w:color="00C08A"/>
            </w:tcBorders>
          </w:tcPr>
          <w:p>
            <w:pPr>
              <w:spacing w:after="0"/>
              <w:rPr>
                <w:sz w:val="5"/>
                <w:szCs w:val="5"/>
                <w:color w:val="auto"/>
              </w:rPr>
            </w:pPr>
          </w:p>
        </w:tc>
        <w:tc>
          <w:tcPr>
            <w:tcW w:w="1920" w:type="dxa"/>
            <w:vAlign w:val="bottom"/>
            <w:tcBorders>
              <w:bottom w:val="single" w:sz="8" w:color="00C08A"/>
            </w:tcBorders>
          </w:tcPr>
          <w:p>
            <w:pPr>
              <w:spacing w:after="0"/>
              <w:rPr>
                <w:sz w:val="5"/>
                <w:szCs w:val="5"/>
                <w:color w:val="auto"/>
              </w:rPr>
            </w:pPr>
          </w:p>
        </w:tc>
        <w:tc>
          <w:tcPr>
            <w:tcW w:w="600" w:type="dxa"/>
            <w:vAlign w:val="bottom"/>
            <w:tcBorders>
              <w:bottom w:val="single" w:sz="8" w:color="00C08A"/>
            </w:tcBorders>
          </w:tcPr>
          <w:p>
            <w:pPr>
              <w:spacing w:after="0"/>
              <w:rPr>
                <w:sz w:val="5"/>
                <w:szCs w:val="5"/>
                <w:color w:val="auto"/>
              </w:rPr>
            </w:pPr>
          </w:p>
        </w:tc>
        <w:tc>
          <w:tcPr>
            <w:tcW w:w="78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420" w:type="dxa"/>
            <w:vAlign w:val="bottom"/>
            <w:tcBorders>
              <w:bottom w:val="single" w:sz="8" w:color="00C08A"/>
            </w:tcBorders>
          </w:tcPr>
          <w:p>
            <w:pPr>
              <w:spacing w:after="0"/>
              <w:rPr>
                <w:sz w:val="5"/>
                <w:szCs w:val="5"/>
                <w:color w:val="auto"/>
              </w:rPr>
            </w:pPr>
          </w:p>
        </w:tc>
        <w:tc>
          <w:tcPr>
            <w:tcW w:w="480" w:type="dxa"/>
            <w:vAlign w:val="bottom"/>
            <w:tcBorders>
              <w:bottom w:val="single" w:sz="8" w:color="00C08A"/>
            </w:tcBorders>
          </w:tcPr>
          <w:p>
            <w:pPr>
              <w:spacing w:after="0"/>
              <w:rPr>
                <w:sz w:val="5"/>
                <w:szCs w:val="5"/>
                <w:color w:val="auto"/>
              </w:rPr>
            </w:pPr>
          </w:p>
        </w:tc>
        <w:tc>
          <w:tcPr>
            <w:tcW w:w="28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240" w:type="dxa"/>
            <w:vAlign w:val="bottom"/>
            <w:tcBorders>
              <w:bottom w:val="single" w:sz="8" w:color="00C08A"/>
            </w:tcBorders>
          </w:tcPr>
          <w:p>
            <w:pPr>
              <w:spacing w:after="0"/>
              <w:rPr>
                <w:sz w:val="5"/>
                <w:szCs w:val="5"/>
                <w:color w:val="auto"/>
              </w:rPr>
            </w:pPr>
          </w:p>
        </w:tc>
        <w:tc>
          <w:tcPr>
            <w:tcW w:w="34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540" w:type="dxa"/>
            <w:vAlign w:val="bottom"/>
            <w:tcBorders>
              <w:bottom w:val="single" w:sz="8" w:color="00C08A"/>
            </w:tcBorders>
          </w:tcPr>
          <w:p>
            <w:pPr>
              <w:spacing w:after="0"/>
              <w:rPr>
                <w:sz w:val="5"/>
                <w:szCs w:val="5"/>
                <w:color w:val="auto"/>
              </w:rPr>
            </w:pPr>
          </w:p>
        </w:tc>
        <w:tc>
          <w:tcPr>
            <w:tcW w:w="520" w:type="dxa"/>
            <w:vAlign w:val="bottom"/>
            <w:tcBorders>
              <w:bottom w:val="single" w:sz="8" w:color="00C08A"/>
            </w:tcBorders>
          </w:tcPr>
          <w:p>
            <w:pPr>
              <w:spacing w:after="0"/>
              <w:rPr>
                <w:sz w:val="5"/>
                <w:szCs w:val="5"/>
                <w:color w:val="auto"/>
              </w:rPr>
            </w:pPr>
          </w:p>
        </w:tc>
        <w:tc>
          <w:tcPr>
            <w:tcW w:w="320" w:type="dxa"/>
            <w:vAlign w:val="bottom"/>
            <w:tcBorders>
              <w:bottom w:val="single" w:sz="8" w:color="00C08A"/>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b w:val="1"/>
                <w:bCs w:val="1"/>
                <w:color w:val="auto"/>
                <w:w w:val="98"/>
              </w:rPr>
              <w:t>Douglas A. Cifu</w:t>
            </w:r>
          </w:p>
        </w:tc>
        <w:tc>
          <w:tcPr>
            <w:tcW w:w="1920" w:type="dxa"/>
            <w:vAlign w:val="bottom"/>
          </w:tcPr>
          <w:p>
            <w:pPr>
              <w:spacing w:after="0"/>
              <w:rPr>
                <w:sz w:val="18"/>
                <w:szCs w:val="18"/>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2013</w:t>
            </w:r>
          </w:p>
        </w:tc>
        <w:tc>
          <w:tcPr>
            <w:tcW w:w="500" w:type="dxa"/>
            <w:vAlign w:val="bottom"/>
          </w:tcPr>
          <w:p>
            <w:pPr>
              <w:ind w:left="40"/>
              <w:spacing w:after="0"/>
              <w:rPr>
                <w:sz w:val="20"/>
                <w:szCs w:val="20"/>
                <w:color w:val="auto"/>
              </w:rPr>
            </w:pPr>
            <w:r>
              <w:rPr>
                <w:rFonts w:ascii="Arial" w:cs="Arial" w:eastAsia="Arial" w:hAnsi="Arial"/>
                <w:sz w:val="18"/>
                <w:szCs w:val="18"/>
                <w:color w:val="auto"/>
              </w:rPr>
              <w:t>​ ​ 57</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2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340" w:type="dxa"/>
            <w:vAlign w:val="bottom"/>
            <w:tcBorders>
              <w:bottom w:val="single" w:sz="8" w:color="00C08A"/>
            </w:tcBorders>
          </w:tcPr>
          <w:p>
            <w:pPr>
              <w:spacing w:after="0"/>
              <w:rPr>
                <w:sz w:val="5"/>
                <w:szCs w:val="5"/>
                <w:color w:val="auto"/>
              </w:rPr>
            </w:pPr>
          </w:p>
        </w:tc>
        <w:tc>
          <w:tcPr>
            <w:tcW w:w="1920" w:type="dxa"/>
            <w:vAlign w:val="bottom"/>
            <w:tcBorders>
              <w:bottom w:val="single" w:sz="8" w:color="00C08A"/>
            </w:tcBorders>
          </w:tcPr>
          <w:p>
            <w:pPr>
              <w:spacing w:after="0"/>
              <w:rPr>
                <w:sz w:val="5"/>
                <w:szCs w:val="5"/>
                <w:color w:val="auto"/>
              </w:rPr>
            </w:pPr>
          </w:p>
        </w:tc>
        <w:tc>
          <w:tcPr>
            <w:tcW w:w="600" w:type="dxa"/>
            <w:vAlign w:val="bottom"/>
            <w:tcBorders>
              <w:bottom w:val="single" w:sz="8" w:color="00C08A"/>
            </w:tcBorders>
          </w:tcPr>
          <w:p>
            <w:pPr>
              <w:spacing w:after="0"/>
              <w:rPr>
                <w:sz w:val="5"/>
                <w:szCs w:val="5"/>
                <w:color w:val="auto"/>
              </w:rPr>
            </w:pPr>
          </w:p>
        </w:tc>
        <w:tc>
          <w:tcPr>
            <w:tcW w:w="78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420" w:type="dxa"/>
            <w:vAlign w:val="bottom"/>
            <w:tcBorders>
              <w:bottom w:val="single" w:sz="8" w:color="00C08A"/>
            </w:tcBorders>
          </w:tcPr>
          <w:p>
            <w:pPr>
              <w:spacing w:after="0"/>
              <w:rPr>
                <w:sz w:val="5"/>
                <w:szCs w:val="5"/>
                <w:color w:val="auto"/>
              </w:rPr>
            </w:pPr>
          </w:p>
        </w:tc>
        <w:tc>
          <w:tcPr>
            <w:tcW w:w="480" w:type="dxa"/>
            <w:vAlign w:val="bottom"/>
            <w:tcBorders>
              <w:bottom w:val="single" w:sz="8" w:color="00C08A"/>
            </w:tcBorders>
          </w:tcPr>
          <w:p>
            <w:pPr>
              <w:spacing w:after="0"/>
              <w:rPr>
                <w:sz w:val="5"/>
                <w:szCs w:val="5"/>
                <w:color w:val="auto"/>
              </w:rPr>
            </w:pPr>
          </w:p>
        </w:tc>
        <w:tc>
          <w:tcPr>
            <w:tcW w:w="28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240" w:type="dxa"/>
            <w:vAlign w:val="bottom"/>
            <w:tcBorders>
              <w:bottom w:val="single" w:sz="8" w:color="00C08A"/>
            </w:tcBorders>
          </w:tcPr>
          <w:p>
            <w:pPr>
              <w:spacing w:after="0"/>
              <w:rPr>
                <w:sz w:val="5"/>
                <w:szCs w:val="5"/>
                <w:color w:val="auto"/>
              </w:rPr>
            </w:pPr>
          </w:p>
        </w:tc>
        <w:tc>
          <w:tcPr>
            <w:tcW w:w="34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540" w:type="dxa"/>
            <w:vAlign w:val="bottom"/>
            <w:tcBorders>
              <w:bottom w:val="single" w:sz="8" w:color="00C08A"/>
            </w:tcBorders>
          </w:tcPr>
          <w:p>
            <w:pPr>
              <w:spacing w:after="0"/>
              <w:rPr>
                <w:sz w:val="5"/>
                <w:szCs w:val="5"/>
                <w:color w:val="auto"/>
              </w:rPr>
            </w:pPr>
          </w:p>
        </w:tc>
        <w:tc>
          <w:tcPr>
            <w:tcW w:w="520" w:type="dxa"/>
            <w:vAlign w:val="bottom"/>
            <w:tcBorders>
              <w:bottom w:val="single" w:sz="8" w:color="00C08A"/>
            </w:tcBorders>
          </w:tcPr>
          <w:p>
            <w:pPr>
              <w:spacing w:after="0"/>
              <w:rPr>
                <w:sz w:val="5"/>
                <w:szCs w:val="5"/>
                <w:color w:val="auto"/>
              </w:rPr>
            </w:pPr>
          </w:p>
        </w:tc>
        <w:tc>
          <w:tcPr>
            <w:tcW w:w="320" w:type="dxa"/>
            <w:vAlign w:val="bottom"/>
            <w:tcBorders>
              <w:bottom w:val="single" w:sz="8" w:color="00C08A"/>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0"/>
                <w:szCs w:val="20"/>
                <w:color w:val="auto"/>
              </w:rPr>
            </w:pPr>
            <w:r>
              <w:rPr>
                <w:rFonts w:ascii="Arial" w:cs="Arial" w:eastAsia="Arial" w:hAnsi="Arial"/>
                <w:sz w:val="18"/>
                <w:szCs w:val="18"/>
                <w:b w:val="1"/>
                <w:bCs w:val="1"/>
                <w:color w:val="auto"/>
                <w:w w:val="97"/>
              </w:rPr>
              <w:t>Michael T. Viola</w:t>
            </w:r>
          </w:p>
        </w:tc>
        <w:tc>
          <w:tcPr>
            <w:tcW w:w="192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bscript"/>
              </w:rPr>
              <w:t>36</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6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260" w:type="dxa"/>
            <w:vAlign w:val="bottom"/>
            <w:tcBorders>
              <w:bottom w:val="single" w:sz="8" w:color="00C08A"/>
            </w:tcBorders>
            <w:gridSpan w:val="2"/>
          </w:tcPr>
          <w:p>
            <w:pPr>
              <w:spacing w:after="0"/>
              <w:rPr>
                <w:sz w:val="5"/>
                <w:szCs w:val="5"/>
                <w:color w:val="auto"/>
              </w:rPr>
            </w:pPr>
          </w:p>
        </w:tc>
        <w:tc>
          <w:tcPr>
            <w:tcW w:w="600" w:type="dxa"/>
            <w:vAlign w:val="bottom"/>
            <w:tcBorders>
              <w:bottom w:val="single" w:sz="8" w:color="00C08A"/>
            </w:tcBorders>
          </w:tcPr>
          <w:p>
            <w:pPr>
              <w:spacing w:after="0"/>
              <w:rPr>
                <w:sz w:val="5"/>
                <w:szCs w:val="5"/>
                <w:color w:val="auto"/>
              </w:rPr>
            </w:pPr>
          </w:p>
        </w:tc>
        <w:tc>
          <w:tcPr>
            <w:tcW w:w="78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420" w:type="dxa"/>
            <w:vAlign w:val="bottom"/>
            <w:tcBorders>
              <w:bottom w:val="single" w:sz="8" w:color="00C08A"/>
            </w:tcBorders>
          </w:tcPr>
          <w:p>
            <w:pPr>
              <w:spacing w:after="0"/>
              <w:rPr>
                <w:sz w:val="5"/>
                <w:szCs w:val="5"/>
                <w:color w:val="auto"/>
              </w:rPr>
            </w:pPr>
          </w:p>
        </w:tc>
        <w:tc>
          <w:tcPr>
            <w:tcW w:w="480" w:type="dxa"/>
            <w:vAlign w:val="bottom"/>
            <w:tcBorders>
              <w:bottom w:val="single" w:sz="8" w:color="00C08A"/>
            </w:tcBorders>
          </w:tcPr>
          <w:p>
            <w:pPr>
              <w:spacing w:after="0"/>
              <w:rPr>
                <w:sz w:val="5"/>
                <w:szCs w:val="5"/>
                <w:color w:val="auto"/>
              </w:rPr>
            </w:pPr>
          </w:p>
        </w:tc>
        <w:tc>
          <w:tcPr>
            <w:tcW w:w="28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240" w:type="dxa"/>
            <w:vAlign w:val="bottom"/>
            <w:tcBorders>
              <w:bottom w:val="single" w:sz="8" w:color="00C08A"/>
            </w:tcBorders>
          </w:tcPr>
          <w:p>
            <w:pPr>
              <w:spacing w:after="0"/>
              <w:rPr>
                <w:sz w:val="5"/>
                <w:szCs w:val="5"/>
                <w:color w:val="auto"/>
              </w:rPr>
            </w:pPr>
          </w:p>
        </w:tc>
        <w:tc>
          <w:tcPr>
            <w:tcW w:w="34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540" w:type="dxa"/>
            <w:vAlign w:val="bottom"/>
            <w:tcBorders>
              <w:bottom w:val="single" w:sz="8" w:color="00C08A"/>
            </w:tcBorders>
          </w:tcPr>
          <w:p>
            <w:pPr>
              <w:spacing w:after="0"/>
              <w:rPr>
                <w:sz w:val="5"/>
                <w:szCs w:val="5"/>
                <w:color w:val="auto"/>
              </w:rPr>
            </w:pPr>
          </w:p>
        </w:tc>
        <w:tc>
          <w:tcPr>
            <w:tcW w:w="520" w:type="dxa"/>
            <w:vAlign w:val="bottom"/>
            <w:tcBorders>
              <w:bottom w:val="single" w:sz="8" w:color="00C08A"/>
            </w:tcBorders>
          </w:tcPr>
          <w:p>
            <w:pPr>
              <w:spacing w:after="0"/>
              <w:rPr>
                <w:sz w:val="5"/>
                <w:szCs w:val="5"/>
                <w:color w:val="auto"/>
              </w:rPr>
            </w:pPr>
          </w:p>
        </w:tc>
        <w:tc>
          <w:tcPr>
            <w:tcW w:w="320" w:type="dxa"/>
            <w:vAlign w:val="bottom"/>
            <w:tcBorders>
              <w:bottom w:val="single" w:sz="8" w:color="00C08A"/>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William F. Cruger, Jr.</w:t>
            </w: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bscript"/>
              </w:rPr>
              <w:t>64</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4"/>
                <w:szCs w:val="24"/>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260" w:type="dxa"/>
            <w:vAlign w:val="bottom"/>
            <w:tcBorders>
              <w:bottom w:val="single" w:sz="8" w:color="00C08A"/>
            </w:tcBorders>
            <w:gridSpan w:val="2"/>
          </w:tcPr>
          <w:p>
            <w:pPr>
              <w:spacing w:after="0"/>
              <w:rPr>
                <w:sz w:val="5"/>
                <w:szCs w:val="5"/>
                <w:color w:val="auto"/>
              </w:rPr>
            </w:pPr>
          </w:p>
        </w:tc>
        <w:tc>
          <w:tcPr>
            <w:tcW w:w="600" w:type="dxa"/>
            <w:vAlign w:val="bottom"/>
            <w:tcBorders>
              <w:bottom w:val="single" w:sz="8" w:color="00C08A"/>
            </w:tcBorders>
          </w:tcPr>
          <w:p>
            <w:pPr>
              <w:spacing w:after="0"/>
              <w:rPr>
                <w:sz w:val="5"/>
                <w:szCs w:val="5"/>
                <w:color w:val="auto"/>
              </w:rPr>
            </w:pPr>
          </w:p>
        </w:tc>
        <w:tc>
          <w:tcPr>
            <w:tcW w:w="78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420" w:type="dxa"/>
            <w:vAlign w:val="bottom"/>
            <w:tcBorders>
              <w:bottom w:val="single" w:sz="8" w:color="00C08A"/>
            </w:tcBorders>
          </w:tcPr>
          <w:p>
            <w:pPr>
              <w:spacing w:after="0"/>
              <w:rPr>
                <w:sz w:val="5"/>
                <w:szCs w:val="5"/>
                <w:color w:val="auto"/>
              </w:rPr>
            </w:pPr>
          </w:p>
        </w:tc>
        <w:tc>
          <w:tcPr>
            <w:tcW w:w="480" w:type="dxa"/>
            <w:vAlign w:val="bottom"/>
            <w:tcBorders>
              <w:bottom w:val="single" w:sz="8" w:color="00C08A"/>
            </w:tcBorders>
          </w:tcPr>
          <w:p>
            <w:pPr>
              <w:spacing w:after="0"/>
              <w:rPr>
                <w:sz w:val="5"/>
                <w:szCs w:val="5"/>
                <w:color w:val="auto"/>
              </w:rPr>
            </w:pPr>
          </w:p>
        </w:tc>
        <w:tc>
          <w:tcPr>
            <w:tcW w:w="28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240" w:type="dxa"/>
            <w:vAlign w:val="bottom"/>
            <w:tcBorders>
              <w:bottom w:val="single" w:sz="8" w:color="00C08A"/>
            </w:tcBorders>
          </w:tcPr>
          <w:p>
            <w:pPr>
              <w:spacing w:after="0"/>
              <w:rPr>
                <w:sz w:val="5"/>
                <w:szCs w:val="5"/>
                <w:color w:val="auto"/>
              </w:rPr>
            </w:pPr>
          </w:p>
        </w:tc>
        <w:tc>
          <w:tcPr>
            <w:tcW w:w="34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540" w:type="dxa"/>
            <w:vAlign w:val="bottom"/>
            <w:tcBorders>
              <w:bottom w:val="single" w:sz="8" w:color="00C08A"/>
            </w:tcBorders>
          </w:tcPr>
          <w:p>
            <w:pPr>
              <w:spacing w:after="0"/>
              <w:rPr>
                <w:sz w:val="5"/>
                <w:szCs w:val="5"/>
                <w:color w:val="auto"/>
              </w:rPr>
            </w:pPr>
          </w:p>
        </w:tc>
        <w:tc>
          <w:tcPr>
            <w:tcW w:w="520" w:type="dxa"/>
            <w:vAlign w:val="bottom"/>
            <w:tcBorders>
              <w:bottom w:val="single" w:sz="8" w:color="00C08A"/>
            </w:tcBorders>
          </w:tcPr>
          <w:p>
            <w:pPr>
              <w:spacing w:after="0"/>
              <w:rPr>
                <w:sz w:val="5"/>
                <w:szCs w:val="5"/>
                <w:color w:val="auto"/>
              </w:rPr>
            </w:pPr>
          </w:p>
        </w:tc>
        <w:tc>
          <w:tcPr>
            <w:tcW w:w="320" w:type="dxa"/>
            <w:vAlign w:val="bottom"/>
            <w:tcBorders>
              <w:bottom w:val="single" w:sz="8" w:color="00C08A"/>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Virginia Gambale</w:t>
            </w: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500" w:type="dxa"/>
            <w:vAlign w:val="bottom"/>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bscript"/>
              </w:rPr>
              <w:t>63</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4"/>
                <w:szCs w:val="24"/>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260" w:type="dxa"/>
            <w:vAlign w:val="bottom"/>
            <w:tcBorders>
              <w:bottom w:val="single" w:sz="8" w:color="00C08A"/>
            </w:tcBorders>
            <w:gridSpan w:val="2"/>
          </w:tcPr>
          <w:p>
            <w:pPr>
              <w:spacing w:after="0"/>
              <w:rPr>
                <w:sz w:val="5"/>
                <w:szCs w:val="5"/>
                <w:color w:val="auto"/>
              </w:rPr>
            </w:pPr>
          </w:p>
        </w:tc>
        <w:tc>
          <w:tcPr>
            <w:tcW w:w="600" w:type="dxa"/>
            <w:vAlign w:val="bottom"/>
            <w:tcBorders>
              <w:bottom w:val="single" w:sz="8" w:color="00C08A"/>
            </w:tcBorders>
          </w:tcPr>
          <w:p>
            <w:pPr>
              <w:spacing w:after="0"/>
              <w:rPr>
                <w:sz w:val="5"/>
                <w:szCs w:val="5"/>
                <w:color w:val="auto"/>
              </w:rPr>
            </w:pPr>
          </w:p>
        </w:tc>
        <w:tc>
          <w:tcPr>
            <w:tcW w:w="78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420" w:type="dxa"/>
            <w:vAlign w:val="bottom"/>
            <w:tcBorders>
              <w:bottom w:val="single" w:sz="8" w:color="00C08A"/>
            </w:tcBorders>
          </w:tcPr>
          <w:p>
            <w:pPr>
              <w:spacing w:after="0"/>
              <w:rPr>
                <w:sz w:val="5"/>
                <w:szCs w:val="5"/>
                <w:color w:val="auto"/>
              </w:rPr>
            </w:pPr>
          </w:p>
        </w:tc>
        <w:tc>
          <w:tcPr>
            <w:tcW w:w="480" w:type="dxa"/>
            <w:vAlign w:val="bottom"/>
            <w:tcBorders>
              <w:bottom w:val="single" w:sz="8" w:color="00C08A"/>
            </w:tcBorders>
          </w:tcPr>
          <w:p>
            <w:pPr>
              <w:spacing w:after="0"/>
              <w:rPr>
                <w:sz w:val="5"/>
                <w:szCs w:val="5"/>
                <w:color w:val="auto"/>
              </w:rPr>
            </w:pPr>
          </w:p>
        </w:tc>
        <w:tc>
          <w:tcPr>
            <w:tcW w:w="28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240" w:type="dxa"/>
            <w:vAlign w:val="bottom"/>
            <w:tcBorders>
              <w:bottom w:val="single" w:sz="8" w:color="00C08A"/>
            </w:tcBorders>
          </w:tcPr>
          <w:p>
            <w:pPr>
              <w:spacing w:after="0"/>
              <w:rPr>
                <w:sz w:val="5"/>
                <w:szCs w:val="5"/>
                <w:color w:val="auto"/>
              </w:rPr>
            </w:pPr>
          </w:p>
        </w:tc>
        <w:tc>
          <w:tcPr>
            <w:tcW w:w="340" w:type="dxa"/>
            <w:vAlign w:val="bottom"/>
            <w:tcBorders>
              <w:bottom w:val="single" w:sz="8" w:color="00C08A"/>
            </w:tcBorders>
          </w:tcPr>
          <w:p>
            <w:pPr>
              <w:spacing w:after="0"/>
              <w:rPr>
                <w:sz w:val="5"/>
                <w:szCs w:val="5"/>
                <w:color w:val="auto"/>
              </w:rPr>
            </w:pPr>
          </w:p>
        </w:tc>
        <w:tc>
          <w:tcPr>
            <w:tcW w:w="200" w:type="dxa"/>
            <w:vAlign w:val="bottom"/>
            <w:tcBorders>
              <w:bottom w:val="single" w:sz="8" w:color="00C08A"/>
            </w:tcBorders>
          </w:tcPr>
          <w:p>
            <w:pPr>
              <w:spacing w:after="0"/>
              <w:rPr>
                <w:sz w:val="5"/>
                <w:szCs w:val="5"/>
                <w:color w:val="auto"/>
              </w:rPr>
            </w:pPr>
          </w:p>
        </w:tc>
        <w:tc>
          <w:tcPr>
            <w:tcW w:w="500" w:type="dxa"/>
            <w:vAlign w:val="bottom"/>
            <w:tcBorders>
              <w:bottom w:val="single" w:sz="8" w:color="00C08A"/>
            </w:tcBorders>
          </w:tcPr>
          <w:p>
            <w:pPr>
              <w:spacing w:after="0"/>
              <w:rPr>
                <w:sz w:val="5"/>
                <w:szCs w:val="5"/>
                <w:color w:val="auto"/>
              </w:rPr>
            </w:pPr>
          </w:p>
        </w:tc>
        <w:tc>
          <w:tcPr>
            <w:tcW w:w="540" w:type="dxa"/>
            <w:vAlign w:val="bottom"/>
            <w:tcBorders>
              <w:bottom w:val="single" w:sz="8" w:color="00C08A"/>
            </w:tcBorders>
          </w:tcPr>
          <w:p>
            <w:pPr>
              <w:spacing w:after="0"/>
              <w:rPr>
                <w:sz w:val="5"/>
                <w:szCs w:val="5"/>
                <w:color w:val="auto"/>
              </w:rPr>
            </w:pPr>
          </w:p>
        </w:tc>
        <w:tc>
          <w:tcPr>
            <w:tcW w:w="520" w:type="dxa"/>
            <w:vAlign w:val="bottom"/>
            <w:tcBorders>
              <w:bottom w:val="single" w:sz="8" w:color="00C08A"/>
            </w:tcBorders>
          </w:tcPr>
          <w:p>
            <w:pPr>
              <w:spacing w:after="0"/>
              <w:rPr>
                <w:sz w:val="5"/>
                <w:szCs w:val="5"/>
                <w:color w:val="auto"/>
              </w:rPr>
            </w:pPr>
          </w:p>
        </w:tc>
        <w:tc>
          <w:tcPr>
            <w:tcW w:w="320" w:type="dxa"/>
            <w:vAlign w:val="bottom"/>
            <w:tcBorders>
              <w:bottom w:val="single" w:sz="8" w:color="00C08A"/>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Joseph J. Grano, Jr.</w:t>
            </w: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bscript"/>
              </w:rPr>
              <w:t>75</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4"/>
                <w:szCs w:val="24"/>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260" w:type="dxa"/>
            <w:vAlign w:val="bottom"/>
            <w:tcBorders>
              <w:bottom w:val="single" w:sz="8" w:color="00C08A"/>
            </w:tcBorders>
            <w:gridSpan w:val="2"/>
          </w:tcPr>
          <w:p>
            <w:pPr>
              <w:spacing w:after="0"/>
              <w:rPr>
                <w:sz w:val="7"/>
                <w:szCs w:val="7"/>
                <w:color w:val="auto"/>
              </w:rPr>
            </w:pPr>
          </w:p>
        </w:tc>
        <w:tc>
          <w:tcPr>
            <w:tcW w:w="60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Joanne M. Minieri</w:t>
            </w: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500" w:type="dxa"/>
            <w:vAlign w:val="bottom"/>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bscript"/>
              </w:rPr>
              <w:t>62</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4"/>
                <w:szCs w:val="24"/>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340" w:type="dxa"/>
            <w:vAlign w:val="bottom"/>
            <w:tcBorders>
              <w:bottom w:val="single" w:sz="8" w:color="00C08A"/>
            </w:tcBorders>
          </w:tcPr>
          <w:p>
            <w:pPr>
              <w:spacing w:after="0"/>
              <w:rPr>
                <w:sz w:val="7"/>
                <w:szCs w:val="7"/>
                <w:color w:val="auto"/>
              </w:rPr>
            </w:pPr>
          </w:p>
        </w:tc>
        <w:tc>
          <w:tcPr>
            <w:tcW w:w="1920" w:type="dxa"/>
            <w:vAlign w:val="bottom"/>
            <w:tcBorders>
              <w:bottom w:val="single" w:sz="8" w:color="00C08A"/>
            </w:tcBorders>
          </w:tcPr>
          <w:p>
            <w:pPr>
              <w:spacing w:after="0"/>
              <w:rPr>
                <w:sz w:val="7"/>
                <w:szCs w:val="7"/>
                <w:color w:val="auto"/>
              </w:rPr>
            </w:pPr>
          </w:p>
        </w:tc>
        <w:tc>
          <w:tcPr>
            <w:tcW w:w="60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0"/>
                <w:szCs w:val="20"/>
                <w:color w:val="auto"/>
              </w:rPr>
            </w:pPr>
            <w:r>
              <w:rPr>
                <w:rFonts w:ascii="Arial" w:cs="Arial" w:eastAsia="Arial" w:hAnsi="Arial"/>
                <w:sz w:val="18"/>
                <w:szCs w:val="18"/>
                <w:b w:val="1"/>
                <w:bCs w:val="1"/>
                <w:color w:val="auto"/>
              </w:rPr>
              <w:t>John D. Nixon</w:t>
            </w:r>
          </w:p>
        </w:tc>
        <w:tc>
          <w:tcPr>
            <w:tcW w:w="192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bscript"/>
              </w:rPr>
              <w:t>67</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4"/>
                <w:szCs w:val="24"/>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260" w:type="dxa"/>
            <w:vAlign w:val="bottom"/>
            <w:tcBorders>
              <w:bottom w:val="single" w:sz="8" w:color="00C08A"/>
            </w:tcBorders>
            <w:gridSpan w:val="2"/>
          </w:tcPr>
          <w:p>
            <w:pPr>
              <w:spacing w:after="0"/>
              <w:rPr>
                <w:sz w:val="7"/>
                <w:szCs w:val="7"/>
                <w:color w:val="auto"/>
              </w:rPr>
            </w:pPr>
          </w:p>
        </w:tc>
        <w:tc>
          <w:tcPr>
            <w:tcW w:w="60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Christopher C. Quick</w:t>
            </w: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bscript"/>
              </w:rPr>
              <w:t>65</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4"/>
                <w:szCs w:val="24"/>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340" w:type="dxa"/>
            <w:vAlign w:val="bottom"/>
            <w:tcBorders>
              <w:bottom w:val="single" w:sz="8" w:color="00C08A"/>
            </w:tcBorders>
          </w:tcPr>
          <w:p>
            <w:pPr>
              <w:spacing w:after="0"/>
              <w:rPr>
                <w:sz w:val="7"/>
                <w:szCs w:val="7"/>
                <w:color w:val="auto"/>
              </w:rPr>
            </w:pPr>
          </w:p>
        </w:tc>
        <w:tc>
          <w:tcPr>
            <w:tcW w:w="1920" w:type="dxa"/>
            <w:vAlign w:val="bottom"/>
            <w:tcBorders>
              <w:bottom w:val="single" w:sz="8" w:color="00C08A"/>
            </w:tcBorders>
          </w:tcPr>
          <w:p>
            <w:pPr>
              <w:spacing w:after="0"/>
              <w:rPr>
                <w:sz w:val="7"/>
                <w:szCs w:val="7"/>
                <w:color w:val="auto"/>
              </w:rPr>
            </w:pPr>
          </w:p>
        </w:tc>
        <w:tc>
          <w:tcPr>
            <w:tcW w:w="60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0"/>
                <w:szCs w:val="20"/>
                <w:color w:val="auto"/>
              </w:rPr>
            </w:pPr>
            <w:r>
              <w:rPr>
                <w:rFonts w:ascii="Arial" w:cs="Arial" w:eastAsia="Arial" w:hAnsi="Arial"/>
                <w:sz w:val="18"/>
                <w:szCs w:val="18"/>
                <w:b w:val="1"/>
                <w:bCs w:val="1"/>
                <w:color w:val="auto"/>
              </w:rPr>
              <w:t>David J. Urban</w:t>
            </w:r>
          </w:p>
        </w:tc>
        <w:tc>
          <w:tcPr>
            <w:tcW w:w="192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500" w:type="dxa"/>
            <w:vAlign w:val="bottom"/>
          </w:tcPr>
          <w:p>
            <w:pPr>
              <w:ind w:left="40"/>
              <w:spacing w:after="0" w:line="276"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bscript"/>
              </w:rPr>
              <w:t>59</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4"/>
                <w:szCs w:val="24"/>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340" w:type="dxa"/>
            <w:vAlign w:val="bottom"/>
            <w:tcBorders>
              <w:bottom w:val="single" w:sz="8" w:color="00C08A"/>
            </w:tcBorders>
          </w:tcPr>
          <w:p>
            <w:pPr>
              <w:spacing w:after="0"/>
              <w:rPr>
                <w:sz w:val="7"/>
                <w:szCs w:val="7"/>
                <w:color w:val="auto"/>
              </w:rPr>
            </w:pPr>
          </w:p>
        </w:tc>
        <w:tc>
          <w:tcPr>
            <w:tcW w:w="1920" w:type="dxa"/>
            <w:vAlign w:val="bottom"/>
            <w:tcBorders>
              <w:bottom w:val="single" w:sz="8" w:color="00C08A"/>
            </w:tcBorders>
          </w:tcPr>
          <w:p>
            <w:pPr>
              <w:spacing w:after="0"/>
              <w:rPr>
                <w:sz w:val="7"/>
                <w:szCs w:val="7"/>
                <w:color w:val="auto"/>
              </w:rPr>
            </w:pPr>
          </w:p>
        </w:tc>
        <w:tc>
          <w:tcPr>
            <w:tcW w:w="60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b w:val="1"/>
                <w:bCs w:val="1"/>
                <w:color w:val="auto"/>
              </w:rPr>
              <w:t>Stephen Cavoli</w:t>
            </w:r>
          </w:p>
        </w:tc>
        <w:tc>
          <w:tcPr>
            <w:tcW w:w="1920" w:type="dxa"/>
            <w:vAlign w:val="bottom"/>
          </w:tcPr>
          <w:p>
            <w:pPr>
              <w:spacing w:after="0"/>
              <w:rPr>
                <w:sz w:val="18"/>
                <w:szCs w:val="18"/>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40"/>
              <w:spacing w:after="0"/>
              <w:rPr>
                <w:sz w:val="20"/>
                <w:szCs w:val="20"/>
                <w:color w:val="auto"/>
              </w:rPr>
            </w:pPr>
            <w:r>
              <w:rPr>
                <w:rFonts w:ascii="Arial" w:cs="Arial" w:eastAsia="Arial" w:hAnsi="Arial"/>
                <w:sz w:val="18"/>
                <w:szCs w:val="18"/>
                <w:color w:val="auto"/>
              </w:rPr>
              <w:t>​ ​ 54</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260" w:type="dxa"/>
            <w:vAlign w:val="bottom"/>
            <w:gridSpan w:val="2"/>
          </w:tcPr>
          <w:p>
            <w:pPr>
              <w:spacing w:after="0"/>
              <w:rPr>
                <w:sz w:val="20"/>
                <w:szCs w:val="20"/>
                <w:color w:val="auto"/>
              </w:rPr>
            </w:pPr>
            <w:r>
              <w:rPr>
                <w:rFonts w:ascii="Arial" w:cs="Arial" w:eastAsia="Arial" w:hAnsi="Arial"/>
                <w:sz w:val="18"/>
                <w:szCs w:val="18"/>
                <w:color w:val="auto"/>
              </w:rPr>
              <w:t>Executive Vice President, Markets</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260" w:type="dxa"/>
            <w:vAlign w:val="bottom"/>
            <w:tcBorders>
              <w:bottom w:val="single" w:sz="8" w:color="00C08A"/>
            </w:tcBorders>
            <w:gridSpan w:val="2"/>
          </w:tcPr>
          <w:p>
            <w:pPr>
              <w:spacing w:after="0"/>
              <w:rPr>
                <w:sz w:val="7"/>
                <w:szCs w:val="7"/>
                <w:color w:val="auto"/>
              </w:rPr>
            </w:pPr>
          </w:p>
        </w:tc>
        <w:tc>
          <w:tcPr>
            <w:tcW w:w="60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Brett Fairclough</w:t>
            </w: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500" w:type="dxa"/>
            <w:vAlign w:val="bottom"/>
          </w:tcPr>
          <w:p>
            <w:pPr>
              <w:ind w:left="40"/>
              <w:spacing w:after="0"/>
              <w:rPr>
                <w:sz w:val="20"/>
                <w:szCs w:val="20"/>
                <w:color w:val="auto"/>
              </w:rPr>
            </w:pPr>
            <w:r>
              <w:rPr>
                <w:rFonts w:ascii="Arial" w:cs="Arial" w:eastAsia="Arial" w:hAnsi="Arial"/>
                <w:sz w:val="18"/>
                <w:szCs w:val="18"/>
                <w:color w:val="auto"/>
              </w:rPr>
              <w:t>​ ​ 40</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gridSpan w:val="2"/>
          </w:tcPr>
          <w:p>
            <w:pPr>
              <w:spacing w:after="0"/>
              <w:rPr>
                <w:sz w:val="20"/>
                <w:szCs w:val="20"/>
                <w:color w:val="auto"/>
              </w:rPr>
            </w:pPr>
            <w:r>
              <w:rPr>
                <w:rFonts w:ascii="Arial" w:cs="Arial" w:eastAsia="Arial" w:hAnsi="Arial"/>
                <w:sz w:val="18"/>
                <w:szCs w:val="18"/>
                <w:color w:val="auto"/>
              </w:rPr>
              <w:t>Co-Chief Operating Officer</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340" w:type="dxa"/>
            <w:vAlign w:val="bottom"/>
            <w:tcBorders>
              <w:bottom w:val="single" w:sz="8" w:color="00C08A"/>
            </w:tcBorders>
          </w:tcPr>
          <w:p>
            <w:pPr>
              <w:spacing w:after="0"/>
              <w:rPr>
                <w:sz w:val="7"/>
                <w:szCs w:val="7"/>
                <w:color w:val="auto"/>
              </w:rPr>
            </w:pPr>
          </w:p>
        </w:tc>
        <w:tc>
          <w:tcPr>
            <w:tcW w:w="1920" w:type="dxa"/>
            <w:vAlign w:val="bottom"/>
            <w:tcBorders>
              <w:bottom w:val="single" w:sz="8" w:color="00C08A"/>
            </w:tcBorders>
          </w:tcPr>
          <w:p>
            <w:pPr>
              <w:spacing w:after="0"/>
              <w:rPr>
                <w:sz w:val="7"/>
                <w:szCs w:val="7"/>
                <w:color w:val="auto"/>
              </w:rPr>
            </w:pPr>
          </w:p>
        </w:tc>
        <w:tc>
          <w:tcPr>
            <w:tcW w:w="60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20"/>
                <w:szCs w:val="20"/>
                <w:color w:val="auto"/>
              </w:rPr>
            </w:pPr>
            <w:r>
              <w:rPr>
                <w:rFonts w:ascii="Arial" w:cs="Arial" w:eastAsia="Arial" w:hAnsi="Arial"/>
                <w:sz w:val="18"/>
                <w:szCs w:val="18"/>
                <w:b w:val="1"/>
                <w:bCs w:val="1"/>
                <w:color w:val="auto"/>
              </w:rPr>
              <w:t>Sean P. Galvin</w:t>
            </w:r>
          </w:p>
        </w:tc>
        <w:tc>
          <w:tcPr>
            <w:tcW w:w="1920" w:type="dxa"/>
            <w:vAlign w:val="bottom"/>
          </w:tcPr>
          <w:p>
            <w:pPr>
              <w:spacing w:after="0"/>
              <w:rPr>
                <w:sz w:val="18"/>
                <w:szCs w:val="18"/>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500" w:type="dxa"/>
            <w:vAlign w:val="bottom"/>
          </w:tcPr>
          <w:p>
            <w:pPr>
              <w:ind w:left="40"/>
              <w:spacing w:after="0"/>
              <w:rPr>
                <w:sz w:val="20"/>
                <w:szCs w:val="20"/>
                <w:color w:val="auto"/>
              </w:rPr>
            </w:pPr>
            <w:r>
              <w:rPr>
                <w:rFonts w:ascii="Arial" w:cs="Arial" w:eastAsia="Arial" w:hAnsi="Arial"/>
                <w:sz w:val="18"/>
                <w:szCs w:val="18"/>
                <w:color w:val="auto"/>
              </w:rPr>
              <w:t>​ ​ 58</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Executive Vice President and</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260" w:type="dxa"/>
            <w:vAlign w:val="bottom"/>
            <w:tcBorders>
              <w:bottom w:val="single" w:sz="8" w:color="00C08A"/>
            </w:tcBorders>
            <w:gridSpan w:val="2"/>
          </w:tcPr>
          <w:p>
            <w:pPr>
              <w:spacing w:after="0"/>
              <w:rPr>
                <w:sz w:val="7"/>
                <w:szCs w:val="7"/>
                <w:color w:val="auto"/>
              </w:rPr>
            </w:pPr>
          </w:p>
        </w:tc>
        <w:tc>
          <w:tcPr>
            <w:tcW w:w="60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Joseph Molluso</w:t>
            </w:r>
          </w:p>
        </w:tc>
        <w:tc>
          <w:tcPr>
            <w:tcW w:w="60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500" w:type="dxa"/>
            <w:vAlign w:val="bottom"/>
          </w:tcPr>
          <w:p>
            <w:pPr>
              <w:ind w:left="40"/>
              <w:spacing w:after="0"/>
              <w:rPr>
                <w:sz w:val="20"/>
                <w:szCs w:val="20"/>
                <w:color w:val="auto"/>
              </w:rPr>
            </w:pPr>
            <w:r>
              <w:rPr>
                <w:rFonts w:ascii="Arial" w:cs="Arial" w:eastAsia="Arial" w:hAnsi="Arial"/>
                <w:sz w:val="18"/>
                <w:szCs w:val="18"/>
                <w:color w:val="auto"/>
              </w:rPr>
              <w:t>​ ​ 54</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gridSpan w:val="2"/>
          </w:tcPr>
          <w:p>
            <w:pPr>
              <w:spacing w:after="0"/>
              <w:rPr>
                <w:sz w:val="20"/>
                <w:szCs w:val="20"/>
                <w:color w:val="auto"/>
              </w:rPr>
            </w:pPr>
            <w:r>
              <w:rPr>
                <w:rFonts w:ascii="Arial" w:cs="Arial" w:eastAsia="Arial" w:hAnsi="Arial"/>
                <w:sz w:val="18"/>
                <w:szCs w:val="18"/>
                <w:color w:val="auto"/>
              </w:rPr>
              <w:t>Co-Chief Operating Officer</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340" w:type="dxa"/>
            <w:vAlign w:val="bottom"/>
            <w:tcBorders>
              <w:bottom w:val="single" w:sz="8" w:color="00C08A"/>
            </w:tcBorders>
          </w:tcPr>
          <w:p>
            <w:pPr>
              <w:spacing w:after="0"/>
              <w:rPr>
                <w:sz w:val="7"/>
                <w:szCs w:val="7"/>
                <w:color w:val="auto"/>
              </w:rPr>
            </w:pPr>
          </w:p>
        </w:tc>
        <w:tc>
          <w:tcPr>
            <w:tcW w:w="3300" w:type="dxa"/>
            <w:vAlign w:val="bottom"/>
            <w:tcBorders>
              <w:bottom w:val="single" w:sz="8" w:color="00C08A"/>
            </w:tcBorders>
            <w:gridSpan w:val="3"/>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40" w:type="dxa"/>
            <w:vAlign w:val="bottom"/>
          </w:tcPr>
          <w:p>
            <w:pPr>
              <w:ind w:left="240"/>
              <w:spacing w:after="0"/>
              <w:rPr>
                <w:sz w:val="20"/>
                <w:szCs w:val="20"/>
                <w:color w:val="auto"/>
              </w:rPr>
            </w:pPr>
            <w:r>
              <w:rPr>
                <w:rFonts w:ascii="Arial" w:cs="Arial" w:eastAsia="Arial" w:hAnsi="Arial"/>
                <w:sz w:val="18"/>
                <w:szCs w:val="18"/>
                <w:color w:val="auto"/>
              </w:rPr>
              <w:t>Member</w:t>
            </w:r>
          </w:p>
        </w:tc>
        <w:tc>
          <w:tcPr>
            <w:tcW w:w="3300" w:type="dxa"/>
            <w:vAlign w:val="bottom"/>
            <w:gridSpan w:val="3"/>
          </w:tcPr>
          <w:p>
            <w:pPr>
              <w:spacing w:after="0"/>
              <w:rPr>
                <w:sz w:val="20"/>
                <w:szCs w:val="20"/>
                <w:color w:val="auto"/>
              </w:rPr>
            </w:pPr>
            <w:r>
              <w:rPr>
                <w:rFonts w:ascii="Arial" w:cs="Arial" w:eastAsia="Arial" w:hAnsi="Arial"/>
                <w:sz w:val="18"/>
                <w:szCs w:val="18"/>
                <w:color w:val="auto"/>
              </w:rPr>
              <w:t>  Audit Committee Financial Expert</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-4611370</wp:posOffset>
            </wp:positionV>
            <wp:extent cx="16256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-4611370</wp:posOffset>
            </wp:positionV>
            <wp:extent cx="12001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-4243070</wp:posOffset>
            </wp:positionV>
            <wp:extent cx="16256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-3874135</wp:posOffset>
            </wp:positionV>
            <wp:extent cx="16256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-3496945</wp:posOffset>
            </wp:positionV>
            <wp:extent cx="16256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-3119755</wp:posOffset>
            </wp:positionV>
            <wp:extent cx="16256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-2742565</wp:posOffset>
            </wp:positionV>
            <wp:extent cx="16256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-2365375</wp:posOffset>
            </wp:positionV>
            <wp:extent cx="16256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-205105</wp:posOffset>
            </wp:positionV>
            <wp:extent cx="12001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PROXY STATEMENT SUMMARY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79375</wp:posOffset>
            </wp:positionV>
            <wp:extent cx="5829300" cy="1937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930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79375</wp:posOffset>
            </wp:positionV>
            <wp:extent cx="5829300" cy="4140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9300" cy="414020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5094605</wp:posOffset>
            </wp:positionV>
            <wp:extent cx="75438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PROXY STATEMENT SUMMARY</w:t>
      </w:r>
    </w:p>
    <w:p>
      <w:pPr>
        <w:spacing w:after="0" w:line="186" w:lineRule="exact"/>
        <w:rPr>
          <w:sz w:val="20"/>
          <w:szCs w:val="20"/>
          <w:color w:val="auto"/>
        </w:rPr>
      </w:pPr>
    </w:p>
    <w:p>
      <w:pPr>
        <w:jc w:val="right"/>
        <w:ind w:right="6100"/>
        <w:spacing w:after="0"/>
        <w:rPr>
          <w:sz w:val="20"/>
          <w:szCs w:val="20"/>
          <w:color w:val="auto"/>
        </w:rPr>
      </w:pPr>
      <w:r>
        <w:rPr>
          <w:rFonts w:ascii="Arial" w:cs="Arial" w:eastAsia="Arial" w:hAnsi="Arial"/>
          <w:sz w:val="29"/>
          <w:szCs w:val="29"/>
          <w:b w:val="1"/>
          <w:bCs w:val="1"/>
          <w:color w:val="002453"/>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370840</wp:posOffset>
            </wp:positionV>
            <wp:extent cx="284607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205740"/>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p>
      <w:pPr>
        <w:spacing w:after="0" w:line="200" w:lineRule="exact"/>
        <w:rPr>
          <w:sz w:val="20"/>
          <w:szCs w:val="20"/>
          <w:color w:val="auto"/>
        </w:rPr>
      </w:pPr>
    </w:p>
    <w:p>
      <w:pPr>
        <w:spacing w:after="0" w:line="384"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240" w:type="dxa"/>
            <w:vAlign w:val="bottom"/>
            <w:vMerge w:val="restart"/>
            <w:shd w:val="clear" w:color="auto" w:fill="00C08A"/>
          </w:tcPr>
          <w:p>
            <w:pPr>
              <w:spacing w:after="0"/>
              <w:rPr>
                <w:sz w:val="20"/>
                <w:szCs w:val="20"/>
                <w:color w:val="auto"/>
              </w:rPr>
            </w:pPr>
            <w:r>
              <w:rPr>
                <w:rFonts w:ascii="Arial" w:cs="Arial" w:eastAsia="Arial" w:hAnsi="Arial"/>
                <w:sz w:val="14"/>
                <w:szCs w:val="14"/>
                <w:b w:val="1"/>
                <w:bCs w:val="1"/>
                <w:color w:val="FEFEFE"/>
              </w:rPr>
              <w:t>​</w:t>
            </w:r>
          </w:p>
        </w:tc>
        <w:tc>
          <w:tcPr>
            <w:tcW w:w="4240" w:type="dxa"/>
            <w:vAlign w:val="bottom"/>
            <w:shd w:val="clear" w:color="auto" w:fill="00C08A"/>
          </w:tcPr>
          <w:p>
            <w:pPr>
              <w:ind w:left="1540"/>
              <w:spacing w:after="0"/>
              <w:rPr>
                <w:sz w:val="20"/>
                <w:szCs w:val="20"/>
                <w:color w:val="auto"/>
              </w:rPr>
            </w:pPr>
            <w:r>
              <w:rPr>
                <w:rFonts w:ascii="Arial" w:cs="Arial" w:eastAsia="Arial" w:hAnsi="Arial"/>
                <w:sz w:val="14"/>
                <w:szCs w:val="14"/>
                <w:b w:val="1"/>
                <w:bCs w:val="1"/>
                <w:color w:val="FEFEFE"/>
              </w:rPr>
              <w:t>WHAT WE DO</w:t>
            </w:r>
          </w:p>
        </w:tc>
        <w:tc>
          <w:tcPr>
            <w:tcW w:w="160" w:type="dxa"/>
            <w:vAlign w:val="bottom"/>
            <w:vMerge w:val="restart"/>
          </w:tcPr>
          <w:p>
            <w:pPr>
              <w:jc w:val="center"/>
              <w:spacing w:after="0"/>
              <w:rPr>
                <w:sz w:val="20"/>
                <w:szCs w:val="20"/>
                <w:color w:val="auto"/>
              </w:rPr>
            </w:pPr>
            <w:r>
              <w:rPr>
                <w:rFonts w:ascii="Arial" w:cs="Arial" w:eastAsia="Arial" w:hAnsi="Arial"/>
                <w:sz w:val="14"/>
                <w:szCs w:val="14"/>
                <w:b w:val="1"/>
                <w:bCs w:val="1"/>
                <w:color w:val="FEFEFE"/>
              </w:rPr>
              <w:t>​</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66"/>
        </w:trPr>
        <w:tc>
          <w:tcPr>
            <w:tcW w:w="240" w:type="dxa"/>
            <w:vAlign w:val="bottom"/>
            <w:vMerge w:val="continue"/>
            <w:shd w:val="clear" w:color="auto" w:fill="00C08A"/>
          </w:tcPr>
          <w:p>
            <w:pPr>
              <w:spacing w:after="0"/>
              <w:rPr>
                <w:sz w:val="5"/>
                <w:szCs w:val="5"/>
                <w:color w:val="auto"/>
              </w:rPr>
            </w:pPr>
          </w:p>
        </w:tc>
        <w:tc>
          <w:tcPr>
            <w:tcW w:w="4240" w:type="dxa"/>
            <w:vAlign w:val="bottom"/>
            <w:shd w:val="clear" w:color="auto" w:fill="00C08A"/>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4240" w:type="dxa"/>
            <w:vAlign w:val="bottom"/>
          </w:tcPr>
          <w:p>
            <w:pPr>
              <w:ind w:left="200"/>
              <w:spacing w:after="0" w:line="148" w:lineRule="exact"/>
              <w:rPr>
                <w:sz w:val="20"/>
                <w:szCs w:val="20"/>
                <w:color w:val="auto"/>
              </w:rPr>
            </w:pPr>
            <w:r>
              <w:rPr>
                <w:rFonts w:ascii="Arial" w:cs="Arial" w:eastAsia="Arial" w:hAnsi="Arial"/>
                <w:sz w:val="17"/>
                <w:szCs w:val="17"/>
                <w:i w:val="1"/>
                <w:iCs w:val="1"/>
                <w:color w:val="auto"/>
              </w:rPr>
              <w:t xml:space="preserve">Pay for performance: </w:t>
            </w:r>
            <w:r>
              <w:rPr>
                <w:rFonts w:ascii="Arial" w:cs="Arial" w:eastAsia="Arial" w:hAnsi="Arial"/>
                <w:sz w:val="17"/>
                <w:szCs w:val="17"/>
                <w:color w:val="auto"/>
              </w:rPr>
              <w:t>A portion of the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for named executive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9"/>
              </w:rPr>
              <w:t>officers is designed to encourage the executives to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remain focused on both our short-term and long-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term operational success and to reward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Borders>
              <w:bottom w:val="single" w:sz="8" w:color="00C08A"/>
            </w:tcBorders>
          </w:tcPr>
          <w:p>
            <w:pPr>
              <w:spacing w:after="0"/>
              <w:rPr>
                <w:sz w:val="19"/>
                <w:szCs w:val="19"/>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outstanding individual performance.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4240" w:type="dxa"/>
            <w:vAlign w:val="bottom"/>
          </w:tcPr>
          <w:p>
            <w:pPr>
              <w:ind w:left="200"/>
              <w:spacing w:after="0" w:line="107" w:lineRule="exact"/>
              <w:rPr>
                <w:sz w:val="20"/>
                <w:szCs w:val="20"/>
                <w:color w:val="auto"/>
              </w:rPr>
            </w:pPr>
            <w:r>
              <w:rPr>
                <w:rFonts w:ascii="Arial" w:cs="Arial" w:eastAsia="Arial" w:hAnsi="Arial"/>
                <w:sz w:val="12"/>
                <w:szCs w:val="12"/>
                <w:i w:val="1"/>
                <w:iCs w:val="1"/>
                <w:color w:val="auto"/>
              </w:rPr>
              <w:t xml:space="preserve">Align Incentives with Stockholders: </w:t>
            </w:r>
            <w:r>
              <w:rPr>
                <w:rFonts w:ascii="Arial" w:cs="Arial" w:eastAsia="Arial" w:hAnsi="Arial"/>
                <w:sz w:val="12"/>
                <w:szCs w:val="12"/>
                <w:color w:val="auto"/>
              </w:rPr>
              <w:t>Our executive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is designed to focus our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named executive officers on our key strategic,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financial and operational goals that will translate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Borders>
              <w:bottom w:val="single" w:sz="8" w:color="00C08A"/>
            </w:tcBorders>
          </w:tcPr>
          <w:p>
            <w:pPr>
              <w:spacing w:after="0"/>
              <w:rPr>
                <w:sz w:val="19"/>
                <w:szCs w:val="19"/>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into long-term value creation for our stockholders.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4240" w:type="dxa"/>
            <w:vAlign w:val="bottom"/>
          </w:tcPr>
          <w:p>
            <w:pPr>
              <w:ind w:left="200"/>
              <w:spacing w:after="0" w:line="107" w:lineRule="exact"/>
              <w:rPr>
                <w:sz w:val="20"/>
                <w:szCs w:val="20"/>
                <w:color w:val="auto"/>
              </w:rPr>
            </w:pPr>
            <w:r>
              <w:rPr>
                <w:rFonts w:ascii="Arial" w:cs="Arial" w:eastAsia="Arial" w:hAnsi="Arial"/>
                <w:sz w:val="12"/>
                <w:szCs w:val="12"/>
                <w:i w:val="1"/>
                <w:iCs w:val="1"/>
                <w:color w:val="auto"/>
              </w:rPr>
              <w:t xml:space="preserve">Limited perquisites: </w:t>
            </w:r>
            <w:r>
              <w:rPr>
                <w:rFonts w:ascii="Arial" w:cs="Arial" w:eastAsia="Arial" w:hAnsi="Arial"/>
                <w:sz w:val="12"/>
                <w:szCs w:val="12"/>
                <w:color w:val="auto"/>
              </w:rPr>
              <w:t>We provide limited,</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reasonable perquisites that we believe 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consistent with our overall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Borders>
              <w:bottom w:val="single" w:sz="8" w:color="00C08A"/>
            </w:tcBorders>
          </w:tcPr>
          <w:p>
            <w:pPr>
              <w:spacing w:after="0"/>
              <w:rPr>
                <w:sz w:val="19"/>
                <w:szCs w:val="19"/>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philosophy.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4240" w:type="dxa"/>
            <w:vAlign w:val="bottom"/>
          </w:tcPr>
          <w:p>
            <w:pPr>
              <w:ind w:left="200"/>
              <w:spacing w:after="0" w:line="107" w:lineRule="exact"/>
              <w:rPr>
                <w:sz w:val="20"/>
                <w:szCs w:val="20"/>
                <w:color w:val="auto"/>
              </w:rPr>
            </w:pPr>
            <w:r>
              <w:rPr>
                <w:rFonts w:ascii="Arial" w:cs="Arial" w:eastAsia="Arial" w:hAnsi="Arial"/>
                <w:sz w:val="12"/>
                <w:szCs w:val="12"/>
                <w:i w:val="1"/>
                <w:iCs w:val="1"/>
                <w:color w:val="auto"/>
              </w:rPr>
              <w:t xml:space="preserve">Independent Governance: </w:t>
            </w:r>
            <w:r>
              <w:rPr>
                <w:rFonts w:ascii="Arial" w:cs="Arial" w:eastAsia="Arial" w:hAnsi="Arial"/>
                <w:sz w:val="12"/>
                <w:szCs w:val="12"/>
                <w:color w:val="auto"/>
              </w:rPr>
              <w:t>Our board of directors is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currently majority independent and although we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are not required to have fully independent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and Nominating and Corporate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Governance Committees, our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Borders>
              <w:bottom w:val="single" w:sz="8" w:color="00C08A"/>
            </w:tcBorders>
          </w:tcPr>
          <w:p>
            <w:pPr>
              <w:spacing w:after="0"/>
              <w:rPr>
                <w:sz w:val="19"/>
                <w:szCs w:val="19"/>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Committee is fully independent.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-3042920</wp:posOffset>
            </wp:positionV>
            <wp:extent cx="16256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-3051175</wp:posOffset>
            </wp:positionV>
            <wp:extent cx="16319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-2176780</wp:posOffset>
            </wp:positionV>
            <wp:extent cx="16256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-1439545</wp:posOffset>
            </wp:positionV>
            <wp:extent cx="16256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-839470</wp:posOffset>
            </wp:positionV>
            <wp:extent cx="16256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FEFEFE"/>
        </w:rPr>
        <w:t>WHAT WE DON’T DO</w:t>
      </w:r>
    </w:p>
    <w:p>
      <w:pPr>
        <w:spacing w:after="0" w:line="219" w:lineRule="auto"/>
        <w:rPr>
          <w:sz w:val="20"/>
          <w:szCs w:val="20"/>
          <w:color w:val="auto"/>
        </w:rPr>
      </w:pPr>
      <w:r>
        <w:rPr>
          <w:rFonts w:ascii="Arial" w:cs="Arial" w:eastAsia="Arial" w:hAnsi="Arial"/>
          <w:sz w:val="18"/>
          <w:szCs w:val="18"/>
          <w:color w:val="auto"/>
        </w:rPr>
        <w:t>​</w:t>
      </w:r>
    </w:p>
    <w:p>
      <w:pPr>
        <w:spacing w:after="0" w:line="254" w:lineRule="auto"/>
        <w:rPr>
          <w:sz w:val="20"/>
          <w:szCs w:val="20"/>
          <w:color w:val="auto"/>
        </w:rPr>
      </w:pPr>
      <w:r>
        <w:rPr>
          <w:rFonts w:ascii="Arial" w:cs="Arial" w:eastAsia="Arial" w:hAnsi="Arial"/>
          <w:sz w:val="18"/>
          <w:szCs w:val="18"/>
          <w:i w:val="1"/>
          <w:iCs w:val="1"/>
          <w:color w:val="auto"/>
        </w:rPr>
        <w:t xml:space="preserve">No IRC Section 280G or 409A tax gross-ups: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provide tax gross-ups under our change in control provisions or deferred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275590</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FEFEFE"/>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70" w:lineRule="exact"/>
        <w:rPr>
          <w:sz w:val="20"/>
          <w:szCs w:val="20"/>
          <w:color w:val="auto"/>
        </w:rPr>
      </w:pPr>
    </w:p>
    <w:p>
      <w:pPr>
        <w:sectPr>
          <w:pgSz w:w="11900" w:h="16838" w:orient="portrait"/>
          <w:cols w:equalWidth="0" w:num="3">
            <w:col w:w="5520" w:space="380"/>
            <w:col w:w="3900" w:space="140"/>
            <w:col w:w="60"/>
          </w:cols>
          <w:pgMar w:left="580" w:top="131"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Board Diversity</w:t>
      </w:r>
    </w:p>
    <w:p>
      <w:pPr>
        <w:spacing w:after="0" w:line="127"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452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Board Diversity Matrix (as of April 14, 2023)</w:t>
            </w:r>
          </w:p>
        </w:tc>
        <w:tc>
          <w:tcPr>
            <w:tcW w:w="1240" w:type="dxa"/>
            <w:vAlign w:val="bottom"/>
            <w:tcBorders>
              <w:bottom w:val="single" w:sz="8" w:color="00C08A"/>
            </w:tcBorders>
          </w:tcPr>
          <w:p>
            <w:pPr>
              <w:spacing w:after="0"/>
              <w:rPr>
                <w:sz w:val="17"/>
                <w:szCs w:val="17"/>
                <w:color w:val="auto"/>
              </w:rPr>
            </w:pPr>
          </w:p>
        </w:tc>
        <w:tc>
          <w:tcPr>
            <w:tcW w:w="160" w:type="dxa"/>
            <w:vAlign w:val="bottom"/>
            <w:tcBorders>
              <w:bottom w:val="single" w:sz="8" w:color="00C08A"/>
            </w:tcBorders>
          </w:tcPr>
          <w:p>
            <w:pPr>
              <w:spacing w:after="0"/>
              <w:rPr>
                <w:sz w:val="17"/>
                <w:szCs w:val="17"/>
                <w:color w:val="auto"/>
              </w:rPr>
            </w:pPr>
          </w:p>
        </w:tc>
        <w:tc>
          <w:tcPr>
            <w:tcW w:w="340" w:type="dxa"/>
            <w:vAlign w:val="bottom"/>
            <w:tcBorders>
              <w:bottom w:val="single" w:sz="8" w:color="00C08A"/>
            </w:tcBorders>
          </w:tcPr>
          <w:p>
            <w:pPr>
              <w:spacing w:after="0"/>
              <w:rPr>
                <w:sz w:val="17"/>
                <w:szCs w:val="17"/>
                <w:color w:val="auto"/>
              </w:rPr>
            </w:pPr>
          </w:p>
        </w:tc>
        <w:tc>
          <w:tcPr>
            <w:tcW w:w="340" w:type="dxa"/>
            <w:vAlign w:val="bottom"/>
            <w:tcBorders>
              <w:bottom w:val="single" w:sz="8" w:color="00C08A"/>
            </w:tcBorders>
          </w:tcPr>
          <w:p>
            <w:pPr>
              <w:spacing w:after="0"/>
              <w:rPr>
                <w:sz w:val="17"/>
                <w:szCs w:val="17"/>
                <w:color w:val="auto"/>
              </w:rPr>
            </w:pPr>
          </w:p>
        </w:tc>
        <w:tc>
          <w:tcPr>
            <w:tcW w:w="260" w:type="dxa"/>
            <w:vAlign w:val="bottom"/>
            <w:tcBorders>
              <w:bottom w:val="single" w:sz="8" w:color="00C08A"/>
            </w:tcBorders>
          </w:tcPr>
          <w:p>
            <w:pPr>
              <w:spacing w:after="0"/>
              <w:rPr>
                <w:sz w:val="17"/>
                <w:szCs w:val="17"/>
                <w:color w:val="auto"/>
              </w:rPr>
            </w:pPr>
          </w:p>
        </w:tc>
        <w:tc>
          <w:tcPr>
            <w:tcW w:w="420" w:type="dxa"/>
            <w:vAlign w:val="bottom"/>
            <w:tcBorders>
              <w:bottom w:val="single" w:sz="8" w:color="00C08A"/>
            </w:tcBorders>
          </w:tcPr>
          <w:p>
            <w:pPr>
              <w:spacing w:after="0"/>
              <w:rPr>
                <w:sz w:val="17"/>
                <w:szCs w:val="17"/>
                <w:color w:val="auto"/>
              </w:rPr>
            </w:pPr>
          </w:p>
        </w:tc>
        <w:tc>
          <w:tcPr>
            <w:tcW w:w="440" w:type="dxa"/>
            <w:vAlign w:val="bottom"/>
            <w:tcBorders>
              <w:bottom w:val="single" w:sz="8" w:color="00C08A"/>
            </w:tcBorders>
          </w:tcPr>
          <w:p>
            <w:pPr>
              <w:spacing w:after="0"/>
              <w:rPr>
                <w:sz w:val="17"/>
                <w:szCs w:val="17"/>
                <w:color w:val="auto"/>
              </w:rPr>
            </w:pPr>
          </w:p>
        </w:tc>
        <w:tc>
          <w:tcPr>
            <w:tcW w:w="460" w:type="dxa"/>
            <w:vAlign w:val="bottom"/>
            <w:tcBorders>
              <w:bottom w:val="single" w:sz="8" w:color="00C08A"/>
            </w:tcBorders>
          </w:tcPr>
          <w:p>
            <w:pPr>
              <w:spacing w:after="0"/>
              <w:rPr>
                <w:sz w:val="17"/>
                <w:szCs w:val="17"/>
                <w:color w:val="auto"/>
              </w:rPr>
            </w:pPr>
          </w:p>
        </w:tc>
        <w:tc>
          <w:tcPr>
            <w:tcW w:w="360" w:type="dxa"/>
            <w:vAlign w:val="bottom"/>
            <w:tcBorders>
              <w:bottom w:val="single" w:sz="8" w:color="00C08A"/>
            </w:tcBorders>
          </w:tcPr>
          <w:p>
            <w:pPr>
              <w:spacing w:after="0"/>
              <w:rPr>
                <w:sz w:val="17"/>
                <w:szCs w:val="17"/>
                <w:color w:val="auto"/>
              </w:rPr>
            </w:pPr>
          </w:p>
        </w:tc>
        <w:tc>
          <w:tcPr>
            <w:tcW w:w="640" w:type="dxa"/>
            <w:vAlign w:val="bottom"/>
            <w:tcBorders>
              <w:bottom w:val="single" w:sz="8" w:color="00C08A"/>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Total Number of Directors</w:t>
            </w:r>
          </w:p>
        </w:tc>
        <w:tc>
          <w:tcPr>
            <w:tcW w:w="1240" w:type="dxa"/>
            <w:vAlign w:val="bottom"/>
            <w:tcBorders>
              <w:bottom w:val="single" w:sz="8" w:color="00C08A"/>
            </w:tcBorders>
          </w:tcPr>
          <w:p>
            <w:pPr>
              <w:ind w:left="1080"/>
              <w:spacing w:after="0"/>
              <w:rPr>
                <w:sz w:val="20"/>
                <w:szCs w:val="20"/>
                <w:color w:val="auto"/>
              </w:rPr>
            </w:pPr>
            <w:r>
              <w:rPr>
                <w:rFonts w:ascii="Arial" w:cs="Arial" w:eastAsia="Arial" w:hAnsi="Arial"/>
                <w:sz w:val="14"/>
                <w:szCs w:val="14"/>
                <w:b w:val="1"/>
                <w:bCs w:val="1"/>
                <w:color w:val="002453"/>
              </w:rPr>
              <w:t>​ ​</w:t>
            </w:r>
          </w:p>
        </w:tc>
        <w:tc>
          <w:tcPr>
            <w:tcW w:w="160" w:type="dxa"/>
            <w:vAlign w:val="bottom"/>
            <w:tcBorders>
              <w:bottom w:val="single" w:sz="8" w:color="00C08A"/>
            </w:tcBorders>
          </w:tcPr>
          <w:p>
            <w:pPr>
              <w:spacing w:after="0"/>
              <w:rPr>
                <w:sz w:val="18"/>
                <w:szCs w:val="18"/>
                <w:color w:val="auto"/>
              </w:rPr>
            </w:pPr>
          </w:p>
        </w:tc>
        <w:tc>
          <w:tcPr>
            <w:tcW w:w="340" w:type="dxa"/>
            <w:vAlign w:val="bottom"/>
            <w:tcBorders>
              <w:bottom w:val="single" w:sz="8" w:color="00C08A"/>
            </w:tcBorders>
          </w:tcPr>
          <w:p>
            <w:pPr>
              <w:spacing w:after="0"/>
              <w:rPr>
                <w:sz w:val="18"/>
                <w:szCs w:val="18"/>
                <w:color w:val="auto"/>
              </w:rPr>
            </w:pPr>
          </w:p>
        </w:tc>
        <w:tc>
          <w:tcPr>
            <w:tcW w:w="340" w:type="dxa"/>
            <w:vAlign w:val="bottom"/>
            <w:tcBorders>
              <w:bottom w:val="single" w:sz="8" w:color="00C08A"/>
            </w:tcBorders>
          </w:tcPr>
          <w:p>
            <w:pPr>
              <w:spacing w:after="0"/>
              <w:rPr>
                <w:sz w:val="18"/>
                <w:szCs w:val="18"/>
                <w:color w:val="auto"/>
              </w:rPr>
            </w:pPr>
          </w:p>
        </w:tc>
        <w:tc>
          <w:tcPr>
            <w:tcW w:w="260" w:type="dxa"/>
            <w:vAlign w:val="bottom"/>
            <w:tcBorders>
              <w:bottom w:val="single" w:sz="8" w:color="00C08A"/>
            </w:tcBorders>
          </w:tcPr>
          <w:p>
            <w:pPr>
              <w:spacing w:after="0"/>
              <w:rPr>
                <w:sz w:val="18"/>
                <w:szCs w:val="18"/>
                <w:color w:val="auto"/>
              </w:rPr>
            </w:pPr>
          </w:p>
        </w:tc>
        <w:tc>
          <w:tcPr>
            <w:tcW w:w="420" w:type="dxa"/>
            <w:vAlign w:val="bottom"/>
            <w:tcBorders>
              <w:bottom w:val="single" w:sz="8" w:color="00C08A"/>
            </w:tcBorders>
          </w:tcPr>
          <w:p>
            <w:pPr>
              <w:spacing w:after="0"/>
              <w:rPr>
                <w:sz w:val="18"/>
                <w:szCs w:val="18"/>
                <w:color w:val="auto"/>
              </w:rPr>
            </w:pPr>
          </w:p>
        </w:tc>
        <w:tc>
          <w:tcPr>
            <w:tcW w:w="440" w:type="dxa"/>
            <w:vAlign w:val="bottom"/>
            <w:tcBorders>
              <w:bottom w:val="single" w:sz="8" w:color="00C08A"/>
            </w:tcBorders>
          </w:tcPr>
          <w:p>
            <w:pPr>
              <w:jc w:val="right"/>
              <w:ind w:right="53"/>
              <w:spacing w:after="0"/>
              <w:rPr>
                <w:sz w:val="20"/>
                <w:szCs w:val="20"/>
                <w:color w:val="auto"/>
              </w:rPr>
            </w:pPr>
            <w:r>
              <w:rPr>
                <w:rFonts w:ascii="Arial" w:cs="Arial" w:eastAsia="Arial" w:hAnsi="Arial"/>
                <w:sz w:val="14"/>
                <w:szCs w:val="14"/>
                <w:b w:val="1"/>
                <w:bCs w:val="1"/>
                <w:color w:val="002453"/>
              </w:rPr>
              <w:t>11</w:t>
            </w:r>
          </w:p>
        </w:tc>
        <w:tc>
          <w:tcPr>
            <w:tcW w:w="460" w:type="dxa"/>
            <w:vAlign w:val="bottom"/>
            <w:tcBorders>
              <w:bottom w:val="single" w:sz="8" w:color="00C08A"/>
            </w:tcBorders>
          </w:tcPr>
          <w:p>
            <w:pPr>
              <w:spacing w:after="0"/>
              <w:rPr>
                <w:sz w:val="18"/>
                <w:szCs w:val="18"/>
                <w:color w:val="auto"/>
              </w:rPr>
            </w:pPr>
          </w:p>
        </w:tc>
        <w:tc>
          <w:tcPr>
            <w:tcW w:w="360" w:type="dxa"/>
            <w:vAlign w:val="bottom"/>
            <w:tcBorders>
              <w:bottom w:val="single" w:sz="8" w:color="00C08A"/>
            </w:tcBorders>
          </w:tcPr>
          <w:p>
            <w:pPr>
              <w:spacing w:after="0"/>
              <w:rPr>
                <w:sz w:val="18"/>
                <w:szCs w:val="18"/>
                <w:color w:val="auto"/>
              </w:rPr>
            </w:pPr>
          </w:p>
        </w:tc>
        <w:tc>
          <w:tcPr>
            <w:tcW w:w="640" w:type="dxa"/>
            <w:vAlign w:val="bottom"/>
            <w:tcBorders>
              <w:bottom w:val="single" w:sz="8" w:color="00C08A"/>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ind w:left="60"/>
              <w:spacing w:after="0" w:line="156" w:lineRule="exact"/>
              <w:rPr>
                <w:sz w:val="20"/>
                <w:szCs w:val="20"/>
                <w:color w:val="auto"/>
              </w:rPr>
            </w:pPr>
            <w:r>
              <w:rPr>
                <w:rFonts w:ascii="Arial" w:cs="Arial" w:eastAsia="Arial" w:hAnsi="Arial"/>
                <w:sz w:val="14"/>
                <w:szCs w:val="14"/>
                <w:b w:val="1"/>
                <w:bCs w:val="1"/>
                <w:color w:val="002453"/>
              </w:rPr>
              <w:t>Did Not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gridSpan w:val="5"/>
            <w:vMerge w:val="restart"/>
          </w:tcPr>
          <w:p>
            <w:pPr>
              <w:spacing w:after="0"/>
              <w:rPr>
                <w:sz w:val="20"/>
                <w:szCs w:val="20"/>
                <w:color w:val="auto"/>
              </w:rPr>
            </w:pPr>
            <w:r>
              <w:rPr>
                <w:rFonts w:ascii="Arial" w:cs="Arial" w:eastAsia="Arial" w:hAnsi="Arial"/>
                <w:sz w:val="28"/>
                <w:szCs w:val="28"/>
                <w:b w:val="1"/>
                <w:bCs w:val="1"/>
                <w:color w:val="002453"/>
                <w:vertAlign w:val="subscript"/>
              </w:rPr>
              <w:t>​</w:t>
            </w:r>
            <w:r>
              <w:rPr>
                <w:rFonts w:ascii="Arial" w:cs="Arial" w:eastAsia="Arial" w:hAnsi="Arial"/>
                <w:sz w:val="14"/>
                <w:szCs w:val="14"/>
                <w:b w:val="1"/>
                <w:bCs w:val="1"/>
                <w:color w:val="002453"/>
              </w:rPr>
              <w:t xml:space="preserve"> Female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Male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w:t>
            </w: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2453"/>
              </w:rPr>
              <w:t>​</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Non-Binary </w:t>
            </w:r>
            <w:r>
              <w:rPr>
                <w:rFonts w:ascii="Arial" w:cs="Arial" w:eastAsia="Arial" w:hAnsi="Arial"/>
                <w:sz w:val="28"/>
                <w:szCs w:val="28"/>
                <w:b w:val="1"/>
                <w:bCs w:val="1"/>
                <w:color w:val="002453"/>
                <w:vertAlign w:val="subscript"/>
              </w:rPr>
              <w:t>​ ​</w:t>
            </w:r>
          </w:p>
        </w:tc>
        <w:tc>
          <w:tcPr>
            <w:tcW w:w="640" w:type="dxa"/>
            <w:vAlign w:val="bottom"/>
          </w:tcPr>
          <w:p>
            <w:pPr>
              <w:ind w:left="20"/>
              <w:spacing w:after="0" w:line="148" w:lineRule="exact"/>
              <w:rPr>
                <w:sz w:val="20"/>
                <w:szCs w:val="20"/>
                <w:color w:val="auto"/>
              </w:rPr>
            </w:pPr>
            <w:r>
              <w:rPr>
                <w:rFonts w:ascii="Arial" w:cs="Arial" w:eastAsia="Arial" w:hAnsi="Arial"/>
                <w:sz w:val="14"/>
                <w:szCs w:val="14"/>
                <w:b w:val="1"/>
                <w:bCs w:val="1"/>
                <w:color w:val="002453"/>
              </w:rPr>
              <w:t>Disclose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20"/>
                <w:szCs w:val="20"/>
                <w:color w:val="auto"/>
              </w:rPr>
            </w:pPr>
            <w:r>
              <w:rPr>
                <w:rFonts w:ascii="Arial" w:cs="Arial" w:eastAsia="Arial" w:hAnsi="Arial"/>
                <w:sz w:val="14"/>
                <w:szCs w:val="14"/>
                <w:b w:val="1"/>
                <w:bCs w:val="1"/>
                <w:color w:val="002453"/>
              </w:rPr>
              <w:t>​</w:t>
            </w:r>
          </w:p>
        </w:tc>
        <w:tc>
          <w:tcPr>
            <w:tcW w:w="1240" w:type="dxa"/>
            <w:vAlign w:val="bottom"/>
          </w:tcPr>
          <w:p>
            <w:pPr>
              <w:ind w:left="1140"/>
              <w:spacing w:after="0"/>
              <w:rPr>
                <w:sz w:val="20"/>
                <w:szCs w:val="20"/>
                <w:color w:val="auto"/>
              </w:rPr>
            </w:pPr>
            <w:r>
              <w:rPr>
                <w:rFonts w:ascii="Arial" w:cs="Arial" w:eastAsia="Arial" w:hAnsi="Arial"/>
                <w:sz w:val="14"/>
                <w:szCs w:val="14"/>
                <w:b w:val="1"/>
                <w:bCs w:val="1"/>
                <w:color w:val="002453"/>
              </w:rPr>
              <w:t>​</w:t>
            </w:r>
          </w:p>
        </w:tc>
        <w:tc>
          <w:tcPr>
            <w:tcW w:w="1520" w:type="dxa"/>
            <w:vAlign w:val="bottom"/>
            <w:gridSpan w:val="5"/>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2"/>
                <w:szCs w:val="12"/>
                <w:b w:val="1"/>
                <w:bCs w:val="1"/>
                <w:color w:val="002453"/>
              </w:rPr>
              <w:t xml:space="preserve">Gender </w:t>
            </w:r>
            <w:r>
              <w:rPr>
                <w:rFonts w:ascii="Arial" w:cs="Arial" w:eastAsia="Arial" w:hAnsi="Arial"/>
                <w:sz w:val="21"/>
                <w:szCs w:val="21"/>
                <w:b w:val="1"/>
                <w:bCs w:val="1"/>
                <w:color w:val="002453"/>
                <w:vertAlign w:val="subscript"/>
              </w:rPr>
              <w:t>​</w:t>
            </w:r>
          </w:p>
        </w:tc>
        <w:tc>
          <w:tcPr>
            <w:tcW w:w="0" w:type="dxa"/>
            <w:vAlign w:val="bottom"/>
          </w:tcPr>
          <w:p>
            <w:pPr>
              <w:spacing w:after="0"/>
              <w:rPr>
                <w:sz w:val="1"/>
                <w:szCs w:val="1"/>
                <w:color w:val="auto"/>
              </w:rPr>
            </w:pPr>
          </w:p>
        </w:tc>
      </w:tr>
      <w:tr>
        <w:trPr>
          <w:trHeight w:val="237"/>
        </w:trPr>
        <w:tc>
          <w:tcPr>
            <w:tcW w:w="45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Part I: Gender Identity</w:t>
            </w:r>
          </w:p>
        </w:tc>
        <w:tc>
          <w:tcPr>
            <w:tcW w:w="1240" w:type="dxa"/>
            <w:vAlign w:val="bottom"/>
            <w:tcBorders>
              <w:top w:val="single" w:sz="8" w:color="00C08A"/>
              <w:bottom w:val="single" w:sz="8" w:color="00C08A"/>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 ​</w:t>
            </w:r>
          </w:p>
        </w:tc>
        <w:tc>
          <w:tcPr>
            <w:tcW w:w="34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2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440" w:type="dxa"/>
            <w:vAlign w:val="bottom"/>
            <w:tcBorders>
              <w:top w:val="single" w:sz="8" w:color="00C08A"/>
              <w:bottom w:val="single" w:sz="8" w:color="00C08A"/>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 ​</w:t>
            </w:r>
          </w:p>
        </w:tc>
        <w:tc>
          <w:tcPr>
            <w:tcW w:w="460" w:type="dxa"/>
            <w:vAlign w:val="bottom"/>
            <w:tcBorders>
              <w:top w:val="single" w:sz="8" w:color="00C08A"/>
              <w:bottom w:val="single" w:sz="8" w:color="00C08A"/>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 ​</w:t>
            </w:r>
          </w:p>
        </w:tc>
        <w:tc>
          <w:tcPr>
            <w:tcW w:w="3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640" w:type="dxa"/>
            <w:vAlign w:val="bottom"/>
            <w:tcBorders>
              <w:top w:val="single" w:sz="8" w:color="00C08A"/>
              <w:bottom w:val="single" w:sz="8" w:color="00C08A"/>
              <w:right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 ​</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Directors</w:t>
            </w:r>
          </w:p>
        </w:tc>
        <w:tc>
          <w:tcPr>
            <w:tcW w:w="1240" w:type="dxa"/>
            <w:vAlign w:val="bottom"/>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ind w:left="60"/>
              <w:spacing w:after="0"/>
              <w:rPr>
                <w:sz w:val="20"/>
                <w:szCs w:val="20"/>
                <w:color w:val="auto"/>
              </w:rPr>
            </w:pPr>
            <w:r>
              <w:rPr>
                <w:rFonts w:ascii="Arial" w:cs="Arial" w:eastAsia="Arial" w:hAnsi="Arial"/>
                <w:sz w:val="18"/>
                <w:szCs w:val="18"/>
                <w:color w:val="auto"/>
              </w:rPr>
              <w:t>​ 8</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jc w:val="right"/>
              <w:ind w:right="113"/>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Part II: Demographic Background</w:t>
            </w:r>
          </w:p>
        </w:tc>
        <w:tc>
          <w:tcPr>
            <w:tcW w:w="1240" w:type="dxa"/>
            <w:vAlign w:val="bottom"/>
            <w:tcBorders>
              <w:top w:val="single" w:sz="8" w:color="00C08A"/>
              <w:bottom w:val="single" w:sz="8" w:color="00C08A"/>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 ​</w:t>
            </w:r>
          </w:p>
        </w:tc>
        <w:tc>
          <w:tcPr>
            <w:tcW w:w="34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2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440" w:type="dxa"/>
            <w:vAlign w:val="bottom"/>
            <w:tcBorders>
              <w:top w:val="single" w:sz="8" w:color="00C08A"/>
              <w:bottom w:val="single" w:sz="8" w:color="00C08A"/>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 ​</w:t>
            </w:r>
          </w:p>
        </w:tc>
        <w:tc>
          <w:tcPr>
            <w:tcW w:w="460" w:type="dxa"/>
            <w:vAlign w:val="bottom"/>
            <w:tcBorders>
              <w:top w:val="single" w:sz="8" w:color="00C08A"/>
              <w:bottom w:val="single" w:sz="8" w:color="00C08A"/>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 ​</w:t>
            </w:r>
          </w:p>
        </w:tc>
        <w:tc>
          <w:tcPr>
            <w:tcW w:w="3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640" w:type="dxa"/>
            <w:vAlign w:val="bottom"/>
            <w:tcBorders>
              <w:top w:val="single" w:sz="8" w:color="00C08A"/>
              <w:bottom w:val="single" w:sz="8" w:color="00C08A"/>
              <w:right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 ​</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r>
              <w:rPr>
                <w:rFonts w:ascii="Arial" w:cs="Arial" w:eastAsia="Arial" w:hAnsi="Arial"/>
                <w:sz w:val="18"/>
                <w:szCs w:val="18"/>
                <w:color w:val="auto"/>
              </w:rPr>
              <w:t>African American or Black</w:t>
            </w:r>
          </w:p>
        </w:tc>
        <w:tc>
          <w:tcPr>
            <w:tcW w:w="1240" w:type="dxa"/>
            <w:vAlign w:val="bottom"/>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ind w:left="60"/>
              <w:spacing w:after="0"/>
              <w:rPr>
                <w:sz w:val="20"/>
                <w:szCs w:val="20"/>
                <w:color w:val="auto"/>
              </w:rPr>
            </w:pPr>
            <w:r>
              <w:rPr>
                <w:rFonts w:ascii="Arial" w:cs="Arial" w:eastAsia="Arial" w:hAnsi="Arial"/>
                <w:sz w:val="18"/>
                <w:szCs w:val="18"/>
                <w:color w:val="auto"/>
              </w:rPr>
              <w:t>​ 0</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jc w:val="right"/>
              <w:ind w:right="113"/>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Alaskan Native or Native American</w:t>
            </w:r>
          </w:p>
        </w:tc>
        <w:tc>
          <w:tcPr>
            <w:tcW w:w="1240" w:type="dxa"/>
            <w:vAlign w:val="bottom"/>
            <w:tcBorders>
              <w:top w:val="single" w:sz="8" w:color="00C08A"/>
              <w:bottom w:val="single" w:sz="8" w:color="00C08A"/>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0</w:t>
            </w:r>
          </w:p>
        </w:tc>
        <w:tc>
          <w:tcPr>
            <w:tcW w:w="42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00C08A"/>
              <w:bottom w:val="single" w:sz="8" w:color="00C08A"/>
            </w:tcBorders>
            <w:shd w:val="clear" w:color="auto" w:fill="CCEEFF"/>
          </w:tcPr>
          <w:p>
            <w:pPr>
              <w:jc w:val="right"/>
              <w:ind w:right="113"/>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00C08A"/>
              <w:bottom w:val="single" w:sz="8" w:color="00C08A"/>
            </w:tcBorders>
            <w:shd w:val="clear" w:color="auto" w:fill="CCEEFF"/>
          </w:tcPr>
          <w:p>
            <w:pPr>
              <w:ind w:left="140"/>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00C08A"/>
              <w:bottom w:val="single" w:sz="8" w:color="00C08A"/>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Asian</w:t>
            </w:r>
          </w:p>
        </w:tc>
        <w:tc>
          <w:tcPr>
            <w:tcW w:w="1240" w:type="dxa"/>
            <w:vAlign w:val="bottom"/>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ind w:left="60"/>
              <w:spacing w:after="0"/>
              <w:rPr>
                <w:sz w:val="20"/>
                <w:szCs w:val="20"/>
                <w:color w:val="auto"/>
              </w:rPr>
            </w:pPr>
            <w:r>
              <w:rPr>
                <w:rFonts w:ascii="Arial" w:cs="Arial" w:eastAsia="Arial" w:hAnsi="Arial"/>
                <w:sz w:val="18"/>
                <w:szCs w:val="18"/>
                <w:color w:val="auto"/>
              </w:rPr>
              <w:t>​ 0</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jc w:val="right"/>
              <w:ind w:right="113"/>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Hispanic or Latinx</w:t>
            </w:r>
          </w:p>
        </w:tc>
        <w:tc>
          <w:tcPr>
            <w:tcW w:w="1240" w:type="dxa"/>
            <w:vAlign w:val="bottom"/>
            <w:tcBorders>
              <w:top w:val="single" w:sz="8" w:color="00C08A"/>
              <w:bottom w:val="single" w:sz="8" w:color="00C08A"/>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0</w:t>
            </w:r>
          </w:p>
        </w:tc>
        <w:tc>
          <w:tcPr>
            <w:tcW w:w="42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00C08A"/>
              <w:bottom w:val="single" w:sz="8" w:color="00C08A"/>
            </w:tcBorders>
            <w:shd w:val="clear" w:color="auto" w:fill="CCEEFF"/>
          </w:tcPr>
          <w:p>
            <w:pPr>
              <w:jc w:val="right"/>
              <w:ind w:right="113"/>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00C08A"/>
              <w:bottom w:val="single" w:sz="8" w:color="00C08A"/>
            </w:tcBorders>
            <w:shd w:val="clear" w:color="auto" w:fill="CCEEFF"/>
          </w:tcPr>
          <w:p>
            <w:pPr>
              <w:ind w:left="140"/>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00C08A"/>
              <w:bottom w:val="single" w:sz="8" w:color="00C08A"/>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Native Hawaiian or Pacific Islander</w:t>
            </w:r>
          </w:p>
        </w:tc>
        <w:tc>
          <w:tcPr>
            <w:tcW w:w="1240" w:type="dxa"/>
            <w:vAlign w:val="bottom"/>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ind w:left="60"/>
              <w:spacing w:after="0"/>
              <w:rPr>
                <w:sz w:val="20"/>
                <w:szCs w:val="20"/>
                <w:color w:val="auto"/>
              </w:rPr>
            </w:pPr>
            <w:r>
              <w:rPr>
                <w:rFonts w:ascii="Arial" w:cs="Arial" w:eastAsia="Arial" w:hAnsi="Arial"/>
                <w:sz w:val="18"/>
                <w:szCs w:val="18"/>
                <w:color w:val="auto"/>
              </w:rPr>
              <w:t>​ 0</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jc w:val="right"/>
              <w:ind w:right="113"/>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5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White</w:t>
            </w:r>
          </w:p>
        </w:tc>
        <w:tc>
          <w:tcPr>
            <w:tcW w:w="1240" w:type="dxa"/>
            <w:vAlign w:val="bottom"/>
            <w:tcBorders>
              <w:top w:val="single" w:sz="8" w:color="00C08A"/>
              <w:bottom w:val="single" w:sz="8" w:color="00C08A"/>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w:t>
            </w:r>
          </w:p>
        </w:tc>
        <w:tc>
          <w:tcPr>
            <w:tcW w:w="34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8</w:t>
            </w:r>
          </w:p>
        </w:tc>
        <w:tc>
          <w:tcPr>
            <w:tcW w:w="42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00C08A"/>
              <w:bottom w:val="single" w:sz="8" w:color="00C08A"/>
            </w:tcBorders>
            <w:shd w:val="clear" w:color="auto" w:fill="CCEEFF"/>
          </w:tcPr>
          <w:p>
            <w:pPr>
              <w:jc w:val="right"/>
              <w:ind w:right="113"/>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00C08A"/>
              <w:bottom w:val="single" w:sz="8" w:color="00C08A"/>
            </w:tcBorders>
            <w:shd w:val="clear" w:color="auto" w:fill="CCEEFF"/>
          </w:tcPr>
          <w:p>
            <w:pPr>
              <w:ind w:left="140"/>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00C08A"/>
              <w:bottom w:val="single" w:sz="8" w:color="00C08A"/>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Two or More Races or Ethnicities</w:t>
            </w:r>
          </w:p>
        </w:tc>
        <w:tc>
          <w:tcPr>
            <w:tcW w:w="1240" w:type="dxa"/>
            <w:vAlign w:val="bottom"/>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ind w:left="60"/>
              <w:spacing w:after="0"/>
              <w:rPr>
                <w:sz w:val="20"/>
                <w:szCs w:val="20"/>
                <w:color w:val="auto"/>
              </w:rPr>
            </w:pPr>
            <w:r>
              <w:rPr>
                <w:rFonts w:ascii="Arial" w:cs="Arial" w:eastAsia="Arial" w:hAnsi="Arial"/>
                <w:sz w:val="18"/>
                <w:szCs w:val="18"/>
                <w:color w:val="auto"/>
              </w:rPr>
              <w:t>​ 0</w:t>
            </w:r>
          </w:p>
        </w:tc>
        <w:tc>
          <w:tcPr>
            <w:tcW w:w="860" w:type="dxa"/>
            <w:vAlign w:val="bottom"/>
            <w:gridSpan w:val="2"/>
          </w:tcPr>
          <w:p>
            <w:pPr>
              <w:jc w:val="right"/>
              <w:ind w:right="113"/>
              <w:spacing w:after="0"/>
              <w:rPr>
                <w:sz w:val="20"/>
                <w:szCs w:val="20"/>
                <w:color w:val="auto"/>
              </w:rPr>
            </w:pPr>
            <w:r>
              <w:rPr>
                <w:rFonts w:ascii="Arial" w:cs="Arial" w:eastAsia="Arial" w:hAnsi="Arial"/>
                <w:sz w:val="18"/>
                <w:szCs w:val="18"/>
                <w:color w:val="auto"/>
              </w:rPr>
              <w:t>​​ ​​ ​​ ​</w:t>
            </w:r>
          </w:p>
        </w:tc>
        <w:tc>
          <w:tcPr>
            <w:tcW w:w="460" w:type="dxa"/>
            <w:vAlign w:val="bottom"/>
          </w:tcPr>
          <w:p>
            <w:pPr>
              <w:ind w:left="14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LGBTQ+</w:t>
            </w:r>
          </w:p>
        </w:tc>
        <w:tc>
          <w:tcPr>
            <w:tcW w:w="1240" w:type="dxa"/>
            <w:vAlign w:val="bottom"/>
            <w:tcBorders>
              <w:top w:val="single" w:sz="8" w:color="00C08A"/>
              <w:bottom w:val="single" w:sz="8" w:color="00C08A"/>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4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00C08A"/>
              <w:bottom w:val="single" w:sz="8" w:color="00C08A"/>
            </w:tcBorders>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 ​​ ​</w:t>
            </w:r>
            <w:r>
              <w:rPr>
                <w:rFonts w:ascii="Arial" w:cs="Arial" w:eastAsia="Arial" w:hAnsi="Arial"/>
                <w:sz w:val="18"/>
                <w:szCs w:val="18"/>
                <w:b w:val="1"/>
                <w:bCs w:val="1"/>
                <w:color w:val="auto"/>
              </w:rPr>
              <w:t>​</w:t>
            </w:r>
            <w:r>
              <w:rPr>
                <w:rFonts w:ascii="Arial" w:cs="Arial" w:eastAsia="Arial" w:hAnsi="Arial"/>
                <w:sz w:val="18"/>
                <w:szCs w:val="18"/>
                <w:color w:val="auto"/>
              </w:rPr>
              <w:t>1​​ ​</w:t>
            </w:r>
          </w:p>
        </w:tc>
        <w:tc>
          <w:tcPr>
            <w:tcW w:w="460" w:type="dxa"/>
            <w:vAlign w:val="bottom"/>
            <w:tcBorders>
              <w:top w:val="single" w:sz="8" w:color="00C08A"/>
              <w:bottom w:val="single" w:sz="8" w:color="00C08A"/>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00C08A"/>
              <w:bottom w:val="single" w:sz="8" w:color="00C08A"/>
              <w:right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Military Veteran</w:t>
            </w:r>
          </w:p>
        </w:tc>
        <w:tc>
          <w:tcPr>
            <w:tcW w:w="1240" w:type="dxa"/>
            <w:vAlign w:val="bottom"/>
          </w:tcPr>
          <w:p>
            <w:pPr>
              <w:ind w:lef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13"/>
              <w:spacing w:after="0"/>
              <w:rPr>
                <w:sz w:val="20"/>
                <w:szCs w:val="20"/>
                <w:color w:val="auto"/>
              </w:rPr>
            </w:pPr>
            <w:r>
              <w:rPr>
                <w:rFonts w:ascii="Arial" w:cs="Arial" w:eastAsia="Arial" w:hAnsi="Arial"/>
                <w:sz w:val="18"/>
                <w:szCs w:val="18"/>
                <w:color w:val="auto"/>
              </w:rPr>
              <w:t>​ ​​ ​</w:t>
            </w:r>
            <w:r>
              <w:rPr>
                <w:rFonts w:ascii="Arial" w:cs="Arial" w:eastAsia="Arial" w:hAnsi="Arial"/>
                <w:sz w:val="18"/>
                <w:szCs w:val="18"/>
                <w:b w:val="1"/>
                <w:bCs w:val="1"/>
                <w:color w:val="auto"/>
              </w:rPr>
              <w:t>​</w:t>
            </w:r>
            <w:r>
              <w:rPr>
                <w:rFonts w:ascii="Arial" w:cs="Arial" w:eastAsia="Arial" w:hAnsi="Arial"/>
                <w:sz w:val="18"/>
                <w:szCs w:val="18"/>
                <w:color w:val="auto"/>
              </w:rPr>
              <w:t>3​​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5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Did Not Disclose Demographic Background</w:t>
            </w:r>
          </w:p>
        </w:tc>
        <w:tc>
          <w:tcPr>
            <w:tcW w:w="1240" w:type="dxa"/>
            <w:vAlign w:val="bottom"/>
            <w:tcBorders>
              <w:top w:val="single" w:sz="8" w:color="00C08A"/>
              <w:bottom w:val="single" w:sz="8" w:color="00C08A"/>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08A"/>
              <w:bottom w:val="single" w:sz="8" w:color="00C08A"/>
            </w:tcBorders>
            <w:shd w:val="clear" w:color="auto" w:fill="CCEEFF"/>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w:t>
            </w:r>
          </w:p>
        </w:tc>
        <w:tc>
          <w:tcPr>
            <w:tcW w:w="34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00C08A"/>
              <w:bottom w:val="single" w:sz="8" w:color="00C08A"/>
            </w:tcBorders>
            <w:shd w:val="clear" w:color="auto" w:fill="CCEEFF"/>
          </w:tcPr>
          <w:p>
            <w:pPr>
              <w:ind w:left="60"/>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860" w:type="dxa"/>
            <w:vAlign w:val="bottom"/>
            <w:tcBorders>
              <w:top w:val="single" w:sz="8" w:color="00C08A"/>
              <w:bottom w:val="single" w:sz="8" w:color="00C08A"/>
            </w:tcBorders>
            <w:gridSpan w:val="2"/>
            <w:shd w:val="clear" w:color="auto" w:fill="CCEEFF"/>
          </w:tcPr>
          <w:p>
            <w:pPr>
              <w:jc w:val="right"/>
              <w:ind w:right="113"/>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0​​ ​</w:t>
            </w:r>
          </w:p>
        </w:tc>
        <w:tc>
          <w:tcPr>
            <w:tcW w:w="460" w:type="dxa"/>
            <w:vAlign w:val="bottom"/>
            <w:tcBorders>
              <w:top w:val="single" w:sz="8" w:color="00C08A"/>
              <w:bottom w:val="single" w:sz="8" w:color="00C08A"/>
            </w:tcBorders>
            <w:shd w:val="clear" w:color="auto" w:fill="CCEEFF"/>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w:t>
            </w:r>
          </w:p>
        </w:tc>
        <w:tc>
          <w:tcPr>
            <w:tcW w:w="3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00C08A"/>
              <w:bottom w:val="single" w:sz="8" w:color="00C08A"/>
              <w:right w:val="single" w:sz="8" w:color="CCEEFF"/>
            </w:tcBorders>
            <w:shd w:val="clear" w:color="auto" w:fill="CCEEFF"/>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4457700</wp:posOffset>
            </wp:positionV>
            <wp:extent cx="75438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Proposal 1: Election of Directors</w:t>
      </w:r>
    </w:p>
    <w:p>
      <w:pPr>
        <w:spacing w:after="0" w:line="112"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At the Annual Meeting, stockholders will vote to elect the three nominees named in this proxy statement as Class II directors. Each of the Class II directors elected at the Annual Meeting will hold office until the 2026 annual meeting of stockholders and until his or her successor has been duly elected and qualified. Our board of directors has nominated Douglas A. Cifu, Joseph J. Grano, Jr., and Joanne M. Minieri to serve as Class II directors for terms expiring at the 2026 annual meeting of stockholders and until each of their successors has been duly elected and qualified. The persons named as proxies will vote to elect Messrs. Cifu, Grano, and Ms. Minieri unless a stockholder indicates that his or her shares should be withheld with respect to one or more of such nominees.</w:t>
      </w:r>
    </w:p>
    <w:p>
      <w:pPr>
        <w:spacing w:after="0" w:line="99"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In the event that any nominee for Class II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 Abstentions and broker non-votes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291465</wp:posOffset>
            </wp:positionV>
            <wp:extent cx="5829300" cy="480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each of</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453"/>
                <w:w w:val="99"/>
              </w:rPr>
              <w:t>the nominees for our board of directors in this proposal 1.</w:t>
            </w:r>
          </w:p>
        </w:tc>
        <w:tc>
          <w:tcPr>
            <w:tcW w:w="1000" w:type="dxa"/>
            <w:vAlign w:val="bottom"/>
            <w:vMerge w:val="restart"/>
          </w:tcPr>
          <w:p>
            <w:pPr>
              <w:ind w:left="94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7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PROPOSAL 1: ELECTION OF DIRECTORS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79375</wp:posOffset>
            </wp:positionV>
            <wp:extent cx="58293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directors.</w:t>
      </w:r>
    </w:p>
    <w:p>
      <w:pPr>
        <w:spacing w:after="0" w:line="24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 Directors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three Class I directors will expire at the 2025 Annual Meeting.</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60" w:type="dxa"/>
            <w:vAlign w:val="bottom"/>
          </w:tcPr>
          <w:p>
            <w:pPr>
              <w:spacing w:after="0"/>
              <w:rPr>
                <w:sz w:val="20"/>
                <w:szCs w:val="20"/>
                <w:color w:val="auto"/>
              </w:rPr>
            </w:pPr>
            <w:r>
              <w:rPr>
                <w:rFonts w:ascii="Arial" w:cs="Arial" w:eastAsia="Arial" w:hAnsi="Arial"/>
                <w:sz w:val="36"/>
                <w:szCs w:val="36"/>
                <w:color w:val="00C08A"/>
              </w:rPr>
              <w:t>William F.</w:t>
            </w:r>
          </w:p>
        </w:tc>
        <w:tc>
          <w:tcPr>
            <w:tcW w:w="620" w:type="dxa"/>
            <w:vAlign w:val="bottom"/>
          </w:tcPr>
          <w:p>
            <w:pPr>
              <w:spacing w:after="0"/>
              <w:rPr>
                <w:sz w:val="24"/>
                <w:szCs w:val="24"/>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tcPr>
          <w:p>
            <w:pPr>
              <w:spacing w:after="0"/>
              <w:rPr>
                <w:sz w:val="24"/>
                <w:szCs w:val="24"/>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24"/>
                <w:szCs w:val="24"/>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620" w:type="dxa"/>
            <w:vAlign w:val="bottom"/>
          </w:tcPr>
          <w:p>
            <w:pPr>
              <w:ind w:left="420"/>
              <w:spacing w:after="0" w:line="189" w:lineRule="exact"/>
              <w:rPr>
                <w:sz w:val="20"/>
                <w:szCs w:val="20"/>
                <w:color w:val="auto"/>
              </w:rPr>
            </w:pPr>
            <w:r>
              <w:rPr>
                <w:rFonts w:ascii="Arial" w:cs="Arial" w:eastAsia="Arial" w:hAnsi="Arial"/>
                <w:sz w:val="18"/>
                <w:szCs w:val="18"/>
                <w:color w:val="auto"/>
              </w:rPr>
              <w:t>​ ​</w:t>
            </w:r>
          </w:p>
        </w:tc>
        <w:tc>
          <w:tcPr>
            <w:tcW w:w="1920" w:type="dxa"/>
            <w:vAlign w:val="bottom"/>
            <w:vMerge w:val="continue"/>
          </w:tcPr>
          <w:p>
            <w:pPr>
              <w:spacing w:after="0"/>
              <w:rPr>
                <w:sz w:val="16"/>
                <w:szCs w:val="16"/>
                <w:color w:val="auto"/>
              </w:rPr>
            </w:pPr>
          </w:p>
        </w:tc>
        <w:tc>
          <w:tcPr>
            <w:tcW w:w="300" w:type="dxa"/>
            <w:vAlign w:val="bottom"/>
          </w:tcPr>
          <w:p>
            <w:pPr>
              <w:ind w:left="120"/>
              <w:spacing w:after="0" w:line="189" w:lineRule="exact"/>
              <w:rPr>
                <w:sz w:val="20"/>
                <w:szCs w:val="20"/>
                <w:color w:val="auto"/>
              </w:rPr>
            </w:pPr>
            <w:r>
              <w:rPr>
                <w:rFonts w:ascii="Arial" w:cs="Arial" w:eastAsia="Arial" w:hAnsi="Arial"/>
                <w:sz w:val="18"/>
                <w:szCs w:val="18"/>
                <w:color w:val="auto"/>
              </w:rPr>
              <w:t>​ ​</w:t>
            </w:r>
          </w:p>
        </w:tc>
        <w:tc>
          <w:tcPr>
            <w:tcW w:w="1840" w:type="dxa"/>
            <w:vAlign w:val="bottom"/>
          </w:tcPr>
          <w:p>
            <w:pPr>
              <w:ind w:left="20"/>
              <w:spacing w:after="0" w:line="189" w:lineRule="exact"/>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Audit</w:t>
            </w:r>
          </w:p>
        </w:tc>
        <w:tc>
          <w:tcPr>
            <w:tcW w:w="380" w:type="dxa"/>
            <w:vAlign w:val="bottom"/>
          </w:tcPr>
          <w:p>
            <w:pPr>
              <w:ind w:left="200"/>
              <w:spacing w:after="0" w:line="189" w:lineRule="exact"/>
              <w:rPr>
                <w:sz w:val="20"/>
                <w:szCs w:val="20"/>
                <w:color w:val="auto"/>
              </w:rPr>
            </w:pPr>
            <w:r>
              <w:rPr>
                <w:rFonts w:ascii="Arial" w:cs="Arial" w:eastAsia="Arial" w:hAnsi="Arial"/>
                <w:sz w:val="18"/>
                <w:szCs w:val="18"/>
                <w:color w:val="auto"/>
              </w:rPr>
              <w:t>​ ​</w:t>
            </w:r>
          </w:p>
        </w:tc>
        <w:tc>
          <w:tcPr>
            <w:tcW w:w="1660" w:type="dxa"/>
            <w:vAlign w:val="bottom"/>
            <w:vMerge w:val="continue"/>
          </w:tcPr>
          <w:p>
            <w:pPr>
              <w:spacing w:after="0"/>
              <w:rPr>
                <w:sz w:val="16"/>
                <w:szCs w:val="16"/>
                <w:color w:val="auto"/>
              </w:rPr>
            </w:pPr>
          </w:p>
        </w:tc>
        <w:tc>
          <w:tcPr>
            <w:tcW w:w="4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6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Cruger, Jr.</w:t>
            </w:r>
          </w:p>
        </w:tc>
        <w:tc>
          <w:tcPr>
            <w:tcW w:w="620" w:type="dxa"/>
            <w:vAlign w:val="bottom"/>
            <w:tcBorders>
              <w:bottom w:val="single" w:sz="8" w:color="00C08A"/>
            </w:tcBorders>
          </w:tcPr>
          <w:p>
            <w:pPr>
              <w:spacing w:after="0"/>
              <w:rPr>
                <w:sz w:val="22"/>
                <w:szCs w:val="22"/>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64</w:t>
            </w:r>
          </w:p>
        </w:tc>
        <w:tc>
          <w:tcPr>
            <w:tcW w:w="300" w:type="dxa"/>
            <w:vAlign w:val="bottom"/>
            <w:tcBorders>
              <w:bottom w:val="single" w:sz="8" w:color="00C08A"/>
            </w:tcBorders>
          </w:tcPr>
          <w:p>
            <w:pPr>
              <w:spacing w:after="0"/>
              <w:rPr>
                <w:sz w:val="22"/>
                <w:szCs w:val="22"/>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Risk</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00C08A"/>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60" w:type="dxa"/>
            <w:vAlign w:val="bottom"/>
          </w:tcPr>
          <w:p>
            <w:pPr>
              <w:spacing w:after="0"/>
              <w:rPr>
                <w:sz w:val="20"/>
                <w:szCs w:val="20"/>
                <w:color w:val="auto"/>
              </w:rPr>
            </w:pPr>
            <w:r>
              <w:rPr>
                <w:rFonts w:ascii="Arial" w:cs="Arial" w:eastAsia="Arial" w:hAnsi="Arial"/>
                <w:sz w:val="18"/>
                <w:szCs w:val="18"/>
                <w:color w:val="00C08A"/>
              </w:rPr>
              <w:t>BACKGROUND</w:t>
            </w:r>
          </w:p>
        </w:tc>
        <w:tc>
          <w:tcPr>
            <w:tcW w:w="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Mr. Cruger became a member of our board of directors in April 2015 and was previously a member of the board of directors of Virtu Financial LLC (“</w:t>
      </w:r>
      <w:r>
        <w:rPr>
          <w:rFonts w:ascii="Arial" w:cs="Arial" w:eastAsia="Arial" w:hAnsi="Arial"/>
          <w:sz w:val="18"/>
          <w:szCs w:val="18"/>
          <w:b w:val="1"/>
          <w:bCs w:val="1"/>
          <w:color w:val="auto"/>
        </w:rPr>
        <w:t>Virtu Financial</w:t>
      </w:r>
      <w:r>
        <w:rPr>
          <w:rFonts w:ascii="Arial" w:cs="Arial" w:eastAsia="Arial" w:hAnsi="Arial"/>
          <w:sz w:val="18"/>
          <w:szCs w:val="18"/>
          <w:color w:val="auto"/>
        </w:rPr>
        <w:t>”), which is a subsidiary of the Company and was the entity through which we conducted our business prior to our initial public offering. From 1982 to 2013, he held a number of senior positions at J.P. Morgan and Co., a global investment bank. Mr. Cruger was Managing Director in the Financial Institutions group from 1996 to 2011, and then served as Vice Chairman of Investment Banking at J.P. Morgan and Co., where he was responsible for key client relationships on a global basis. During this time, he also oversaw the rationalization of the firm’s private equity investments in trading platforms and related ventures at Lab Morgan from 2000 to 2001. Prior to this, Mr. Cruger ran the firm’s investment banking practices in Japan from 1991 to 1996, Latin America from 1989 to 1991, and Emerging Asia from 1984 to 1988. Mr. Cruger currently serves on the board of MarketAxess Holdings Inc. (Nasdaq:MKTX) and M&amp;T Bank Corporation (NYSE:MTB) (“</w:t>
      </w:r>
      <w:r>
        <w:rPr>
          <w:rFonts w:ascii="Arial" w:cs="Arial" w:eastAsia="Arial" w:hAnsi="Arial"/>
          <w:sz w:val="18"/>
          <w:szCs w:val="18"/>
          <w:b w:val="1"/>
          <w:bCs w:val="1"/>
          <w:color w:val="auto"/>
        </w:rPr>
        <w:t>M&amp;T Bank</w:t>
      </w:r>
      <w:r>
        <w:rPr>
          <w:rFonts w:ascii="Arial" w:cs="Arial" w:eastAsia="Arial" w:hAnsi="Arial"/>
          <w:sz w:val="18"/>
          <w:szCs w:val="18"/>
          <w:color w:val="auto"/>
        </w:rPr>
        <w:t>”), and has previously served on the boards of Archipelago Holdings, Inc., CreditTrade, Inc., Capital IQ, Inc, and People’s United Financial, Inc. (Nasdaq:PBCT) (prior to its acquisition by M&amp;T Bank). He has an M.B.A. from Columbia University and a B.A. from Clark University.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860"/>
        <w:spacing w:after="0" w:line="291" w:lineRule="auto"/>
        <w:rPr>
          <w:sz w:val="20"/>
          <w:szCs w:val="20"/>
          <w:color w:val="auto"/>
        </w:rPr>
      </w:pPr>
      <w:r>
        <w:rPr>
          <w:rFonts w:ascii="Arial" w:cs="Arial" w:eastAsia="Arial" w:hAnsi="Arial"/>
          <w:sz w:val="17"/>
          <w:szCs w:val="17"/>
          <w:color w:val="auto"/>
        </w:rPr>
        <w:t>Mr. Cruger’s diverse experience in investment banking at a global financial services firm and his extensive experience in financial markets and financial leadership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-17145</wp:posOffset>
            </wp:positionV>
            <wp:extent cx="58293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46"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400" w:type="dxa"/>
            <w:vAlign w:val="bottom"/>
          </w:tcPr>
          <w:p>
            <w:pPr>
              <w:spacing w:after="0"/>
              <w:rPr>
                <w:sz w:val="20"/>
                <w:szCs w:val="20"/>
                <w:color w:val="auto"/>
              </w:rPr>
            </w:pPr>
            <w:r>
              <w:rPr>
                <w:rFonts w:ascii="Arial" w:cs="Arial" w:eastAsia="Arial" w:hAnsi="Arial"/>
                <w:sz w:val="36"/>
                <w:szCs w:val="36"/>
                <w:color w:val="00C08A"/>
              </w:rPr>
              <w:t>Christopher C.</w:t>
            </w:r>
          </w:p>
        </w:tc>
        <w:tc>
          <w:tcPr>
            <w:tcW w:w="280" w:type="dxa"/>
            <w:vAlign w:val="bottom"/>
          </w:tcPr>
          <w:p>
            <w:pPr>
              <w:spacing w:after="0"/>
              <w:rPr>
                <w:sz w:val="24"/>
                <w:szCs w:val="24"/>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tcPr>
          <w:p>
            <w:pPr>
              <w:spacing w:after="0"/>
              <w:rPr>
                <w:sz w:val="24"/>
                <w:szCs w:val="24"/>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24"/>
                <w:szCs w:val="24"/>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176" w:lineRule="exact"/>
              <w:rPr>
                <w:sz w:val="20"/>
                <w:szCs w:val="20"/>
                <w:color w:val="auto"/>
              </w:rPr>
            </w:pPr>
            <w:r>
              <w:rPr>
                <w:rFonts w:ascii="Arial" w:cs="Arial" w:eastAsia="Arial" w:hAnsi="Arial"/>
                <w:sz w:val="18"/>
                <w:szCs w:val="18"/>
                <w:color w:val="auto"/>
              </w:rPr>
              <w:t>​ ​</w:t>
            </w:r>
          </w:p>
        </w:tc>
        <w:tc>
          <w:tcPr>
            <w:tcW w:w="1920" w:type="dxa"/>
            <w:vAlign w:val="bottom"/>
            <w:vMerge w:val="continue"/>
          </w:tcPr>
          <w:p>
            <w:pPr>
              <w:spacing w:after="0"/>
              <w:rPr>
                <w:sz w:val="15"/>
                <w:szCs w:val="15"/>
                <w:color w:val="auto"/>
              </w:rPr>
            </w:pPr>
          </w:p>
        </w:tc>
        <w:tc>
          <w:tcPr>
            <w:tcW w:w="300" w:type="dxa"/>
            <w:vAlign w:val="bottom"/>
          </w:tcPr>
          <w:p>
            <w:pPr>
              <w:ind w:left="120"/>
              <w:spacing w:after="0" w:line="176" w:lineRule="exact"/>
              <w:rPr>
                <w:sz w:val="20"/>
                <w:szCs w:val="20"/>
                <w:color w:val="auto"/>
              </w:rPr>
            </w:pPr>
            <w:r>
              <w:rPr>
                <w:rFonts w:ascii="Arial" w:cs="Arial" w:eastAsia="Arial" w:hAnsi="Arial"/>
                <w:sz w:val="18"/>
                <w:szCs w:val="18"/>
                <w:color w:val="auto"/>
              </w:rPr>
              <w:t>​ ​</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Compensation</w:t>
            </w:r>
          </w:p>
        </w:tc>
        <w:tc>
          <w:tcPr>
            <w:tcW w:w="380" w:type="dxa"/>
            <w:vAlign w:val="bottom"/>
          </w:tcPr>
          <w:p>
            <w:pPr>
              <w:ind w:left="200"/>
              <w:spacing w:after="0" w:line="176" w:lineRule="exact"/>
              <w:rPr>
                <w:sz w:val="20"/>
                <w:szCs w:val="20"/>
                <w:color w:val="auto"/>
              </w:rPr>
            </w:pPr>
            <w:r>
              <w:rPr>
                <w:rFonts w:ascii="Arial" w:cs="Arial" w:eastAsia="Arial" w:hAnsi="Arial"/>
                <w:sz w:val="18"/>
                <w:szCs w:val="18"/>
                <w:color w:val="auto"/>
              </w:rPr>
              <w:t>​ ​</w:t>
            </w:r>
          </w:p>
        </w:tc>
        <w:tc>
          <w:tcPr>
            <w:tcW w:w="1660" w:type="dxa"/>
            <w:vAlign w:val="bottom"/>
            <w:vMerge w:val="continue"/>
          </w:tcPr>
          <w:p>
            <w:pPr>
              <w:spacing w:after="0"/>
              <w:rPr>
                <w:sz w:val="15"/>
                <w:szCs w:val="15"/>
                <w:color w:val="auto"/>
              </w:rPr>
            </w:pPr>
          </w:p>
        </w:tc>
        <w:tc>
          <w:tcPr>
            <w:tcW w:w="4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00C08A"/>
            </w:tcBorders>
          </w:tcPr>
          <w:p>
            <w:pPr>
              <w:spacing w:after="0" w:line="269" w:lineRule="exact"/>
              <w:rPr>
                <w:sz w:val="20"/>
                <w:szCs w:val="20"/>
                <w:color w:val="auto"/>
              </w:rPr>
            </w:pPr>
            <w:r>
              <w:rPr>
                <w:rFonts w:ascii="Arial" w:cs="Arial" w:eastAsia="Arial" w:hAnsi="Arial"/>
                <w:sz w:val="31"/>
                <w:szCs w:val="31"/>
                <w:color w:val="00C08A"/>
              </w:rPr>
              <w:t>Quick</w:t>
            </w:r>
          </w:p>
        </w:tc>
        <w:tc>
          <w:tcPr>
            <w:tcW w:w="280" w:type="dxa"/>
            <w:vAlign w:val="bottom"/>
            <w:tcBorders>
              <w:bottom w:val="single" w:sz="8" w:color="00C08A"/>
            </w:tcBorders>
          </w:tcPr>
          <w:p>
            <w:pPr>
              <w:spacing w:after="0"/>
              <w:rPr>
                <w:sz w:val="23"/>
                <w:szCs w:val="23"/>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65</w:t>
            </w:r>
          </w:p>
        </w:tc>
        <w:tc>
          <w:tcPr>
            <w:tcW w:w="300" w:type="dxa"/>
            <w:vAlign w:val="bottom"/>
            <w:tcBorders>
              <w:bottom w:val="single" w:sz="8" w:color="00C08A"/>
            </w:tcBorders>
          </w:tcPr>
          <w:p>
            <w:pPr>
              <w:spacing w:after="0"/>
              <w:rPr>
                <w:sz w:val="23"/>
                <w:szCs w:val="23"/>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N&amp;CG</w:t>
            </w:r>
          </w:p>
        </w:tc>
        <w:tc>
          <w:tcPr>
            <w:tcW w:w="380" w:type="dxa"/>
            <w:vAlign w:val="bottom"/>
            <w:tcBorders>
              <w:bottom w:val="single" w:sz="8" w:color="00C08A"/>
            </w:tcBorders>
          </w:tcPr>
          <w:p>
            <w:pPr>
              <w:spacing w:after="0"/>
              <w:rPr>
                <w:sz w:val="23"/>
                <w:szCs w:val="23"/>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00C08A"/>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20"/>
                <w:szCs w:val="20"/>
                <w:color w:val="auto"/>
              </w:rPr>
            </w:pPr>
            <w:r>
              <w:rPr>
                <w:rFonts w:ascii="Arial" w:cs="Arial" w:eastAsia="Arial" w:hAnsi="Arial"/>
                <w:sz w:val="18"/>
                <w:szCs w:val="18"/>
                <w:color w:val="00C08A"/>
              </w:rPr>
              <w:t>BACKGROUND</w:t>
            </w: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Mr. Quick became a member of our board of directors in April 2016. Mr. Quick has more than 30 years of experience in the securities and financial services industries. He is the former CEO of Banc of America Specialist, Inc., a wholly owned subsidiary of Bank of America Corporation and member firm of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 He served in this capacity until 2006. He is also a past Vice Chairman of Global Wealth and Investment Management with Bank of America. From 1982 to 2004, he served as Chairman and Chief Executive Officer of Q&amp;R Specialist, JJC Specialist and Fleet Specialists where he remained following the firm’s acquisition by Bank of America Corporation. He is a member of the board of directors of Mutual of America and a Trustee of Fairfield University. He is also a former member of the NYSE Board of Directors, the board of directors of KCG Holdings, Inc. (“</w:t>
      </w:r>
      <w:r>
        <w:rPr>
          <w:rFonts w:ascii="Arial" w:cs="Arial" w:eastAsia="Arial" w:hAnsi="Arial"/>
          <w:sz w:val="18"/>
          <w:szCs w:val="18"/>
          <w:b w:val="1"/>
          <w:bCs w:val="1"/>
          <w:color w:val="auto"/>
        </w:rPr>
        <w:t>KCG</w:t>
      </w:r>
      <w:r>
        <w:rPr>
          <w:rFonts w:ascii="Arial" w:cs="Arial" w:eastAsia="Arial" w:hAnsi="Arial"/>
          <w:sz w:val="18"/>
          <w:szCs w:val="18"/>
          <w:color w:val="auto"/>
        </w:rPr>
        <w:t>”), the board of directors of The Alfred E. Smith Memorial Foundation Inc., and the Board of Trustees for the Boys Club of New York. Mr. Quick received a B.S. in Finance from Fairfield University in 1979.</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jc w:val="both"/>
        <w:ind w:left="760" w:right="720"/>
        <w:spacing w:after="0" w:line="256" w:lineRule="auto"/>
        <w:rPr>
          <w:sz w:val="20"/>
          <w:szCs w:val="20"/>
          <w:color w:val="auto"/>
        </w:rPr>
      </w:pPr>
      <w:r>
        <w:rPr>
          <w:rFonts w:ascii="Arial" w:cs="Arial" w:eastAsia="Arial" w:hAnsi="Arial"/>
          <w:sz w:val="18"/>
          <w:szCs w:val="18"/>
          <w:color w:val="auto"/>
        </w:rPr>
        <w:t>Mr. Quick’s qualifications to serve on our board of directors include his significant experience in the financial services and securities industries, including in the specialist business, and in senior leadership roles and his substantial experience with post-merger and acquisition integration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266065</wp:posOffset>
            </wp:positionV>
            <wp:extent cx="75438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434"/>
        </w:trPr>
        <w:tc>
          <w:tcPr>
            <w:tcW w:w="1880" w:type="dxa"/>
            <w:vAlign w:val="bottom"/>
          </w:tcPr>
          <w:p>
            <w:pPr>
              <w:spacing w:after="0"/>
              <w:rPr>
                <w:sz w:val="20"/>
                <w:szCs w:val="20"/>
                <w:color w:val="auto"/>
              </w:rPr>
            </w:pPr>
            <w:r>
              <w:rPr>
                <w:rFonts w:ascii="Arial" w:cs="Arial" w:eastAsia="Arial" w:hAnsi="Arial"/>
                <w:sz w:val="36"/>
                <w:szCs w:val="36"/>
                <w:color w:val="00C08A"/>
              </w:rPr>
              <w:t>Vincent</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00C08A"/>
              </w:rPr>
              <w:t>​ ​</w:t>
            </w:r>
          </w:p>
        </w:tc>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Director</w:t>
            </w:r>
          </w:p>
        </w:tc>
        <w:tc>
          <w:tcPr>
            <w:tcW w:w="840" w:type="dxa"/>
            <w:vAlign w:val="bottom"/>
            <w:vMerge w:val="restart"/>
          </w:tcPr>
          <w:p>
            <w:pPr>
              <w:ind w:left="660"/>
              <w:spacing w:after="0"/>
              <w:rPr>
                <w:sz w:val="20"/>
                <w:szCs w:val="20"/>
                <w:color w:val="auto"/>
              </w:rPr>
            </w:pPr>
            <w:r>
              <w:rPr>
                <w:rFonts w:ascii="Arial" w:cs="Arial" w:eastAsia="Arial" w:hAnsi="Arial"/>
                <w:sz w:val="18"/>
                <w:szCs w:val="18"/>
                <w:color w:val="00C08A"/>
              </w:rPr>
              <w:t>​ ​</w:t>
            </w: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C08A"/>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00C08A"/>
              </w:rPr>
              <w:t>​</w:t>
            </w:r>
          </w:p>
        </w:tc>
        <w:tc>
          <w:tcPr>
            <w:tcW w:w="0" w:type="dxa"/>
            <w:vAlign w:val="bottom"/>
          </w:tcPr>
          <w:p>
            <w:pPr>
              <w:spacing w:after="0"/>
              <w:rPr>
                <w:sz w:val="1"/>
                <w:szCs w:val="1"/>
                <w:color w:val="auto"/>
              </w:rPr>
            </w:pPr>
          </w:p>
        </w:tc>
      </w:tr>
      <w:tr>
        <w:trPr>
          <w:trHeight w:val="40"/>
        </w:trPr>
        <w:tc>
          <w:tcPr>
            <w:tcW w:w="1880" w:type="dxa"/>
            <w:vAlign w:val="bottom"/>
          </w:tcPr>
          <w:p>
            <w:pPr>
              <w:spacing w:after="0" w:line="41" w:lineRule="exact"/>
              <w:rPr>
                <w:sz w:val="20"/>
                <w:szCs w:val="20"/>
                <w:color w:val="auto"/>
              </w:rPr>
            </w:pPr>
            <w:r>
              <w:rPr>
                <w:rFonts w:ascii="Arial" w:cs="Arial" w:eastAsia="Arial" w:hAnsi="Arial"/>
                <w:sz w:val="4"/>
                <w:szCs w:val="4"/>
                <w:color w:val="00C08A"/>
              </w:rPr>
              <w:t>​</w:t>
            </w:r>
          </w:p>
        </w:tc>
        <w:tc>
          <w:tcPr>
            <w:tcW w:w="80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8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Viola</w:t>
            </w:r>
          </w:p>
        </w:tc>
        <w:tc>
          <w:tcPr>
            <w:tcW w:w="800" w:type="dxa"/>
            <w:vAlign w:val="bottom"/>
            <w:tcBorders>
              <w:bottom w:val="single" w:sz="8" w:color="00C08A"/>
            </w:tcBorders>
          </w:tcPr>
          <w:p>
            <w:pPr>
              <w:spacing w:after="0"/>
              <w:rPr>
                <w:sz w:val="24"/>
                <w:szCs w:val="24"/>
                <w:color w:val="auto"/>
              </w:rPr>
            </w:pPr>
          </w:p>
        </w:tc>
        <w:tc>
          <w:tcPr>
            <w:tcW w:w="13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67</w:t>
            </w:r>
          </w:p>
        </w:tc>
        <w:tc>
          <w:tcPr>
            <w:tcW w:w="84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is our founder and has served as a member and Chairman Emeritus of our board of directors since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July 2017. From November 2013 until July 2017, Mr. Viola served as our Executive Chairman and Chairman of our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board of directors. He previously served as Chief Executive Officer and Chairman of the board of directors of Virtu</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its predecessors since April 2008. Mr. Viola is one of the nation’s foremost leaders in electronic trading. He was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founder of Virtu Financial Operating LLC (“</w:t>
      </w:r>
      <w:r>
        <w:rPr>
          <w:rFonts w:ascii="Arial" w:cs="Arial" w:eastAsia="Arial" w:hAnsi="Arial"/>
          <w:sz w:val="18"/>
          <w:szCs w:val="18"/>
          <w:b w:val="1"/>
          <w:bCs w:val="1"/>
          <w:color w:val="auto"/>
        </w:rPr>
        <w:t>Virtu East</w:t>
      </w:r>
      <w:r>
        <w:rPr>
          <w:rFonts w:ascii="Arial" w:cs="Arial" w:eastAsia="Arial" w:hAnsi="Arial"/>
          <w:sz w:val="18"/>
          <w:szCs w:val="18"/>
          <w:color w:val="auto"/>
        </w:rPr>
        <w:t>”) in 2008, a founder of Madison Tyler Holdings, LLC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Madison Tyler Holdings</w:t>
      </w:r>
      <w:r>
        <w:rPr>
          <w:rFonts w:ascii="Arial" w:cs="Arial" w:eastAsia="Arial" w:hAnsi="Arial"/>
          <w:sz w:val="18"/>
          <w:szCs w:val="18"/>
          <w:color w:val="auto"/>
        </w:rPr>
        <w:t>”) in 2002 and is the former Chairman of the New York Mercantile Exchange (“</w:t>
      </w:r>
      <w:r>
        <w:rPr>
          <w:rFonts w:ascii="Arial" w:cs="Arial" w:eastAsia="Arial" w:hAnsi="Arial"/>
          <w:sz w:val="18"/>
          <w:szCs w:val="18"/>
          <w:b w:val="1"/>
          <w:bCs w:val="1"/>
          <w:color w:val="auto"/>
        </w:rPr>
        <w:t>NYMEX</w:t>
      </w:r>
      <w:r>
        <w:rPr>
          <w:rFonts w:ascii="Arial" w:cs="Arial" w:eastAsia="Arial" w:hAnsi="Arial"/>
          <w:sz w:val="18"/>
          <w:szCs w:val="18"/>
          <w:color w:val="auto"/>
        </w:rPr>
        <w: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started his career in the financial services industry on the floor of the NYMEX and became Vice Chairman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from 1993 to 1996 and Chairman from 2001 to 2004. Mr. Viola has launched a number of successful businesses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his career, including Virtu and Independent Bank Group Inc., a regional banking group in Texas that is now</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listed on Nasdaq (IBTX). Shortly after September 11, 2001, Mr. Viola was instrumental in founding the Combating</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Terrorism Center at West Point. Mr. Viola is currently the principal owner and serves as the Chairman and Governor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Florida Panthers Hockey Club and its parent company, Sunrise Sports &amp; Entertainment LLC. Mr. Viola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graduated from the U.S. Military Academy at West Point in 1977. He later graduated from the U.S. Army Airborne,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Infantry and Ranger Schools and served in the 101st Airborne Division. In 1983, he graduated from New York Law</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School.</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420"/>
        <w:spacing w:after="0" w:line="254" w:lineRule="auto"/>
        <w:rPr>
          <w:sz w:val="20"/>
          <w:szCs w:val="20"/>
          <w:color w:val="auto"/>
        </w:rPr>
      </w:pPr>
      <w:r>
        <w:rPr>
          <w:rFonts w:ascii="Arial" w:cs="Arial" w:eastAsia="Arial" w:hAnsi="Arial"/>
          <w:sz w:val="18"/>
          <w:szCs w:val="18"/>
          <w:color w:val="auto"/>
        </w:rPr>
        <w:t>Mr. Viola’s extensive business experience in the financial services industry provides our board of directors with valuable knowledge and experience in the electronic trading and market making business. In addition, as our founder, Mr. Viola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1270</wp:posOffset>
            </wp:positionV>
            <wp:extent cx="58293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II Directors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three Class II directors will expire at the Annual Meeting. Messrs. Cifu, Grano, and</w:t>
      </w:r>
    </w:p>
    <w:p>
      <w:pPr>
        <w:ind w:left="760" w:right="260"/>
        <w:spacing w:after="0" w:line="261" w:lineRule="auto"/>
        <w:rPr>
          <w:sz w:val="20"/>
          <w:szCs w:val="20"/>
          <w:color w:val="auto"/>
        </w:rPr>
      </w:pPr>
      <w:r>
        <w:rPr>
          <w:rFonts w:ascii="Arial" w:cs="Arial" w:eastAsia="Arial" w:hAnsi="Arial"/>
          <w:sz w:val="18"/>
          <w:szCs w:val="18"/>
          <w:color w:val="auto"/>
        </w:rPr>
        <w:t>Ms. Minieri are the only nominees for election at the Annual Meeting, for a term that will expire at the 2026 annual meeting of stockholders and until each of their successors has been duly elected and qualified.</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120" w:type="dxa"/>
            <w:vAlign w:val="bottom"/>
          </w:tcPr>
          <w:p>
            <w:pPr>
              <w:spacing w:after="0"/>
              <w:rPr>
                <w:sz w:val="20"/>
                <w:szCs w:val="20"/>
                <w:color w:val="auto"/>
              </w:rPr>
            </w:pPr>
            <w:r>
              <w:rPr>
                <w:rFonts w:ascii="Arial" w:cs="Arial" w:eastAsia="Arial" w:hAnsi="Arial"/>
                <w:sz w:val="36"/>
                <w:szCs w:val="36"/>
                <w:color w:val="00C08A"/>
              </w:rPr>
              <w:t>Douglas A.</w:t>
            </w:r>
          </w:p>
        </w:tc>
        <w:tc>
          <w:tcPr>
            <w:tcW w:w="2560" w:type="dxa"/>
            <w:vAlign w:val="bottom"/>
            <w:vMerge w:val="restart"/>
          </w:tcPr>
          <w:p>
            <w:pPr>
              <w:ind w:left="580"/>
              <w:spacing w:after="0"/>
              <w:rPr>
                <w:sz w:val="20"/>
                <w:szCs w:val="20"/>
                <w:color w:val="auto"/>
              </w:rPr>
            </w:pPr>
            <w:r>
              <w:rPr>
                <w:rFonts w:ascii="Arial" w:cs="Arial" w:eastAsia="Arial" w:hAnsi="Arial"/>
                <w:sz w:val="18"/>
                <w:szCs w:val="18"/>
                <w:b w:val="1"/>
                <w:bCs w:val="1"/>
                <w:color w:val="00C08A"/>
                <w:w w:val="99"/>
              </w:rPr>
              <w:t>Chief Executive Officer</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12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120" w:type="dxa"/>
            <w:vAlign w:val="bottom"/>
          </w:tcPr>
          <w:p>
            <w:pPr>
              <w:spacing w:after="0" w:line="185" w:lineRule="exact"/>
              <w:rPr>
                <w:sz w:val="20"/>
                <w:szCs w:val="20"/>
                <w:color w:val="auto"/>
              </w:rPr>
            </w:pPr>
            <w:r>
              <w:rPr>
                <w:rFonts w:ascii="Arial" w:cs="Arial" w:eastAsia="Arial" w:hAnsi="Arial"/>
                <w:sz w:val="18"/>
                <w:szCs w:val="18"/>
                <w:b w:val="1"/>
                <w:bCs w:val="1"/>
                <w:color w:val="00C08A"/>
              </w:rPr>
              <w:t>​</w:t>
            </w:r>
          </w:p>
        </w:tc>
        <w:tc>
          <w:tcPr>
            <w:tcW w:w="2560" w:type="dxa"/>
            <w:vAlign w:val="bottom"/>
          </w:tcPr>
          <w:p>
            <w:pPr>
              <w:ind w:left="360"/>
              <w:spacing w:after="0" w:line="185" w:lineRule="exact"/>
              <w:rPr>
                <w:sz w:val="20"/>
                <w:szCs w:val="20"/>
                <w:color w:val="auto"/>
              </w:rPr>
            </w:pPr>
            <w:r>
              <w:rPr>
                <w:rFonts w:ascii="Arial" w:cs="Arial" w:eastAsia="Arial" w:hAnsi="Arial"/>
                <w:sz w:val="21"/>
                <w:szCs w:val="21"/>
                <w:b w:val="1"/>
                <w:bCs w:val="1"/>
                <w:color w:val="00C08A"/>
                <w:vertAlign w:val="subscript"/>
              </w:rPr>
              <w:t>​ ​</w:t>
            </w:r>
            <w:r>
              <w:rPr>
                <w:rFonts w:ascii="Arial" w:cs="Arial" w:eastAsia="Arial" w:hAnsi="Arial"/>
                <w:sz w:val="13"/>
                <w:szCs w:val="13"/>
                <w:b w:val="1"/>
                <w:bCs w:val="1"/>
                <w:color w:val="00C08A"/>
              </w:rPr>
              <w:t xml:space="preserve"> and Director</w:t>
            </w:r>
          </w:p>
        </w:tc>
        <w:tc>
          <w:tcPr>
            <w:tcW w:w="220" w:type="dxa"/>
            <w:vAlign w:val="bottom"/>
          </w:tcPr>
          <w:p>
            <w:pPr>
              <w:ind w:left="40"/>
              <w:spacing w:after="0" w:line="185" w:lineRule="exact"/>
              <w:rPr>
                <w:sz w:val="20"/>
                <w:szCs w:val="20"/>
                <w:color w:val="auto"/>
              </w:rPr>
            </w:pPr>
            <w:r>
              <w:rPr>
                <w:rFonts w:ascii="Arial" w:cs="Arial" w:eastAsia="Arial" w:hAnsi="Arial"/>
                <w:sz w:val="18"/>
                <w:szCs w:val="18"/>
                <w:b w:val="1"/>
                <w:bCs w:val="1"/>
                <w:color w:val="00C08A"/>
              </w:rPr>
              <w:t>​ ​</w:t>
            </w:r>
          </w:p>
        </w:tc>
        <w:tc>
          <w:tcPr>
            <w:tcW w:w="1840" w:type="dxa"/>
            <w:vAlign w:val="bottom"/>
          </w:tcPr>
          <w:p>
            <w:pPr>
              <w:ind w:left="20"/>
              <w:spacing w:after="0" w:line="185" w:lineRule="exact"/>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ind w:left="200"/>
              <w:spacing w:after="0" w:line="185" w:lineRule="exact"/>
              <w:rPr>
                <w:sz w:val="20"/>
                <w:szCs w:val="20"/>
                <w:color w:val="auto"/>
              </w:rPr>
            </w:pPr>
            <w:r>
              <w:rPr>
                <w:rFonts w:ascii="Arial" w:cs="Arial" w:eastAsia="Arial" w:hAnsi="Arial"/>
                <w:sz w:val="18"/>
                <w:szCs w:val="18"/>
                <w:b w:val="1"/>
                <w:bCs w:val="1"/>
                <w:color w:val="00C08A"/>
              </w:rPr>
              <w:t>​ ​</w:t>
            </w:r>
          </w:p>
        </w:tc>
        <w:tc>
          <w:tcPr>
            <w:tcW w:w="1660" w:type="dxa"/>
            <w:vAlign w:val="bottom"/>
          </w:tcPr>
          <w:p>
            <w:pPr>
              <w:ind w:left="40"/>
              <w:spacing w:after="0" w:line="185" w:lineRule="exact"/>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84"/>
        </w:trPr>
        <w:tc>
          <w:tcPr>
            <w:tcW w:w="212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Cifu</w:t>
            </w:r>
          </w:p>
        </w:tc>
        <w:tc>
          <w:tcPr>
            <w:tcW w:w="2560" w:type="dxa"/>
            <w:vAlign w:val="bottom"/>
            <w:tcBorders>
              <w:bottom w:val="single" w:sz="8" w:color="00C08A"/>
            </w:tcBorders>
          </w:tcPr>
          <w:p>
            <w:pPr>
              <w:ind w:left="580"/>
              <w:spacing w:after="0"/>
              <w:rPr>
                <w:sz w:val="20"/>
                <w:szCs w:val="20"/>
                <w:color w:val="auto"/>
              </w:rPr>
            </w:pPr>
            <w:r>
              <w:rPr>
                <w:rFonts w:ascii="Arial" w:cs="Arial" w:eastAsia="Arial" w:hAnsi="Arial"/>
                <w:sz w:val="18"/>
                <w:szCs w:val="18"/>
                <w:color w:val="auto"/>
              </w:rPr>
              <w:t>Age: 57</w:t>
            </w:r>
          </w:p>
        </w:tc>
        <w:tc>
          <w:tcPr>
            <w:tcW w:w="22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20"/>
                <w:szCs w:val="20"/>
                <w:color w:val="auto"/>
              </w:rPr>
            </w:pPr>
            <w:r>
              <w:rPr>
                <w:rFonts w:ascii="Arial" w:cs="Arial" w:eastAsia="Arial" w:hAnsi="Arial"/>
                <w:sz w:val="18"/>
                <w:szCs w:val="18"/>
                <w:color w:val="00C08A"/>
              </w:rPr>
              <w:t>BACKGROUND</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80"/>
        <w:spacing w:after="0" w:line="250" w:lineRule="auto"/>
        <w:rPr>
          <w:sz w:val="20"/>
          <w:szCs w:val="20"/>
          <w:color w:val="auto"/>
        </w:rPr>
      </w:pPr>
      <w:r>
        <w:rPr>
          <w:rFonts w:ascii="Arial" w:cs="Arial" w:eastAsia="Arial" w:hAnsi="Arial"/>
          <w:sz w:val="18"/>
          <w:szCs w:val="18"/>
          <w:color w:val="auto"/>
        </w:rPr>
        <w:t>Mr. Cifu has been our Chief Executive Officer and a member of our board of directors since November 2013. He previously served as Virtu’s President and Chief Operating Officer and has served on its board of directors or the boards of its predecessors since co-founding the firm in April 2008. Prior to co-founding Virtu, Mr. Cifu was a partner at the international law firm of Paul, Weiss, Rifkind, Wharton &amp; Garrison LLP, where he practiced corporate law from 1990 to 2008 and served as a member of the Management Committee and Deputy Chairman of the firm’s corporate department. Mr. Cifu also previously served on the board of directors of Independent Bank Group, Inc. (Nasdaq:IBTX), a regional bank holding company. Mr. Cifu currently serves as a member of the board of directors of the U.S. Chamber of Commerce, as well as the Board of Visitors of Columbia College at Columbia University.</w:t>
      </w:r>
    </w:p>
    <w:p>
      <w:pPr>
        <w:spacing w:after="0" w:line="3" w:lineRule="exact"/>
        <w:rPr>
          <w:sz w:val="20"/>
          <w:szCs w:val="20"/>
          <w:color w:val="auto"/>
        </w:rPr>
      </w:pPr>
    </w:p>
    <w:p>
      <w:pPr>
        <w:jc w:val="both"/>
        <w:ind w:left="760" w:right="280"/>
        <w:spacing w:after="0" w:line="278" w:lineRule="auto"/>
        <w:rPr>
          <w:sz w:val="20"/>
          <w:szCs w:val="20"/>
          <w:color w:val="auto"/>
        </w:rPr>
      </w:pPr>
      <w:r>
        <w:rPr>
          <w:rFonts w:ascii="Arial" w:cs="Arial" w:eastAsia="Arial" w:hAnsi="Arial"/>
          <w:sz w:val="17"/>
          <w:szCs w:val="17"/>
          <w:color w:val="auto"/>
        </w:rPr>
        <w:t>Mr. Cifu also serves as Vice Chairman, Partner and Alternate Governor for the Florida Panthers Hockey Club and its parent company, Sunrise Sports &amp; Entertainment LLC. Mr. Cifu completed his J.D. at Columbia Law School in 1990 and received his B.A. from Columbia University in 1987, from which he graduated magna cum laude.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440"/>
        <w:spacing w:after="0" w:line="261" w:lineRule="auto"/>
        <w:rPr>
          <w:sz w:val="20"/>
          <w:szCs w:val="20"/>
          <w:color w:val="auto"/>
        </w:rPr>
      </w:pPr>
      <w:r>
        <w:rPr>
          <w:rFonts w:ascii="Arial" w:cs="Arial" w:eastAsia="Arial" w:hAnsi="Arial"/>
          <w:sz w:val="18"/>
          <w:szCs w:val="18"/>
          <w:color w:val="auto"/>
        </w:rPr>
        <w:t>Mr. Cifu’s extensive experience in global financial markets and market structure, his leadership acumen and his background as a corporate attorney add significant value to our Company and our board of directors.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7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ind w:left="760"/>
        <w:spacing w:after="0" w:line="261" w:lineRule="auto"/>
        <w:rPr>
          <w:sz w:val="20"/>
          <w:szCs w:val="20"/>
          <w:color w:val="auto"/>
        </w:rPr>
      </w:pPr>
      <w:r>
        <w:rPr>
          <w:rFonts w:ascii="Arial" w:cs="Arial" w:eastAsia="Arial" w:hAnsi="Arial"/>
          <w:sz w:val="18"/>
          <w:szCs w:val="18"/>
          <w:color w:val="auto"/>
        </w:rPr>
        <w:t>​co-founder, Mr. Cifu has successfully led Virtu since its inception and provides our board of directors with valuable ​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14605</wp:posOffset>
            </wp:positionV>
            <wp:extent cx="5829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4"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40" w:type="dxa"/>
            <w:vAlign w:val="bottom"/>
          </w:tcPr>
          <w:p>
            <w:pPr>
              <w:spacing w:after="0"/>
              <w:rPr>
                <w:sz w:val="20"/>
                <w:szCs w:val="20"/>
                <w:color w:val="auto"/>
              </w:rPr>
            </w:pPr>
            <w:r>
              <w:rPr>
                <w:rFonts w:ascii="Arial" w:cs="Arial" w:eastAsia="Arial" w:hAnsi="Arial"/>
                <w:sz w:val="36"/>
                <w:szCs w:val="36"/>
                <w:color w:val="00C08A"/>
              </w:rPr>
              <w:t>Joseph J.</w:t>
            </w:r>
          </w:p>
        </w:tc>
        <w:tc>
          <w:tcPr>
            <w:tcW w:w="640" w:type="dxa"/>
            <w:vAlign w:val="bottom"/>
          </w:tcPr>
          <w:p>
            <w:pPr>
              <w:spacing w:after="0"/>
              <w:rPr>
                <w:sz w:val="24"/>
                <w:szCs w:val="24"/>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tcPr>
          <w:p>
            <w:pPr>
              <w:spacing w:after="0"/>
              <w:rPr>
                <w:sz w:val="24"/>
                <w:szCs w:val="24"/>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24"/>
                <w:szCs w:val="24"/>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640" w:type="dxa"/>
            <w:vAlign w:val="bottom"/>
          </w:tcPr>
          <w:p>
            <w:pPr>
              <w:ind w:left="440"/>
              <w:spacing w:after="0" w:line="162" w:lineRule="exact"/>
              <w:rPr>
                <w:sz w:val="20"/>
                <w:szCs w:val="20"/>
                <w:color w:val="auto"/>
              </w:rPr>
            </w:pPr>
            <w:r>
              <w:rPr>
                <w:rFonts w:ascii="Arial" w:cs="Arial" w:eastAsia="Arial" w:hAnsi="Arial"/>
                <w:sz w:val="18"/>
                <w:szCs w:val="18"/>
                <w:color w:val="auto"/>
              </w:rPr>
              <w:t>​ ​</w:t>
            </w:r>
          </w:p>
        </w:tc>
        <w:tc>
          <w:tcPr>
            <w:tcW w:w="1920" w:type="dxa"/>
            <w:vAlign w:val="bottom"/>
            <w:vMerge w:val="continue"/>
          </w:tcPr>
          <w:p>
            <w:pPr>
              <w:spacing w:after="0"/>
              <w:rPr>
                <w:sz w:val="14"/>
                <w:szCs w:val="14"/>
                <w:color w:val="auto"/>
              </w:rPr>
            </w:pPr>
          </w:p>
        </w:tc>
        <w:tc>
          <w:tcPr>
            <w:tcW w:w="300" w:type="dxa"/>
            <w:vAlign w:val="bottom"/>
          </w:tcPr>
          <w:p>
            <w:pPr>
              <w:ind w:left="120"/>
              <w:spacing w:after="0" w:line="162" w:lineRule="exact"/>
              <w:rPr>
                <w:sz w:val="20"/>
                <w:szCs w:val="20"/>
                <w:color w:val="auto"/>
              </w:rPr>
            </w:pPr>
            <w:r>
              <w:rPr>
                <w:rFonts w:ascii="Arial" w:cs="Arial" w:eastAsia="Arial" w:hAnsi="Arial"/>
                <w:sz w:val="18"/>
                <w:szCs w:val="18"/>
                <w:color w:val="auto"/>
              </w:rPr>
              <w:t>​ ​</w:t>
            </w:r>
          </w:p>
        </w:tc>
        <w:tc>
          <w:tcPr>
            <w:tcW w:w="1840" w:type="dxa"/>
            <w:vAlign w:val="bottom"/>
          </w:tcPr>
          <w:p>
            <w:pPr>
              <w:ind w:left="20"/>
              <w:spacing w:after="0" w:line="162" w:lineRule="exact"/>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Audit</w:t>
            </w:r>
          </w:p>
        </w:tc>
        <w:tc>
          <w:tcPr>
            <w:tcW w:w="380" w:type="dxa"/>
            <w:vAlign w:val="bottom"/>
          </w:tcPr>
          <w:p>
            <w:pPr>
              <w:ind w:left="200"/>
              <w:spacing w:after="0" w:line="162" w:lineRule="exact"/>
              <w:rPr>
                <w:sz w:val="20"/>
                <w:szCs w:val="20"/>
                <w:color w:val="auto"/>
              </w:rPr>
            </w:pPr>
            <w:r>
              <w:rPr>
                <w:rFonts w:ascii="Arial" w:cs="Arial" w:eastAsia="Arial" w:hAnsi="Arial"/>
                <w:sz w:val="18"/>
                <w:szCs w:val="18"/>
                <w:color w:val="auto"/>
              </w:rPr>
              <w:t>​ ​</w:t>
            </w:r>
          </w:p>
        </w:tc>
        <w:tc>
          <w:tcPr>
            <w:tcW w:w="1660" w:type="dxa"/>
            <w:vAlign w:val="bottom"/>
            <w:vMerge w:val="continue"/>
          </w:tcPr>
          <w:p>
            <w:pPr>
              <w:spacing w:after="0"/>
              <w:rPr>
                <w:sz w:val="14"/>
                <w:szCs w:val="14"/>
                <w:color w:val="auto"/>
              </w:rPr>
            </w:pPr>
          </w:p>
        </w:tc>
        <w:tc>
          <w:tcPr>
            <w:tcW w:w="4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04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Grano, Jr.</w:t>
            </w:r>
          </w:p>
        </w:tc>
        <w:tc>
          <w:tcPr>
            <w:tcW w:w="64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75</w:t>
            </w:r>
          </w:p>
        </w:tc>
        <w:tc>
          <w:tcPr>
            <w:tcW w:w="30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Compensation</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8"/>
                <w:szCs w:val="18"/>
                <w:color w:val="00C08A"/>
              </w:rPr>
              <w:t>BACKGROUND</w:t>
            </w:r>
          </w:p>
        </w:tc>
        <w:tc>
          <w:tcPr>
            <w:tcW w:w="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180"/>
        <w:spacing w:after="0" w:line="251" w:lineRule="auto"/>
        <w:rPr>
          <w:sz w:val="20"/>
          <w:szCs w:val="20"/>
          <w:color w:val="auto"/>
        </w:rPr>
      </w:pPr>
      <w:r>
        <w:rPr>
          <w:rFonts w:ascii="Arial" w:cs="Arial" w:eastAsia="Arial" w:hAnsi="Arial"/>
          <w:sz w:val="18"/>
          <w:szCs w:val="18"/>
          <w:color w:val="auto"/>
        </w:rPr>
        <w:t>Mr. Grano, Jr. became a member of our board of directors in October 2017. Mr. Grano has more than 30 years of experience in the securities and financial services industries. Since 2005, Mr. Grano has served as the Principal Partner of the JJG Family Office, which primarily engages in advisory services. From 2001 to 2004, he was Chairman and CEO of UBS Financial Services Inc. (formerly UBS PaineWebber), where he was instrumental in helping to bring about the merger of PaineWebber with UBS in 2000. Prior to joining PaineWebber, he held various senior management positions with Merrill Lynch &amp; Co., including Director of National Sales. Mr. Grano previously served as Chairman of the Board of Governors of the National Association of Securities Dealers (NASD) (predecessor to the Financial Industry Regulatory Authority (FINRA)) and was formerly a member of the NASD’s Executive Committee.</w:t>
      </w:r>
    </w:p>
    <w:p>
      <w:pPr>
        <w:spacing w:after="0" w:line="104" w:lineRule="exact"/>
        <w:rPr>
          <w:sz w:val="20"/>
          <w:szCs w:val="20"/>
          <w:color w:val="auto"/>
        </w:rPr>
      </w:pPr>
    </w:p>
    <w:p>
      <w:pPr>
        <w:ind w:left="760" w:right="160"/>
        <w:spacing w:after="0" w:line="252" w:lineRule="auto"/>
        <w:rPr>
          <w:sz w:val="20"/>
          <w:szCs w:val="20"/>
          <w:color w:val="auto"/>
        </w:rPr>
      </w:pPr>
      <w:r>
        <w:rPr>
          <w:rFonts w:ascii="Arial" w:cs="Arial" w:eastAsia="Arial" w:hAnsi="Arial"/>
          <w:sz w:val="18"/>
          <w:szCs w:val="18"/>
          <w:color w:val="auto"/>
        </w:rPr>
        <w:t>In addition to his industry experience, Mr. Grano serves as a member of the City University of New York’s Business Leadership Council and President of the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w:t>
      </w:r>
    </w:p>
    <w:p>
      <w:pPr>
        <w:spacing w:after="0" w:line="33"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​Mr. Grano holds honorary Doctor of Laws degrees from Pepperdine University and Babson College as well as an ​ honorary Doctor of Humane Letters degree from Queens College. In addition to being one of the financial services industry’s leading executives, Mr. Grano is involved in a wide range of educational and philanthropic endeavors.</w:t>
      </w:r>
    </w:p>
    <w:p>
      <w:pPr>
        <w:spacing w:after="0" w:line="82" w:lineRule="exact"/>
        <w:rPr>
          <w:sz w:val="20"/>
          <w:szCs w:val="20"/>
          <w:color w:val="auto"/>
        </w:rPr>
      </w:pPr>
    </w:p>
    <w:p>
      <w:pPr>
        <w:jc w:val="both"/>
        <w:ind w:left="760" w:right="260"/>
        <w:spacing w:after="0" w:line="256" w:lineRule="auto"/>
        <w:rPr>
          <w:sz w:val="20"/>
          <w:szCs w:val="20"/>
          <w:color w:val="auto"/>
        </w:rPr>
      </w:pPr>
      <w:r>
        <w:rPr>
          <w:rFonts w:ascii="Arial" w:cs="Arial" w:eastAsia="Arial" w:hAnsi="Arial"/>
          <w:sz w:val="18"/>
          <w:szCs w:val="18"/>
          <w:color w:val="auto"/>
        </w:rPr>
        <w:t>Mr. Grano also served in the U.S. Special Forces (Green Berets). He also won a Tony Award as a producer of the record-setting musical Jersey Boys. Mr. Grano is the author of the book “You Can’t Predict A Hero” which was on Businessweek’s best seller list in 2009.</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500"/>
        <w:spacing w:after="0" w:line="261" w:lineRule="auto"/>
        <w:rPr>
          <w:sz w:val="20"/>
          <w:szCs w:val="20"/>
          <w:color w:val="auto"/>
        </w:rPr>
      </w:pPr>
      <w:r>
        <w:rPr>
          <w:rFonts w:ascii="Arial" w:cs="Arial" w:eastAsia="Arial" w:hAnsi="Arial"/>
          <w:sz w:val="18"/>
          <w:szCs w:val="18"/>
          <w:color w:val="auto"/>
        </w:rPr>
        <w:t>Mr. Grano’s previous senior leadership roles in the financial securities industry and public company experience provide a valuable insight regarding strategic decisions and add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293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4"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80" w:type="dxa"/>
            <w:vAlign w:val="bottom"/>
          </w:tcPr>
          <w:p>
            <w:pPr>
              <w:spacing w:after="0"/>
              <w:rPr>
                <w:sz w:val="20"/>
                <w:szCs w:val="20"/>
                <w:color w:val="auto"/>
              </w:rPr>
            </w:pPr>
            <w:r>
              <w:rPr>
                <w:rFonts w:ascii="Arial" w:cs="Arial" w:eastAsia="Arial" w:hAnsi="Arial"/>
                <w:sz w:val="36"/>
                <w:szCs w:val="36"/>
                <w:color w:val="00C08A"/>
              </w:rPr>
              <w:t>Joanne M.</w:t>
            </w:r>
          </w:p>
        </w:tc>
        <w:tc>
          <w:tcPr>
            <w:tcW w:w="600" w:type="dxa"/>
            <w:vAlign w:val="bottom"/>
          </w:tcPr>
          <w:p>
            <w:pPr>
              <w:spacing w:after="0"/>
              <w:rPr>
                <w:sz w:val="24"/>
                <w:szCs w:val="24"/>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tcPr>
          <w:p>
            <w:pPr>
              <w:spacing w:after="0"/>
              <w:rPr>
                <w:sz w:val="24"/>
                <w:szCs w:val="24"/>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24"/>
                <w:szCs w:val="24"/>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600" w:type="dxa"/>
            <w:vAlign w:val="bottom"/>
          </w:tcPr>
          <w:p>
            <w:pPr>
              <w:ind w:left="400"/>
              <w:spacing w:after="0" w:line="162" w:lineRule="exact"/>
              <w:rPr>
                <w:sz w:val="20"/>
                <w:szCs w:val="20"/>
                <w:color w:val="auto"/>
              </w:rPr>
            </w:pPr>
            <w:r>
              <w:rPr>
                <w:rFonts w:ascii="Arial" w:cs="Arial" w:eastAsia="Arial" w:hAnsi="Arial"/>
                <w:sz w:val="18"/>
                <w:szCs w:val="18"/>
                <w:color w:val="auto"/>
              </w:rPr>
              <w:t>​ ​</w:t>
            </w:r>
          </w:p>
        </w:tc>
        <w:tc>
          <w:tcPr>
            <w:tcW w:w="1920" w:type="dxa"/>
            <w:vAlign w:val="bottom"/>
            <w:vMerge w:val="continue"/>
          </w:tcPr>
          <w:p>
            <w:pPr>
              <w:spacing w:after="0"/>
              <w:rPr>
                <w:sz w:val="14"/>
                <w:szCs w:val="14"/>
                <w:color w:val="auto"/>
              </w:rPr>
            </w:pPr>
          </w:p>
        </w:tc>
        <w:tc>
          <w:tcPr>
            <w:tcW w:w="300" w:type="dxa"/>
            <w:vAlign w:val="bottom"/>
          </w:tcPr>
          <w:p>
            <w:pPr>
              <w:ind w:left="120"/>
              <w:spacing w:after="0" w:line="162" w:lineRule="exact"/>
              <w:rPr>
                <w:sz w:val="20"/>
                <w:szCs w:val="20"/>
                <w:color w:val="auto"/>
              </w:rPr>
            </w:pPr>
            <w:r>
              <w:rPr>
                <w:rFonts w:ascii="Arial" w:cs="Arial" w:eastAsia="Arial" w:hAnsi="Arial"/>
                <w:sz w:val="18"/>
                <w:szCs w:val="18"/>
                <w:color w:val="auto"/>
              </w:rPr>
              <w:t>​ ​</w:t>
            </w:r>
          </w:p>
        </w:tc>
        <w:tc>
          <w:tcPr>
            <w:tcW w:w="160" w:type="dxa"/>
            <w:vAlign w:val="bottom"/>
          </w:tcPr>
          <w:p>
            <w:pPr>
              <w:ind w:left="20"/>
              <w:spacing w:after="0" w:line="162" w:lineRule="exact"/>
              <w:rPr>
                <w:sz w:val="20"/>
                <w:szCs w:val="20"/>
                <w:color w:val="auto"/>
              </w:rPr>
            </w:pPr>
            <w:r>
              <w:rPr>
                <w:rFonts w:ascii="Arial" w:cs="Arial" w:eastAsia="Arial" w:hAnsi="Arial"/>
                <w:sz w:val="18"/>
                <w:szCs w:val="18"/>
                <w:color w:val="002453"/>
              </w:rPr>
              <w:t>•</w:t>
            </w:r>
          </w:p>
        </w:tc>
        <w:tc>
          <w:tcPr>
            <w:tcW w:w="1680" w:type="dxa"/>
            <w:vAlign w:val="bottom"/>
          </w:tcPr>
          <w:p>
            <w:pPr>
              <w:ind w:left="40"/>
              <w:spacing w:after="0" w:line="162" w:lineRule="exact"/>
              <w:rPr>
                <w:sz w:val="20"/>
                <w:szCs w:val="20"/>
                <w:color w:val="auto"/>
              </w:rPr>
            </w:pPr>
            <w:r>
              <w:rPr>
                <w:rFonts w:ascii="Arial" w:cs="Arial" w:eastAsia="Arial" w:hAnsi="Arial"/>
                <w:sz w:val="18"/>
                <w:szCs w:val="18"/>
                <w:color w:val="auto"/>
              </w:rPr>
              <w:t>Audit</w:t>
            </w:r>
          </w:p>
        </w:tc>
        <w:tc>
          <w:tcPr>
            <w:tcW w:w="380" w:type="dxa"/>
            <w:vAlign w:val="bottom"/>
          </w:tcPr>
          <w:p>
            <w:pPr>
              <w:ind w:left="200"/>
              <w:spacing w:after="0" w:line="162" w:lineRule="exact"/>
              <w:rPr>
                <w:sz w:val="20"/>
                <w:szCs w:val="20"/>
                <w:color w:val="auto"/>
              </w:rPr>
            </w:pPr>
            <w:r>
              <w:rPr>
                <w:rFonts w:ascii="Arial" w:cs="Arial" w:eastAsia="Arial" w:hAnsi="Arial"/>
                <w:sz w:val="18"/>
                <w:szCs w:val="18"/>
                <w:color w:val="auto"/>
              </w:rPr>
              <w:t>​ ​</w:t>
            </w:r>
          </w:p>
        </w:tc>
        <w:tc>
          <w:tcPr>
            <w:tcW w:w="1660" w:type="dxa"/>
            <w:vAlign w:val="bottom"/>
            <w:vMerge w:val="continue"/>
          </w:tcPr>
          <w:p>
            <w:pPr>
              <w:spacing w:after="0"/>
              <w:rPr>
                <w:sz w:val="14"/>
                <w:szCs w:val="14"/>
                <w:color w:val="auto"/>
              </w:rPr>
            </w:pPr>
          </w:p>
        </w:tc>
        <w:tc>
          <w:tcPr>
            <w:tcW w:w="4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0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Minieri</w:t>
            </w:r>
          </w:p>
        </w:tc>
        <w:tc>
          <w:tcPr>
            <w:tcW w:w="60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62</w:t>
            </w:r>
          </w:p>
        </w:tc>
        <w:tc>
          <w:tcPr>
            <w:tcW w:w="300" w:type="dxa"/>
            <w:vAlign w:val="bottom"/>
            <w:tcBorders>
              <w:bottom w:val="single" w:sz="8" w:color="00C08A"/>
            </w:tcBorders>
          </w:tcPr>
          <w:p>
            <w:pPr>
              <w:spacing w:after="0"/>
              <w:rPr>
                <w:sz w:val="24"/>
                <w:szCs w:val="24"/>
                <w:color w:val="auto"/>
              </w:rPr>
            </w:pPr>
          </w:p>
        </w:tc>
        <w:tc>
          <w:tcPr>
            <w:tcW w:w="1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w:t>
            </w:r>
          </w:p>
        </w:tc>
        <w:tc>
          <w:tcPr>
            <w:tcW w:w="168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N&amp;CG</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80" w:type="dxa"/>
            <w:vAlign w:val="bottom"/>
          </w:tcPr>
          <w:p>
            <w:pPr>
              <w:spacing w:after="0"/>
              <w:rPr>
                <w:sz w:val="20"/>
                <w:szCs w:val="20"/>
                <w:color w:val="auto"/>
              </w:rPr>
            </w:pPr>
            <w:r>
              <w:rPr>
                <w:rFonts w:ascii="Arial" w:cs="Arial" w:eastAsia="Arial" w:hAnsi="Arial"/>
                <w:sz w:val="18"/>
                <w:szCs w:val="18"/>
                <w:color w:val="00C08A"/>
              </w:rPr>
              <w:t>BACKGROUND</w:t>
            </w:r>
          </w:p>
        </w:tc>
        <w:tc>
          <w:tcPr>
            <w:tcW w:w="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Ms. Minieri became a member of our board of directors in April 2021. She has more than 35 years’ experience in senior leadership positions in real estate and financial services, including serving as Deputy County Executive and Commissioner for Suffolk County Economic Development and Planning, President and Chief Operating Officer of Forest City Ratner Companies, as well as leadership roles in professional accounting, tax and consulting services. Since October 2016, she has served in various roles at RXR Realty (“</w:t>
      </w:r>
      <w:r>
        <w:rPr>
          <w:rFonts w:ascii="Arial" w:cs="Arial" w:eastAsia="Arial" w:hAnsi="Arial"/>
          <w:sz w:val="18"/>
          <w:szCs w:val="18"/>
          <w:b w:val="1"/>
          <w:bCs w:val="1"/>
          <w:color w:val="auto"/>
        </w:rPr>
        <w:t>RXR</w:t>
      </w:r>
      <w:r>
        <w:rPr>
          <w:rFonts w:ascii="Arial" w:cs="Arial" w:eastAsia="Arial" w:hAnsi="Arial"/>
          <w:sz w:val="18"/>
          <w:szCs w:val="18"/>
          <w:color w:val="auto"/>
        </w:rPr>
        <w:t>”), a private real estate group specializing in investment management, development, design, construction, leasing, financing and property management. She currently serves as Senior Executive Vice President and Senior Managing Director of Transit-Oriented Development for the New York Metro Region. Ms. Minieri has served on the board of local government development organizations and currently serves on numerous public and private boards including Trinity Place Holdings, Inc. She is a Certified Public Accountant and holds a BSBA from Hofstra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6350</wp:posOffset>
            </wp:positionV>
            <wp:extent cx="58293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434975</wp:posOffset>
            </wp:positionV>
            <wp:extent cx="75438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ind w:left="760"/>
        <w:spacing w:after="0"/>
        <w:tabs>
          <w:tab w:leader="none" w:pos="9920" w:val="left"/>
        </w:tabs>
        <w:rPr>
          <w:sz w:val="20"/>
          <w:szCs w:val="20"/>
          <w:color w:val="auto"/>
        </w:rPr>
      </w:pPr>
      <w:r>
        <w:rPr>
          <w:rFonts w:ascii="Arial" w:cs="Arial" w:eastAsia="Arial" w:hAnsi="Arial"/>
          <w:sz w:val="18"/>
          <w:szCs w:val="18"/>
          <w:color w:val="auto"/>
        </w:rPr>
        <w:t>​QUALIFICATIONS</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760" w:right="80"/>
        <w:spacing w:after="0" w:line="261" w:lineRule="auto"/>
        <w:rPr>
          <w:sz w:val="20"/>
          <w:szCs w:val="20"/>
          <w:color w:val="auto"/>
        </w:rPr>
      </w:pPr>
      <w:r>
        <w:rPr>
          <w:rFonts w:ascii="Arial" w:cs="Arial" w:eastAsia="Arial" w:hAnsi="Arial"/>
          <w:sz w:val="18"/>
          <w:szCs w:val="18"/>
          <w:color w:val="auto"/>
        </w:rPr>
        <w:t>Ms. Minieri’s previous experience in senior leadership positions in financial services and public company experience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14605</wp:posOffset>
            </wp:positionV>
            <wp:extent cx="58293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III Directors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four Class III directors will expire at the 2024 Annual Meeting.</w:t>
      </w:r>
    </w:p>
    <w:p>
      <w:pPr>
        <w:spacing w:after="0" w:line="200" w:lineRule="exact"/>
        <w:rPr>
          <w:sz w:val="20"/>
          <w:szCs w:val="20"/>
          <w:color w:val="auto"/>
        </w:rPr>
      </w:pP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434"/>
        </w:trPr>
        <w:tc>
          <w:tcPr>
            <w:tcW w:w="1980" w:type="dxa"/>
            <w:vAlign w:val="bottom"/>
          </w:tcPr>
          <w:p>
            <w:pPr>
              <w:spacing w:after="0"/>
              <w:rPr>
                <w:sz w:val="20"/>
                <w:szCs w:val="20"/>
                <w:color w:val="auto"/>
              </w:rPr>
            </w:pPr>
            <w:r>
              <w:rPr>
                <w:rFonts w:ascii="Arial" w:cs="Arial" w:eastAsia="Arial" w:hAnsi="Arial"/>
                <w:sz w:val="36"/>
                <w:szCs w:val="36"/>
                <w:color w:val="00C08A"/>
              </w:rPr>
              <w:t>Virginia</w:t>
            </w:r>
          </w:p>
        </w:tc>
        <w:tc>
          <w:tcPr>
            <w:tcW w:w="700" w:type="dxa"/>
            <w:vAlign w:val="bottom"/>
            <w:vMerge w:val="restart"/>
          </w:tcPr>
          <w:p>
            <w:pPr>
              <w:ind w:left="500"/>
              <w:spacing w:after="0"/>
              <w:rPr>
                <w:sz w:val="20"/>
                <w:szCs w:val="20"/>
                <w:color w:val="auto"/>
              </w:rPr>
            </w:pPr>
            <w:r>
              <w:rPr>
                <w:rFonts w:ascii="Arial" w:cs="Arial" w:eastAsia="Arial" w:hAnsi="Arial"/>
                <w:sz w:val="18"/>
                <w:szCs w:val="18"/>
                <w:color w:val="00C08A"/>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00C08A"/>
              </w:rPr>
              <w:t>​ ​</w:t>
            </w: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C08A"/>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00C08A"/>
              </w:rPr>
              <w:t>​</w:t>
            </w:r>
          </w:p>
        </w:tc>
        <w:tc>
          <w:tcPr>
            <w:tcW w:w="0" w:type="dxa"/>
            <w:vAlign w:val="bottom"/>
          </w:tcPr>
          <w:p>
            <w:pPr>
              <w:spacing w:after="0"/>
              <w:rPr>
                <w:sz w:val="1"/>
                <w:szCs w:val="1"/>
                <w:color w:val="auto"/>
              </w:rPr>
            </w:pPr>
          </w:p>
        </w:tc>
      </w:tr>
      <w:tr>
        <w:trPr>
          <w:trHeight w:val="40"/>
        </w:trPr>
        <w:tc>
          <w:tcPr>
            <w:tcW w:w="1980" w:type="dxa"/>
            <w:vAlign w:val="bottom"/>
          </w:tcPr>
          <w:p>
            <w:pPr>
              <w:spacing w:after="0" w:line="41" w:lineRule="exact"/>
              <w:rPr>
                <w:sz w:val="20"/>
                <w:szCs w:val="20"/>
                <w:color w:val="auto"/>
              </w:rPr>
            </w:pPr>
            <w:r>
              <w:rPr>
                <w:rFonts w:ascii="Arial" w:cs="Arial" w:eastAsia="Arial" w:hAnsi="Arial"/>
                <w:sz w:val="4"/>
                <w:szCs w:val="4"/>
                <w:color w:val="00C08A"/>
              </w:rPr>
              <w:t>​</w:t>
            </w:r>
          </w:p>
        </w:tc>
        <w:tc>
          <w:tcPr>
            <w:tcW w:w="700" w:type="dxa"/>
            <w:vAlign w:val="bottom"/>
            <w:vMerge w:val="continue"/>
          </w:tcPr>
          <w:p>
            <w:pPr>
              <w:spacing w:after="0"/>
              <w:rPr>
                <w:sz w:val="3"/>
                <w:szCs w:val="3"/>
                <w:color w:val="auto"/>
              </w:rPr>
            </w:pPr>
          </w:p>
        </w:tc>
        <w:tc>
          <w:tcPr>
            <w:tcW w:w="19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9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Gambale</w:t>
            </w:r>
          </w:p>
        </w:tc>
        <w:tc>
          <w:tcPr>
            <w:tcW w:w="70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63</w:t>
            </w:r>
          </w:p>
        </w:tc>
        <w:tc>
          <w:tcPr>
            <w:tcW w:w="30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Risk</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980" w:type="dxa"/>
            <w:vAlign w:val="bottom"/>
          </w:tcPr>
          <w:p>
            <w:pPr>
              <w:spacing w:after="0"/>
              <w:rPr>
                <w:sz w:val="20"/>
                <w:szCs w:val="20"/>
                <w:color w:val="auto"/>
              </w:rPr>
            </w:pPr>
            <w:r>
              <w:rPr>
                <w:rFonts w:ascii="Arial" w:cs="Arial" w:eastAsia="Arial" w:hAnsi="Arial"/>
                <w:sz w:val="18"/>
                <w:szCs w:val="18"/>
                <w:color w:val="00C08A"/>
              </w:rPr>
              <w:t>BACKGROUND</w:t>
            </w: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180"/>
        <w:spacing w:after="0" w:line="250" w:lineRule="auto"/>
        <w:rPr>
          <w:sz w:val="20"/>
          <w:szCs w:val="20"/>
          <w:color w:val="auto"/>
        </w:rPr>
      </w:pPr>
      <w:r>
        <w:rPr>
          <w:rFonts w:ascii="Arial" w:cs="Arial" w:eastAsia="Arial" w:hAnsi="Arial"/>
          <w:sz w:val="18"/>
          <w:szCs w:val="18"/>
          <w:color w:val="auto"/>
        </w:rPr>
        <w:t>Ms. Gambale became a member of our board of directors in January 2020. Ms. Gambale is Managing Partner of Azimuth Partners LLC, a technology advisory firm facilitating the growth and adoption of emerging technologies for financial services, consumer and technology companies. Prior to starting Azimuth Partners in 2003, Ms. Gambale was an Investment Partner at Deutsche Bank Capital and ABS Ventures from 1999 to 2003. Prior to that, Ms. Gambale held the position of Chief Information Officer at Bankers Trust Alex Brown and Merrill Lynch.</w:t>
      </w:r>
    </w:p>
    <w:p>
      <w:pPr>
        <w:spacing w:after="0" w:line="2" w:lineRule="exact"/>
        <w:rPr>
          <w:sz w:val="20"/>
          <w:szCs w:val="20"/>
          <w:color w:val="auto"/>
        </w:rPr>
      </w:pPr>
    </w:p>
    <w:p>
      <w:pPr>
        <w:ind w:left="760" w:right="220"/>
        <w:spacing w:after="0" w:line="271" w:lineRule="auto"/>
        <w:rPr>
          <w:sz w:val="20"/>
          <w:szCs w:val="20"/>
          <w:color w:val="auto"/>
        </w:rPr>
      </w:pPr>
      <w:r>
        <w:rPr>
          <w:rFonts w:ascii="Arial" w:cs="Arial" w:eastAsia="Arial" w:hAnsi="Arial"/>
          <w:sz w:val="17"/>
          <w:szCs w:val="17"/>
          <w:color w:val="auto"/>
        </w:rPr>
        <w:t>Ms. Gambale currently serves on the board of FD Technologies plc (LSE:FDP.L), Nutanix, Inc. (Nasdaq:NTNX), Jamf Holding Corp. (Nasdaq:JAMF) and serves on the NACD Risk Oversight Advisory Council and the Juilliard School Board of Trustees. She has also served on numerous international public and private boards including JetBlue Airways Corp., Piper Jaffray Companies, Regis Corp., Synchronoss Technologies, Motive, Inc., Workbrain and IQ Financial, among others. Ms. Gambale holds a B.S. from New York Institute of Technology-Old Westbury.</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180"/>
        <w:spacing w:after="0" w:line="261" w:lineRule="auto"/>
        <w:rPr>
          <w:sz w:val="20"/>
          <w:szCs w:val="20"/>
          <w:color w:val="auto"/>
        </w:rPr>
      </w:pPr>
      <w:r>
        <w:rPr>
          <w:rFonts w:ascii="Arial" w:cs="Arial" w:eastAsia="Arial" w:hAnsi="Arial"/>
          <w:sz w:val="18"/>
          <w:szCs w:val="18"/>
          <w:color w:val="auto"/>
        </w:rPr>
        <w:t>Ms. Gambale’s previous experience in senior leadership positions in finance and technology and previous services on the boards of other public companies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880" w:type="dxa"/>
            <w:vAlign w:val="bottom"/>
          </w:tcPr>
          <w:p>
            <w:pPr>
              <w:spacing w:after="0"/>
              <w:rPr>
                <w:sz w:val="20"/>
                <w:szCs w:val="20"/>
                <w:color w:val="auto"/>
              </w:rPr>
            </w:pPr>
            <w:r>
              <w:rPr>
                <w:rFonts w:ascii="Arial" w:cs="Arial" w:eastAsia="Arial" w:hAnsi="Arial"/>
                <w:sz w:val="36"/>
                <w:szCs w:val="36"/>
                <w:color w:val="00C08A"/>
              </w:rPr>
              <w:t>John D.</w:t>
            </w:r>
          </w:p>
        </w:tc>
        <w:tc>
          <w:tcPr>
            <w:tcW w:w="800" w:type="dxa"/>
            <w:vAlign w:val="bottom"/>
          </w:tcPr>
          <w:p>
            <w:pPr>
              <w:spacing w:after="0"/>
              <w:rPr>
                <w:sz w:val="24"/>
                <w:szCs w:val="24"/>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tcPr>
          <w:p>
            <w:pPr>
              <w:spacing w:after="0"/>
              <w:rPr>
                <w:sz w:val="24"/>
                <w:szCs w:val="24"/>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24"/>
                <w:szCs w:val="24"/>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800" w:type="dxa"/>
            <w:vAlign w:val="bottom"/>
          </w:tcPr>
          <w:p>
            <w:pPr>
              <w:ind w:left="600"/>
              <w:spacing w:after="0" w:line="162" w:lineRule="exact"/>
              <w:rPr>
                <w:sz w:val="20"/>
                <w:szCs w:val="20"/>
                <w:color w:val="auto"/>
              </w:rPr>
            </w:pPr>
            <w:r>
              <w:rPr>
                <w:rFonts w:ascii="Arial" w:cs="Arial" w:eastAsia="Arial" w:hAnsi="Arial"/>
                <w:sz w:val="18"/>
                <w:szCs w:val="18"/>
                <w:color w:val="auto"/>
              </w:rPr>
              <w:t>​ ​</w:t>
            </w:r>
          </w:p>
        </w:tc>
        <w:tc>
          <w:tcPr>
            <w:tcW w:w="1920" w:type="dxa"/>
            <w:vAlign w:val="bottom"/>
            <w:vMerge w:val="continue"/>
          </w:tcPr>
          <w:p>
            <w:pPr>
              <w:spacing w:after="0"/>
              <w:rPr>
                <w:sz w:val="14"/>
                <w:szCs w:val="14"/>
                <w:color w:val="auto"/>
              </w:rPr>
            </w:pPr>
          </w:p>
        </w:tc>
        <w:tc>
          <w:tcPr>
            <w:tcW w:w="300" w:type="dxa"/>
            <w:vAlign w:val="bottom"/>
          </w:tcPr>
          <w:p>
            <w:pPr>
              <w:ind w:left="120"/>
              <w:spacing w:after="0" w:line="162" w:lineRule="exact"/>
              <w:rPr>
                <w:sz w:val="20"/>
                <w:szCs w:val="20"/>
                <w:color w:val="auto"/>
              </w:rPr>
            </w:pPr>
            <w:r>
              <w:rPr>
                <w:rFonts w:ascii="Arial" w:cs="Arial" w:eastAsia="Arial" w:hAnsi="Arial"/>
                <w:sz w:val="18"/>
                <w:szCs w:val="18"/>
                <w:color w:val="auto"/>
              </w:rPr>
              <w:t>​ ​</w:t>
            </w:r>
          </w:p>
        </w:tc>
        <w:tc>
          <w:tcPr>
            <w:tcW w:w="1840" w:type="dxa"/>
            <w:vAlign w:val="bottom"/>
          </w:tcPr>
          <w:p>
            <w:pPr>
              <w:ind w:left="20"/>
              <w:spacing w:after="0" w:line="162" w:lineRule="exact"/>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Audit</w:t>
            </w:r>
          </w:p>
        </w:tc>
        <w:tc>
          <w:tcPr>
            <w:tcW w:w="380" w:type="dxa"/>
            <w:vAlign w:val="bottom"/>
          </w:tcPr>
          <w:p>
            <w:pPr>
              <w:ind w:left="200"/>
              <w:spacing w:after="0" w:line="162" w:lineRule="exact"/>
              <w:rPr>
                <w:sz w:val="20"/>
                <w:szCs w:val="20"/>
                <w:color w:val="auto"/>
              </w:rPr>
            </w:pPr>
            <w:r>
              <w:rPr>
                <w:rFonts w:ascii="Arial" w:cs="Arial" w:eastAsia="Arial" w:hAnsi="Arial"/>
                <w:sz w:val="18"/>
                <w:szCs w:val="18"/>
                <w:color w:val="auto"/>
              </w:rPr>
              <w:t>​ ​</w:t>
            </w:r>
          </w:p>
        </w:tc>
        <w:tc>
          <w:tcPr>
            <w:tcW w:w="1660" w:type="dxa"/>
            <w:vAlign w:val="bottom"/>
            <w:vMerge w:val="continue"/>
          </w:tcPr>
          <w:p>
            <w:pPr>
              <w:spacing w:after="0"/>
              <w:rPr>
                <w:sz w:val="14"/>
                <w:szCs w:val="14"/>
                <w:color w:val="auto"/>
              </w:rPr>
            </w:pPr>
          </w:p>
        </w:tc>
        <w:tc>
          <w:tcPr>
            <w:tcW w:w="4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8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Nixon</w:t>
            </w:r>
          </w:p>
        </w:tc>
        <w:tc>
          <w:tcPr>
            <w:tcW w:w="80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67</w:t>
            </w:r>
          </w:p>
        </w:tc>
        <w:tc>
          <w:tcPr>
            <w:tcW w:w="30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N&amp;CG</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100"/>
        <w:spacing w:after="0" w:line="250" w:lineRule="auto"/>
        <w:rPr>
          <w:sz w:val="20"/>
          <w:szCs w:val="20"/>
          <w:color w:val="auto"/>
        </w:rPr>
      </w:pPr>
      <w:r>
        <w:rPr>
          <w:rFonts w:ascii="Arial" w:cs="Arial" w:eastAsia="Arial" w:hAnsi="Arial"/>
          <w:sz w:val="18"/>
          <w:szCs w:val="18"/>
          <w:color w:val="auto"/>
        </w:rPr>
        <w:t>Mr. Nixon became a member of our board of directors in May 2015. Mr. Nixon has more than 30 years of international experience in the interdealer broker industry with ICAP plc (“</w:t>
      </w:r>
      <w:r>
        <w:rPr>
          <w:rFonts w:ascii="Arial" w:cs="Arial" w:eastAsia="Arial" w:hAnsi="Arial"/>
          <w:sz w:val="18"/>
          <w:szCs w:val="18"/>
          <w:b w:val="1"/>
          <w:bCs w:val="1"/>
          <w:color w:val="auto"/>
        </w:rPr>
        <w:t>ICAP</w:t>
      </w:r>
      <w:r>
        <w:rPr>
          <w:rFonts w:ascii="Arial" w:cs="Arial" w:eastAsia="Arial" w:hAnsi="Arial"/>
          <w:sz w:val="18"/>
          <w:szCs w:val="18"/>
          <w:color w:val="auto"/>
        </w:rPr>
        <w:t>”) and, previously, with Tullett Prebon. He served as a non-executive director of ICAP from 1998 to 2002 and served as executive director from May 2008 until his retirement in March 2015. Mr. Nixon was a member of ICAP’s Global Executive Management Group from 2003 to 2015 with responsibility during that period for business divisions and strategic acquisitions. He represented the ICAP Americas businesses to the ICAP board, was chairman of the i-Swap business and had been responsible for the implementation of the ICAP Swap Execution Facility. In addition to serving on our board,</w:t>
      </w:r>
    </w:p>
    <w:p>
      <w:pPr>
        <w:spacing w:after="0" w:line="3"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Mr. Nixon serves as our representative on the board of Eris Innovations Holdings LLC, as a senior financial services advisor to Temasek USA and as a member of the board of directors of Eastdil Secured on behalf of Temasek. Mr. Nixon holds a degree in Commerce from Queen’s University, Ontario.</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140"/>
        <w:spacing w:after="0" w:line="261" w:lineRule="auto"/>
        <w:rPr>
          <w:sz w:val="20"/>
          <w:szCs w:val="20"/>
          <w:color w:val="auto"/>
        </w:rPr>
      </w:pPr>
      <w:r>
        <w:rPr>
          <w:rFonts w:ascii="Arial" w:cs="Arial" w:eastAsia="Arial" w:hAnsi="Arial"/>
          <w:sz w:val="18"/>
          <w:szCs w:val="18"/>
          <w:color w:val="auto"/>
        </w:rPr>
        <w:t>Mr. Nixon’s extensive business experience in the interdealer broker industry as well as his operational and strategic expertise in the financial services industry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PROPOSAL 1: ELECTION OF DIRECTORS</w:t>
      </w:r>
    </w:p>
    <w:p>
      <w:pPr>
        <w:spacing w:after="0" w:line="41"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900" w:type="dxa"/>
            <w:vAlign w:val="bottom"/>
          </w:tcPr>
          <w:p>
            <w:pPr>
              <w:spacing w:after="0"/>
              <w:rPr>
                <w:sz w:val="20"/>
                <w:szCs w:val="20"/>
                <w:color w:val="auto"/>
              </w:rPr>
            </w:pPr>
            <w:r>
              <w:rPr>
                <w:rFonts w:ascii="Arial" w:cs="Arial" w:eastAsia="Arial" w:hAnsi="Arial"/>
                <w:sz w:val="36"/>
                <w:szCs w:val="36"/>
                <w:color w:val="00C08A"/>
              </w:rPr>
              <w:t>David J.</w:t>
            </w:r>
          </w:p>
        </w:tc>
        <w:tc>
          <w:tcPr>
            <w:tcW w:w="780" w:type="dxa"/>
            <w:vAlign w:val="bottom"/>
          </w:tcPr>
          <w:p>
            <w:pPr>
              <w:spacing w:after="0"/>
              <w:rPr>
                <w:sz w:val="24"/>
                <w:szCs w:val="24"/>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tcPr>
          <w:p>
            <w:pPr>
              <w:spacing w:after="0"/>
              <w:rPr>
                <w:sz w:val="24"/>
                <w:szCs w:val="24"/>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24"/>
                <w:szCs w:val="24"/>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tcPr>
          <w:p>
            <w:pPr>
              <w:ind w:left="580"/>
              <w:spacing w:after="0" w:line="189" w:lineRule="exact"/>
              <w:rPr>
                <w:sz w:val="20"/>
                <w:szCs w:val="20"/>
                <w:color w:val="auto"/>
              </w:rPr>
            </w:pPr>
            <w:r>
              <w:rPr>
                <w:rFonts w:ascii="Arial" w:cs="Arial" w:eastAsia="Arial" w:hAnsi="Arial"/>
                <w:sz w:val="18"/>
                <w:szCs w:val="18"/>
                <w:color w:val="auto"/>
              </w:rPr>
              <w:t>​ ​</w:t>
            </w:r>
          </w:p>
        </w:tc>
        <w:tc>
          <w:tcPr>
            <w:tcW w:w="1920" w:type="dxa"/>
            <w:vAlign w:val="bottom"/>
            <w:vMerge w:val="continue"/>
          </w:tcPr>
          <w:p>
            <w:pPr>
              <w:spacing w:after="0"/>
              <w:rPr>
                <w:sz w:val="16"/>
                <w:szCs w:val="16"/>
                <w:color w:val="auto"/>
              </w:rPr>
            </w:pPr>
          </w:p>
        </w:tc>
        <w:tc>
          <w:tcPr>
            <w:tcW w:w="300" w:type="dxa"/>
            <w:vAlign w:val="bottom"/>
          </w:tcPr>
          <w:p>
            <w:pPr>
              <w:ind w:left="120"/>
              <w:spacing w:after="0" w:line="189" w:lineRule="exact"/>
              <w:rPr>
                <w:sz w:val="20"/>
                <w:szCs w:val="20"/>
                <w:color w:val="auto"/>
              </w:rPr>
            </w:pPr>
            <w:r>
              <w:rPr>
                <w:rFonts w:ascii="Arial" w:cs="Arial" w:eastAsia="Arial" w:hAnsi="Arial"/>
                <w:sz w:val="18"/>
                <w:szCs w:val="18"/>
                <w:color w:val="auto"/>
              </w:rPr>
              <w:t>​ ​</w:t>
            </w:r>
          </w:p>
        </w:tc>
        <w:tc>
          <w:tcPr>
            <w:tcW w:w="160" w:type="dxa"/>
            <w:vAlign w:val="bottom"/>
          </w:tcPr>
          <w:p>
            <w:pPr>
              <w:ind w:left="20"/>
              <w:spacing w:after="0" w:line="189" w:lineRule="exact"/>
              <w:rPr>
                <w:sz w:val="20"/>
                <w:szCs w:val="20"/>
                <w:color w:val="auto"/>
              </w:rPr>
            </w:pPr>
            <w:r>
              <w:rPr>
                <w:rFonts w:ascii="Arial" w:cs="Arial" w:eastAsia="Arial" w:hAnsi="Arial"/>
                <w:sz w:val="18"/>
                <w:szCs w:val="18"/>
                <w:color w:val="002453"/>
              </w:rPr>
              <w:t>•</w:t>
            </w:r>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Compensation</w:t>
            </w:r>
          </w:p>
        </w:tc>
        <w:tc>
          <w:tcPr>
            <w:tcW w:w="380" w:type="dxa"/>
            <w:vAlign w:val="bottom"/>
          </w:tcPr>
          <w:p>
            <w:pPr>
              <w:ind w:left="200"/>
              <w:spacing w:after="0" w:line="189" w:lineRule="exact"/>
              <w:rPr>
                <w:sz w:val="20"/>
                <w:szCs w:val="20"/>
                <w:color w:val="auto"/>
              </w:rPr>
            </w:pPr>
            <w:r>
              <w:rPr>
                <w:rFonts w:ascii="Arial" w:cs="Arial" w:eastAsia="Arial" w:hAnsi="Arial"/>
                <w:sz w:val="18"/>
                <w:szCs w:val="18"/>
                <w:color w:val="auto"/>
              </w:rPr>
              <w:t>​ ​</w:t>
            </w:r>
          </w:p>
        </w:tc>
        <w:tc>
          <w:tcPr>
            <w:tcW w:w="1660" w:type="dxa"/>
            <w:vAlign w:val="bottom"/>
            <w:vMerge w:val="continue"/>
          </w:tcPr>
          <w:p>
            <w:pPr>
              <w:spacing w:after="0"/>
              <w:rPr>
                <w:sz w:val="16"/>
                <w:szCs w:val="16"/>
                <w:color w:val="auto"/>
              </w:rPr>
            </w:pPr>
          </w:p>
        </w:tc>
        <w:tc>
          <w:tcPr>
            <w:tcW w:w="4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90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Urban</w:t>
            </w:r>
          </w:p>
        </w:tc>
        <w:tc>
          <w:tcPr>
            <w:tcW w:w="780" w:type="dxa"/>
            <w:vAlign w:val="bottom"/>
            <w:tcBorders>
              <w:bottom w:val="single" w:sz="8" w:color="00C08A"/>
            </w:tcBorders>
          </w:tcPr>
          <w:p>
            <w:pPr>
              <w:spacing w:after="0"/>
              <w:rPr>
                <w:sz w:val="22"/>
                <w:szCs w:val="22"/>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59</w:t>
            </w:r>
          </w:p>
        </w:tc>
        <w:tc>
          <w:tcPr>
            <w:tcW w:w="300" w:type="dxa"/>
            <w:vAlign w:val="bottom"/>
            <w:tcBorders>
              <w:bottom w:val="single" w:sz="8" w:color="00C08A"/>
            </w:tcBorders>
          </w:tcPr>
          <w:p>
            <w:pPr>
              <w:spacing w:after="0"/>
              <w:rPr>
                <w:sz w:val="22"/>
                <w:szCs w:val="22"/>
                <w:color w:val="auto"/>
              </w:rPr>
            </w:pPr>
          </w:p>
        </w:tc>
        <w:tc>
          <w:tcPr>
            <w:tcW w:w="1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w:t>
            </w:r>
          </w:p>
        </w:tc>
        <w:tc>
          <w:tcPr>
            <w:tcW w:w="168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Risk</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00C08A"/>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8"/>
                <w:szCs w:val="18"/>
                <w:color w:val="00C08A"/>
              </w:rPr>
              <w:t>BACKGROUND</w:t>
            </w: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120"/>
        <w:spacing w:after="0" w:line="251" w:lineRule="auto"/>
        <w:rPr>
          <w:sz w:val="20"/>
          <w:szCs w:val="20"/>
          <w:color w:val="auto"/>
        </w:rPr>
      </w:pPr>
      <w:r>
        <w:rPr>
          <w:rFonts w:ascii="Arial" w:cs="Arial" w:eastAsia="Arial" w:hAnsi="Arial"/>
          <w:sz w:val="18"/>
          <w:szCs w:val="18"/>
          <w:color w:val="auto"/>
        </w:rPr>
        <w:t>Mr. Urban has more than 20 years’ experience in senior leadership positions in business and governmental roles, currently serving as Managing Director to BGR Group, a bi-partisan lobbying, strategic communications and business solutions firm, and Senior Advisor to Gothams, a firm designed to augment emergency management response capabilities, since April 2022 and January 2022, respectively. Previously, from July 2020 to January 2022, he served as Executive Vice President, North American Corporate Affairs at ByteDance, the parent company of TikTok, a leading social network, and from January 2002 to July 2020, as President of the American Continental Group, a leading bi-partisan government affairs and strategic consulting firm which provided consulting services to diverse organizations including those across the financial services and technology sectors. Mr. Urban previously served as the Chief of Staff for a U.S. Senator, a lawyer in private practice and as an officer in the U.S. Army’s 101st Airborne Division where he was awarded the Bronze Star. Mr. Urban is a member of the National Association of Corporate Directors and serves as a board member at Stratolaunch and SubCom. Mr. Urban holds a B.S. from the United States Military Academy at West Point, a J.D. from the Beasley School of Law, Temple University, an M.P.A. from the Fels Institute of Government, University of Pennsylvania, a Certificate in Leading Sustainable Corporations from the Saide Business School, University of Oxford, and a Certificate in Geopolitical Analysis from Stratfor/Florida Atlantic University.</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260"/>
        <w:spacing w:after="0" w:line="261" w:lineRule="auto"/>
        <w:rPr>
          <w:sz w:val="20"/>
          <w:szCs w:val="20"/>
          <w:color w:val="auto"/>
        </w:rPr>
      </w:pPr>
      <w:r>
        <w:rPr>
          <w:rFonts w:ascii="Arial" w:cs="Arial" w:eastAsia="Arial" w:hAnsi="Arial"/>
          <w:sz w:val="18"/>
          <w:szCs w:val="18"/>
          <w:color w:val="auto"/>
        </w:rPr>
        <w:t>Mr. Urban’s governmental relations experience and his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60" w:type="dxa"/>
            <w:vAlign w:val="bottom"/>
          </w:tcPr>
          <w:p>
            <w:pPr>
              <w:spacing w:after="0"/>
              <w:rPr>
                <w:sz w:val="20"/>
                <w:szCs w:val="20"/>
                <w:color w:val="auto"/>
              </w:rPr>
            </w:pPr>
            <w:r>
              <w:rPr>
                <w:rFonts w:ascii="Arial" w:cs="Arial" w:eastAsia="Arial" w:hAnsi="Arial"/>
                <w:sz w:val="36"/>
                <w:szCs w:val="36"/>
                <w:color w:val="00C08A"/>
              </w:rPr>
              <w:t>Michael T.</w:t>
            </w:r>
          </w:p>
        </w:tc>
        <w:tc>
          <w:tcPr>
            <w:tcW w:w="620" w:type="dxa"/>
            <w:vAlign w:val="bottom"/>
          </w:tcPr>
          <w:p>
            <w:pPr>
              <w:spacing w:after="0"/>
              <w:rPr>
                <w:sz w:val="24"/>
                <w:szCs w:val="24"/>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Director</w:t>
            </w:r>
          </w:p>
        </w:tc>
        <w:tc>
          <w:tcPr>
            <w:tcW w:w="840" w:type="dxa"/>
            <w:vAlign w:val="bottom"/>
          </w:tcPr>
          <w:p>
            <w:pPr>
              <w:spacing w:after="0"/>
              <w:rPr>
                <w:sz w:val="24"/>
                <w:szCs w:val="24"/>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24"/>
                <w:szCs w:val="24"/>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620" w:type="dxa"/>
            <w:vAlign w:val="bottom"/>
          </w:tcPr>
          <w:p>
            <w:pPr>
              <w:ind w:left="420"/>
              <w:spacing w:after="0" w:line="162" w:lineRule="exact"/>
              <w:rPr>
                <w:sz w:val="20"/>
                <w:szCs w:val="20"/>
                <w:color w:val="auto"/>
              </w:rPr>
            </w:pPr>
            <w:r>
              <w:rPr>
                <w:rFonts w:ascii="Arial" w:cs="Arial" w:eastAsia="Arial" w:hAnsi="Arial"/>
                <w:sz w:val="18"/>
                <w:szCs w:val="18"/>
                <w:color w:val="auto"/>
              </w:rPr>
              <w:t>​ ​</w:t>
            </w:r>
          </w:p>
        </w:tc>
        <w:tc>
          <w:tcPr>
            <w:tcW w:w="1380" w:type="dxa"/>
            <w:vAlign w:val="bottom"/>
            <w:vMerge w:val="continue"/>
          </w:tcPr>
          <w:p>
            <w:pPr>
              <w:spacing w:after="0"/>
              <w:rPr>
                <w:sz w:val="14"/>
                <w:szCs w:val="14"/>
                <w:color w:val="auto"/>
              </w:rPr>
            </w:pPr>
          </w:p>
        </w:tc>
        <w:tc>
          <w:tcPr>
            <w:tcW w:w="840" w:type="dxa"/>
            <w:vAlign w:val="bottom"/>
          </w:tcPr>
          <w:p>
            <w:pPr>
              <w:ind w:left="660"/>
              <w:spacing w:after="0" w:line="162" w:lineRule="exact"/>
              <w:rPr>
                <w:sz w:val="20"/>
                <w:szCs w:val="20"/>
                <w:color w:val="auto"/>
              </w:rPr>
            </w:pPr>
            <w:r>
              <w:rPr>
                <w:rFonts w:ascii="Arial" w:cs="Arial" w:eastAsia="Arial" w:hAnsi="Arial"/>
                <w:sz w:val="18"/>
                <w:szCs w:val="18"/>
                <w:color w:val="auto"/>
              </w:rPr>
              <w:t>​ ​</w:t>
            </w:r>
          </w:p>
        </w:tc>
        <w:tc>
          <w:tcPr>
            <w:tcW w:w="1840" w:type="dxa"/>
            <w:vAlign w:val="bottom"/>
          </w:tcPr>
          <w:p>
            <w:pPr>
              <w:ind w:left="20"/>
              <w:spacing w:after="0" w:line="162" w:lineRule="exact"/>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N&amp;CG</w:t>
            </w:r>
          </w:p>
        </w:tc>
        <w:tc>
          <w:tcPr>
            <w:tcW w:w="380" w:type="dxa"/>
            <w:vAlign w:val="bottom"/>
          </w:tcPr>
          <w:p>
            <w:pPr>
              <w:ind w:left="200"/>
              <w:spacing w:after="0" w:line="162" w:lineRule="exact"/>
              <w:rPr>
                <w:sz w:val="20"/>
                <w:szCs w:val="20"/>
                <w:color w:val="auto"/>
              </w:rPr>
            </w:pPr>
            <w:r>
              <w:rPr>
                <w:rFonts w:ascii="Arial" w:cs="Arial" w:eastAsia="Arial" w:hAnsi="Arial"/>
                <w:sz w:val="18"/>
                <w:szCs w:val="18"/>
                <w:color w:val="auto"/>
              </w:rPr>
              <w:t>​ ​</w:t>
            </w:r>
          </w:p>
        </w:tc>
        <w:tc>
          <w:tcPr>
            <w:tcW w:w="1660" w:type="dxa"/>
            <w:vAlign w:val="bottom"/>
            <w:vMerge w:val="continue"/>
          </w:tcPr>
          <w:p>
            <w:pPr>
              <w:spacing w:after="0"/>
              <w:rPr>
                <w:sz w:val="14"/>
                <w:szCs w:val="14"/>
                <w:color w:val="auto"/>
              </w:rPr>
            </w:pPr>
          </w:p>
        </w:tc>
        <w:tc>
          <w:tcPr>
            <w:tcW w:w="4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06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Viola</w:t>
            </w:r>
          </w:p>
        </w:tc>
        <w:tc>
          <w:tcPr>
            <w:tcW w:w="620" w:type="dxa"/>
            <w:vAlign w:val="bottom"/>
            <w:tcBorders>
              <w:bottom w:val="single" w:sz="8" w:color="00C08A"/>
            </w:tcBorders>
          </w:tcPr>
          <w:p>
            <w:pPr>
              <w:spacing w:after="0"/>
              <w:rPr>
                <w:sz w:val="24"/>
                <w:szCs w:val="24"/>
                <w:color w:val="auto"/>
              </w:rPr>
            </w:pPr>
          </w:p>
        </w:tc>
        <w:tc>
          <w:tcPr>
            <w:tcW w:w="13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36</w:t>
            </w:r>
          </w:p>
        </w:tc>
        <w:tc>
          <w:tcPr>
            <w:tcW w:w="84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Risk</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60" w:type="dxa"/>
            <w:vAlign w:val="bottom"/>
          </w:tcPr>
          <w:p>
            <w:pPr>
              <w:spacing w:after="0"/>
              <w:rPr>
                <w:sz w:val="20"/>
                <w:szCs w:val="20"/>
                <w:color w:val="auto"/>
              </w:rPr>
            </w:pPr>
            <w:r>
              <w:rPr>
                <w:rFonts w:ascii="Arial" w:cs="Arial" w:eastAsia="Arial" w:hAnsi="Arial"/>
                <w:sz w:val="18"/>
                <w:szCs w:val="18"/>
                <w:color w:val="00C08A"/>
              </w:rPr>
              <w:t>BACKGROUND</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140"/>
        <w:spacing w:after="0" w:line="270" w:lineRule="auto"/>
        <w:rPr>
          <w:sz w:val="20"/>
          <w:szCs w:val="20"/>
          <w:color w:val="auto"/>
        </w:rPr>
      </w:pPr>
      <w:r>
        <w:rPr>
          <w:rFonts w:ascii="Arial" w:cs="Arial" w:eastAsia="Arial" w:hAnsi="Arial"/>
          <w:sz w:val="17"/>
          <w:szCs w:val="17"/>
          <w:color w:val="auto"/>
        </w:rPr>
        <w:t>Mr. Viola became a member of our board of directors in April 2016 and was appointed Chairman in April 2023. Mr. Viola previously served the Company in a variety of roles since 2011, most recently as a senior trader focused on foreign exchange products and global commodities. Since 2016, Mr. Viola has served as the President of the Viola family’s private investment office, located in New York City. In addition, Mr. Viola is a member of the board of directors of Independent Bank Group, Inc. (Nasdaq:IBTX), which he joined in February 2013, as well as several other private companies and non-profit organizations. Mr. Viola holds a B.S. in Finance from Pepperdine University.</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320"/>
        <w:spacing w:after="0" w:line="261" w:lineRule="auto"/>
        <w:rPr>
          <w:sz w:val="20"/>
          <w:szCs w:val="20"/>
          <w:color w:val="auto"/>
        </w:rPr>
      </w:pPr>
      <w:r>
        <w:rPr>
          <w:rFonts w:ascii="Arial" w:cs="Arial" w:eastAsia="Arial" w:hAnsi="Arial"/>
          <w:sz w:val="18"/>
          <w:szCs w:val="18"/>
          <w:color w:val="auto"/>
        </w:rPr>
        <w:t>Mr. Viola’s significant experience in electronic market making and his experience as the director of another public company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1729105</wp:posOffset>
            </wp:positionV>
            <wp:extent cx="75438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executive officers.</w:t>
      </w:r>
    </w:p>
    <w:p>
      <w:pPr>
        <w:spacing w:after="0" w:line="257"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920" w:type="dxa"/>
            <w:vAlign w:val="bottom"/>
          </w:tcPr>
          <w:p>
            <w:pPr>
              <w:spacing w:after="0"/>
              <w:rPr>
                <w:sz w:val="20"/>
                <w:szCs w:val="20"/>
                <w:color w:val="auto"/>
              </w:rPr>
            </w:pPr>
            <w:r>
              <w:rPr>
                <w:rFonts w:ascii="Arial" w:cs="Arial" w:eastAsia="Arial" w:hAnsi="Arial"/>
                <w:sz w:val="36"/>
                <w:szCs w:val="36"/>
                <w:color w:val="00C08A"/>
              </w:rPr>
              <w:t>Stephen</w:t>
            </w:r>
          </w:p>
        </w:tc>
        <w:tc>
          <w:tcPr>
            <w:tcW w:w="760" w:type="dxa"/>
            <w:vAlign w:val="bottom"/>
          </w:tcPr>
          <w:p>
            <w:pPr>
              <w:spacing w:after="0"/>
              <w:rPr>
                <w:sz w:val="24"/>
                <w:szCs w:val="24"/>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Executive Vice</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Pr>
          <w:p>
            <w:pPr>
              <w:spacing w:after="0" w:line="185" w:lineRule="exact"/>
              <w:rPr>
                <w:sz w:val="20"/>
                <w:szCs w:val="20"/>
                <w:color w:val="auto"/>
              </w:rPr>
            </w:pPr>
            <w:r>
              <w:rPr>
                <w:rFonts w:ascii="Arial" w:cs="Arial" w:eastAsia="Arial" w:hAnsi="Arial"/>
                <w:sz w:val="18"/>
                <w:szCs w:val="18"/>
                <w:b w:val="1"/>
                <w:bCs w:val="1"/>
                <w:color w:val="00C08A"/>
              </w:rPr>
              <w:t>​</w:t>
            </w:r>
          </w:p>
        </w:tc>
        <w:tc>
          <w:tcPr>
            <w:tcW w:w="760" w:type="dxa"/>
            <w:vAlign w:val="bottom"/>
          </w:tcPr>
          <w:p>
            <w:pPr>
              <w:ind w:left="560"/>
              <w:spacing w:after="0" w:line="185" w:lineRule="exact"/>
              <w:rPr>
                <w:sz w:val="20"/>
                <w:szCs w:val="20"/>
                <w:color w:val="auto"/>
              </w:rPr>
            </w:pPr>
            <w:r>
              <w:rPr>
                <w:rFonts w:ascii="Arial" w:cs="Arial" w:eastAsia="Arial" w:hAnsi="Arial"/>
                <w:sz w:val="18"/>
                <w:szCs w:val="18"/>
                <w:b w:val="1"/>
                <w:bCs w:val="1"/>
                <w:color w:val="00C08A"/>
              </w:rPr>
              <w:t>​ ​</w:t>
            </w:r>
          </w:p>
        </w:tc>
        <w:tc>
          <w:tcPr>
            <w:tcW w:w="1820" w:type="dxa"/>
            <w:vAlign w:val="bottom"/>
          </w:tcPr>
          <w:p>
            <w:pPr>
              <w:ind w:left="20"/>
              <w:spacing w:after="0" w:line="185" w:lineRule="exact"/>
              <w:rPr>
                <w:sz w:val="20"/>
                <w:szCs w:val="20"/>
                <w:color w:val="auto"/>
              </w:rPr>
            </w:pPr>
            <w:r>
              <w:rPr>
                <w:rFonts w:ascii="Arial" w:cs="Arial" w:eastAsia="Arial" w:hAnsi="Arial"/>
                <w:sz w:val="18"/>
                <w:szCs w:val="18"/>
                <w:b w:val="1"/>
                <w:bCs w:val="1"/>
                <w:color w:val="00C08A"/>
              </w:rPr>
              <w:t>President, Markets</w:t>
            </w:r>
          </w:p>
        </w:tc>
        <w:tc>
          <w:tcPr>
            <w:tcW w:w="1460" w:type="dxa"/>
            <w:vAlign w:val="bottom"/>
          </w:tcPr>
          <w:p>
            <w:pPr>
              <w:ind w:left="220"/>
              <w:spacing w:after="0" w:line="185" w:lineRule="exact"/>
              <w:rPr>
                <w:sz w:val="20"/>
                <w:szCs w:val="20"/>
                <w:color w:val="auto"/>
              </w:rPr>
            </w:pPr>
            <w:r>
              <w:rPr>
                <w:rFonts w:ascii="Arial" w:cs="Arial" w:eastAsia="Arial" w:hAnsi="Arial"/>
                <w:sz w:val="18"/>
                <w:szCs w:val="18"/>
                <w:b w:val="1"/>
                <w:bCs w:val="1"/>
                <w:color w:val="00C08A"/>
              </w:rPr>
              <w:t>​ ​ ​</w:t>
            </w:r>
          </w:p>
        </w:tc>
        <w:tc>
          <w:tcPr>
            <w:tcW w:w="1160" w:type="dxa"/>
            <w:vAlign w:val="bottom"/>
          </w:tcPr>
          <w:p>
            <w:pPr>
              <w:ind w:left="980"/>
              <w:spacing w:after="0" w:line="185" w:lineRule="exact"/>
              <w:rPr>
                <w:sz w:val="20"/>
                <w:szCs w:val="20"/>
                <w:color w:val="auto"/>
              </w:rPr>
            </w:pPr>
            <w:r>
              <w:rPr>
                <w:rFonts w:ascii="Arial" w:cs="Arial" w:eastAsia="Arial" w:hAnsi="Arial"/>
                <w:sz w:val="18"/>
                <w:szCs w:val="18"/>
                <w:b w:val="1"/>
                <w:bCs w:val="1"/>
                <w:color w:val="00C08A"/>
              </w:rPr>
              <w:t>​ ​</w:t>
            </w:r>
          </w:p>
        </w:tc>
        <w:tc>
          <w:tcPr>
            <w:tcW w:w="1600" w:type="dxa"/>
            <w:vAlign w:val="bottom"/>
          </w:tcPr>
          <w:p>
            <w:pPr>
              <w:ind w:left="40"/>
              <w:spacing w:after="0" w:line="185" w:lineRule="exact"/>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83"/>
        </w:trPr>
        <w:tc>
          <w:tcPr>
            <w:tcW w:w="192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Cavoli</w:t>
            </w:r>
          </w:p>
        </w:tc>
        <w:tc>
          <w:tcPr>
            <w:tcW w:w="760" w:type="dxa"/>
            <w:vAlign w:val="bottom"/>
            <w:tcBorders>
              <w:bottom w:val="single" w:sz="8" w:color="00C08A"/>
            </w:tcBorders>
          </w:tcPr>
          <w:p>
            <w:pPr>
              <w:spacing w:after="0"/>
              <w:rPr>
                <w:sz w:val="24"/>
                <w:szCs w:val="24"/>
                <w:color w:val="auto"/>
              </w:rPr>
            </w:pPr>
          </w:p>
        </w:tc>
        <w:tc>
          <w:tcPr>
            <w:tcW w:w="18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54</w:t>
            </w:r>
          </w:p>
        </w:tc>
        <w:tc>
          <w:tcPr>
            <w:tcW w:w="14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920" w:type="dxa"/>
            <w:vAlign w:val="bottom"/>
          </w:tcPr>
          <w:p>
            <w:pPr>
              <w:spacing w:after="0"/>
              <w:rPr>
                <w:sz w:val="20"/>
                <w:szCs w:val="20"/>
                <w:color w:val="auto"/>
              </w:rPr>
            </w:pPr>
            <w:r>
              <w:rPr>
                <w:rFonts w:ascii="Arial" w:cs="Arial" w:eastAsia="Arial" w:hAnsi="Arial"/>
                <w:sz w:val="18"/>
                <w:szCs w:val="18"/>
                <w:color w:val="00C08A"/>
              </w:rPr>
              <w:t>BACKGROUND</w:t>
            </w:r>
          </w:p>
        </w:tc>
        <w:tc>
          <w:tcPr>
            <w:tcW w:w="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240"/>
        <w:spacing w:after="0" w:line="252" w:lineRule="auto"/>
        <w:rPr>
          <w:sz w:val="20"/>
          <w:szCs w:val="20"/>
          <w:color w:val="auto"/>
        </w:rPr>
      </w:pPr>
      <w:r>
        <w:rPr>
          <w:rFonts w:ascii="Arial" w:cs="Arial" w:eastAsia="Arial" w:hAnsi="Arial"/>
          <w:sz w:val="18"/>
          <w:szCs w:val="18"/>
          <w:color w:val="auto"/>
        </w:rPr>
        <w:t>Mr. Cavoli has been our Executive Vice President, Markets since December 2017, and previously served as our Senior Vice President, Strategy and Market Development since September 2015. Prior to joining Virtu, Mr. Cavoli was a Managing Director at Morgan Stanley in the electronic trading group, where he served in various roles from April 2004 to September 2015. Mr. Cavoli previously held positions at Instinet where he focused on U.S. equities trading and execution. Mr. Cavoli graduated from the U.S. Military Academy at West Point in 1992 and has served as an Infantry Officer in the United States Army.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3810</wp:posOffset>
            </wp:positionV>
            <wp:extent cx="5829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0"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80" w:type="dxa"/>
            <w:vAlign w:val="bottom"/>
          </w:tcPr>
          <w:p>
            <w:pPr>
              <w:spacing w:after="0"/>
              <w:rPr>
                <w:sz w:val="20"/>
                <w:szCs w:val="20"/>
                <w:color w:val="auto"/>
              </w:rPr>
            </w:pPr>
            <w:r>
              <w:rPr>
                <w:rFonts w:ascii="Arial" w:cs="Arial" w:eastAsia="Arial" w:hAnsi="Arial"/>
                <w:sz w:val="36"/>
                <w:szCs w:val="36"/>
                <w:color w:val="00C08A"/>
              </w:rPr>
              <w:t>Brett</w:t>
            </w:r>
          </w:p>
        </w:tc>
        <w:tc>
          <w:tcPr>
            <w:tcW w:w="600" w:type="dxa"/>
            <w:vAlign w:val="bottom"/>
          </w:tcPr>
          <w:p>
            <w:pPr>
              <w:spacing w:after="0"/>
              <w:rPr>
                <w:sz w:val="24"/>
                <w:szCs w:val="24"/>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Co-President and Co-</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80" w:type="dxa"/>
            <w:vAlign w:val="bottom"/>
          </w:tcPr>
          <w:p>
            <w:pPr>
              <w:spacing w:after="0" w:line="185" w:lineRule="exact"/>
              <w:rPr>
                <w:sz w:val="20"/>
                <w:szCs w:val="20"/>
                <w:color w:val="auto"/>
              </w:rPr>
            </w:pPr>
            <w:r>
              <w:rPr>
                <w:rFonts w:ascii="Arial" w:cs="Arial" w:eastAsia="Arial" w:hAnsi="Arial"/>
                <w:sz w:val="18"/>
                <w:szCs w:val="18"/>
                <w:b w:val="1"/>
                <w:bCs w:val="1"/>
                <w:color w:val="00C08A"/>
              </w:rPr>
              <w:t>​</w:t>
            </w:r>
          </w:p>
        </w:tc>
        <w:tc>
          <w:tcPr>
            <w:tcW w:w="600" w:type="dxa"/>
            <w:vAlign w:val="bottom"/>
          </w:tcPr>
          <w:p>
            <w:pPr>
              <w:ind w:left="400"/>
              <w:spacing w:after="0" w:line="185" w:lineRule="exact"/>
              <w:rPr>
                <w:sz w:val="20"/>
                <w:szCs w:val="20"/>
                <w:color w:val="auto"/>
              </w:rPr>
            </w:pPr>
            <w:r>
              <w:rPr>
                <w:rFonts w:ascii="Arial" w:cs="Arial" w:eastAsia="Arial" w:hAnsi="Arial"/>
                <w:sz w:val="18"/>
                <w:szCs w:val="18"/>
                <w:b w:val="1"/>
                <w:bCs w:val="1"/>
                <w:color w:val="00C08A"/>
              </w:rPr>
              <w:t>​ ​</w:t>
            </w:r>
          </w:p>
        </w:tc>
        <w:tc>
          <w:tcPr>
            <w:tcW w:w="2020" w:type="dxa"/>
            <w:vAlign w:val="bottom"/>
          </w:tcPr>
          <w:p>
            <w:pPr>
              <w:ind w:left="20"/>
              <w:spacing w:after="0" w:line="185" w:lineRule="exact"/>
              <w:rPr>
                <w:sz w:val="20"/>
                <w:szCs w:val="20"/>
                <w:color w:val="auto"/>
              </w:rPr>
            </w:pPr>
            <w:r>
              <w:rPr>
                <w:rFonts w:ascii="Arial" w:cs="Arial" w:eastAsia="Arial" w:hAnsi="Arial"/>
                <w:sz w:val="18"/>
                <w:szCs w:val="18"/>
                <w:b w:val="1"/>
                <w:bCs w:val="1"/>
                <w:color w:val="00C08A"/>
                <w:w w:val="99"/>
              </w:rPr>
              <w:t>Chief Operating Officer</w:t>
            </w:r>
          </w:p>
        </w:tc>
        <w:tc>
          <w:tcPr>
            <w:tcW w:w="1260" w:type="dxa"/>
            <w:vAlign w:val="bottom"/>
          </w:tcPr>
          <w:p>
            <w:pPr>
              <w:ind w:left="20"/>
              <w:spacing w:after="0" w:line="185" w:lineRule="exact"/>
              <w:rPr>
                <w:sz w:val="20"/>
                <w:szCs w:val="20"/>
                <w:color w:val="auto"/>
              </w:rPr>
            </w:pPr>
            <w:r>
              <w:rPr>
                <w:rFonts w:ascii="Arial" w:cs="Arial" w:eastAsia="Arial" w:hAnsi="Arial"/>
                <w:sz w:val="18"/>
                <w:szCs w:val="18"/>
                <w:b w:val="1"/>
                <w:bCs w:val="1"/>
                <w:color w:val="00C08A"/>
              </w:rPr>
              <w:t>​ ​ ​</w:t>
            </w:r>
          </w:p>
        </w:tc>
        <w:tc>
          <w:tcPr>
            <w:tcW w:w="1160" w:type="dxa"/>
            <w:vAlign w:val="bottom"/>
          </w:tcPr>
          <w:p>
            <w:pPr>
              <w:ind w:left="980"/>
              <w:spacing w:after="0" w:line="185" w:lineRule="exact"/>
              <w:rPr>
                <w:sz w:val="20"/>
                <w:szCs w:val="20"/>
                <w:color w:val="auto"/>
              </w:rPr>
            </w:pPr>
            <w:r>
              <w:rPr>
                <w:rFonts w:ascii="Arial" w:cs="Arial" w:eastAsia="Arial" w:hAnsi="Arial"/>
                <w:sz w:val="18"/>
                <w:szCs w:val="18"/>
                <w:b w:val="1"/>
                <w:bCs w:val="1"/>
                <w:color w:val="00C08A"/>
              </w:rPr>
              <w:t>​ ​</w:t>
            </w:r>
          </w:p>
        </w:tc>
        <w:tc>
          <w:tcPr>
            <w:tcW w:w="1600" w:type="dxa"/>
            <w:vAlign w:val="bottom"/>
          </w:tcPr>
          <w:p>
            <w:pPr>
              <w:ind w:left="40"/>
              <w:spacing w:after="0" w:line="185" w:lineRule="exact"/>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83"/>
        </w:trPr>
        <w:tc>
          <w:tcPr>
            <w:tcW w:w="20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Fairclough</w:t>
            </w:r>
          </w:p>
        </w:tc>
        <w:tc>
          <w:tcPr>
            <w:tcW w:w="600" w:type="dxa"/>
            <w:vAlign w:val="bottom"/>
            <w:tcBorders>
              <w:bottom w:val="single" w:sz="8" w:color="00C08A"/>
            </w:tcBorders>
          </w:tcPr>
          <w:p>
            <w:pPr>
              <w:spacing w:after="0"/>
              <w:rPr>
                <w:sz w:val="24"/>
                <w:szCs w:val="24"/>
                <w:color w:val="auto"/>
              </w:rPr>
            </w:pPr>
          </w:p>
        </w:tc>
        <w:tc>
          <w:tcPr>
            <w:tcW w:w="20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40</w:t>
            </w:r>
          </w:p>
        </w:tc>
        <w:tc>
          <w:tcPr>
            <w:tcW w:w="12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80" w:type="dxa"/>
            <w:vAlign w:val="bottom"/>
          </w:tcPr>
          <w:p>
            <w:pPr>
              <w:spacing w:after="0"/>
              <w:rPr>
                <w:sz w:val="20"/>
                <w:szCs w:val="20"/>
                <w:color w:val="auto"/>
              </w:rPr>
            </w:pPr>
            <w:r>
              <w:rPr>
                <w:rFonts w:ascii="Arial" w:cs="Arial" w:eastAsia="Arial" w:hAnsi="Arial"/>
                <w:sz w:val="18"/>
                <w:szCs w:val="18"/>
                <w:color w:val="00C08A"/>
              </w:rPr>
              <w:t>BACKGROUND</w:t>
            </w: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180"/>
        <w:spacing w:after="0" w:line="252" w:lineRule="auto"/>
        <w:rPr>
          <w:sz w:val="20"/>
          <w:szCs w:val="20"/>
          <w:color w:val="auto"/>
        </w:rPr>
      </w:pPr>
      <w:r>
        <w:rPr>
          <w:rFonts w:ascii="Arial" w:cs="Arial" w:eastAsia="Arial" w:hAnsi="Arial"/>
          <w:sz w:val="18"/>
          <w:szCs w:val="18"/>
          <w:color w:val="auto"/>
        </w:rPr>
        <w:t>Mr. Fairclough was appointed our Co-President and Co-Chief Operating Officer in May 2020. Mr. Fairclough has been an employee of the Company and its predecessors since 2007, previously serving as the Company’s Executive Vice President, Chief Operating Officer and Global Head of Business Development in 2019, as well as Managing Director of Asia Pacific and Chief Executive Officer of Virtu Singapore Pte. Ltd., the Company’s Singapore-based subsidiary, since 2014. Prior to that, he served as Chief Compliance Officer of the Company’s broker-dealer subsidiaries. He has also worked closely with exchanges and other industry participants to foster the growth and development of securities markets globally. Mr. Fairclough received a B.A. from the University of California at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wp:posOffset>
            </wp:positionV>
            <wp:extent cx="5829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4"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40" w:type="dxa"/>
            <w:vAlign w:val="bottom"/>
          </w:tcPr>
          <w:p>
            <w:pPr>
              <w:spacing w:after="0"/>
              <w:rPr>
                <w:sz w:val="20"/>
                <w:szCs w:val="20"/>
                <w:color w:val="auto"/>
              </w:rPr>
            </w:pPr>
            <w:r>
              <w:rPr>
                <w:rFonts w:ascii="Arial" w:cs="Arial" w:eastAsia="Arial" w:hAnsi="Arial"/>
                <w:sz w:val="36"/>
                <w:szCs w:val="36"/>
                <w:color w:val="00C08A"/>
              </w:rPr>
              <w:t>Joseph A.</w:t>
            </w:r>
          </w:p>
        </w:tc>
        <w:tc>
          <w:tcPr>
            <w:tcW w:w="640" w:type="dxa"/>
            <w:vAlign w:val="bottom"/>
          </w:tcPr>
          <w:p>
            <w:pPr>
              <w:spacing w:after="0"/>
              <w:rPr>
                <w:sz w:val="24"/>
                <w:szCs w:val="24"/>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Co-President and Co-</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40" w:type="dxa"/>
            <w:vAlign w:val="bottom"/>
          </w:tcPr>
          <w:p>
            <w:pPr>
              <w:spacing w:after="0" w:line="185" w:lineRule="exact"/>
              <w:rPr>
                <w:sz w:val="20"/>
                <w:szCs w:val="20"/>
                <w:color w:val="auto"/>
              </w:rPr>
            </w:pPr>
            <w:r>
              <w:rPr>
                <w:rFonts w:ascii="Arial" w:cs="Arial" w:eastAsia="Arial" w:hAnsi="Arial"/>
                <w:sz w:val="18"/>
                <w:szCs w:val="18"/>
                <w:color w:val="00C08A"/>
              </w:rPr>
              <w:t>​</w:t>
            </w:r>
          </w:p>
        </w:tc>
        <w:tc>
          <w:tcPr>
            <w:tcW w:w="640" w:type="dxa"/>
            <w:vAlign w:val="bottom"/>
          </w:tcPr>
          <w:p>
            <w:pPr>
              <w:ind w:left="440"/>
              <w:spacing w:after="0" w:line="185" w:lineRule="exact"/>
              <w:rPr>
                <w:sz w:val="20"/>
                <w:szCs w:val="20"/>
                <w:color w:val="auto"/>
              </w:rPr>
            </w:pPr>
            <w:r>
              <w:rPr>
                <w:rFonts w:ascii="Arial" w:cs="Arial" w:eastAsia="Arial" w:hAnsi="Arial"/>
                <w:sz w:val="18"/>
                <w:szCs w:val="18"/>
                <w:color w:val="00C08A"/>
              </w:rPr>
              <w:t>​ ​</w:t>
            </w:r>
          </w:p>
        </w:tc>
        <w:tc>
          <w:tcPr>
            <w:tcW w:w="2020" w:type="dxa"/>
            <w:vAlign w:val="bottom"/>
          </w:tcPr>
          <w:p>
            <w:pPr>
              <w:ind w:left="20"/>
              <w:spacing w:after="0" w:line="185" w:lineRule="exact"/>
              <w:rPr>
                <w:sz w:val="20"/>
                <w:szCs w:val="20"/>
                <w:color w:val="auto"/>
              </w:rPr>
            </w:pPr>
            <w:r>
              <w:rPr>
                <w:rFonts w:ascii="Arial" w:cs="Arial" w:eastAsia="Arial" w:hAnsi="Arial"/>
                <w:sz w:val="18"/>
                <w:szCs w:val="18"/>
                <w:b w:val="1"/>
                <w:bCs w:val="1"/>
                <w:color w:val="00C08A"/>
                <w:w w:val="99"/>
              </w:rPr>
              <w:t>Chief Operating Officer</w:t>
            </w:r>
          </w:p>
        </w:tc>
        <w:tc>
          <w:tcPr>
            <w:tcW w:w="1260" w:type="dxa"/>
            <w:vAlign w:val="bottom"/>
          </w:tcPr>
          <w:p>
            <w:pPr>
              <w:ind w:left="20"/>
              <w:spacing w:after="0" w:line="185" w:lineRule="exact"/>
              <w:rPr>
                <w:sz w:val="20"/>
                <w:szCs w:val="20"/>
                <w:color w:val="auto"/>
              </w:rPr>
            </w:pPr>
            <w:r>
              <w:rPr>
                <w:rFonts w:ascii="Arial" w:cs="Arial" w:eastAsia="Arial" w:hAnsi="Arial"/>
                <w:sz w:val="18"/>
                <w:szCs w:val="18"/>
                <w:color w:val="00C08A"/>
              </w:rPr>
              <w:t>​ ​ ​</w:t>
            </w:r>
          </w:p>
        </w:tc>
        <w:tc>
          <w:tcPr>
            <w:tcW w:w="1160" w:type="dxa"/>
            <w:vAlign w:val="bottom"/>
          </w:tcPr>
          <w:p>
            <w:pPr>
              <w:ind w:left="980"/>
              <w:spacing w:after="0" w:line="185" w:lineRule="exact"/>
              <w:rPr>
                <w:sz w:val="20"/>
                <w:szCs w:val="20"/>
                <w:color w:val="auto"/>
              </w:rPr>
            </w:pPr>
            <w:r>
              <w:rPr>
                <w:rFonts w:ascii="Arial" w:cs="Arial" w:eastAsia="Arial" w:hAnsi="Arial"/>
                <w:sz w:val="18"/>
                <w:szCs w:val="18"/>
                <w:color w:val="00C08A"/>
              </w:rPr>
              <w:t>​ ​</w:t>
            </w:r>
          </w:p>
        </w:tc>
        <w:tc>
          <w:tcPr>
            <w:tcW w:w="1600" w:type="dxa"/>
            <w:vAlign w:val="bottom"/>
          </w:tcPr>
          <w:p>
            <w:pPr>
              <w:ind w:left="40"/>
              <w:spacing w:after="0" w:line="185" w:lineRule="exact"/>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tcPr>
          <w:p>
            <w:pPr>
              <w:jc w:val="right"/>
              <w:spacing w:after="0" w:line="185" w:lineRule="exact"/>
              <w:rPr>
                <w:sz w:val="20"/>
                <w:szCs w:val="20"/>
                <w:color w:val="auto"/>
              </w:rPr>
            </w:pPr>
            <w:r>
              <w:rPr>
                <w:rFonts w:ascii="Arial" w:cs="Arial" w:eastAsia="Arial" w:hAnsi="Arial"/>
                <w:sz w:val="18"/>
                <w:szCs w:val="18"/>
                <w:color w:val="00C08A"/>
              </w:rPr>
              <w:t>​</w:t>
            </w:r>
          </w:p>
        </w:tc>
        <w:tc>
          <w:tcPr>
            <w:tcW w:w="0" w:type="dxa"/>
            <w:vAlign w:val="bottom"/>
          </w:tcPr>
          <w:p>
            <w:pPr>
              <w:spacing w:after="0"/>
              <w:rPr>
                <w:sz w:val="1"/>
                <w:szCs w:val="1"/>
                <w:color w:val="auto"/>
              </w:rPr>
            </w:pPr>
          </w:p>
        </w:tc>
      </w:tr>
      <w:tr>
        <w:trPr>
          <w:trHeight w:val="283"/>
        </w:trPr>
        <w:tc>
          <w:tcPr>
            <w:tcW w:w="204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Molluso</w:t>
            </w:r>
          </w:p>
        </w:tc>
        <w:tc>
          <w:tcPr>
            <w:tcW w:w="640" w:type="dxa"/>
            <w:vAlign w:val="bottom"/>
            <w:tcBorders>
              <w:bottom w:val="single" w:sz="8" w:color="00C08A"/>
            </w:tcBorders>
          </w:tcPr>
          <w:p>
            <w:pPr>
              <w:spacing w:after="0"/>
              <w:rPr>
                <w:sz w:val="24"/>
                <w:szCs w:val="24"/>
                <w:color w:val="auto"/>
              </w:rPr>
            </w:pPr>
          </w:p>
        </w:tc>
        <w:tc>
          <w:tcPr>
            <w:tcW w:w="20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54</w:t>
            </w:r>
          </w:p>
        </w:tc>
        <w:tc>
          <w:tcPr>
            <w:tcW w:w="12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8"/>
                <w:szCs w:val="18"/>
                <w:color w:val="00C08A"/>
              </w:rPr>
              <w:t>BACKGROUND</w:t>
            </w:r>
          </w:p>
        </w:tc>
        <w:tc>
          <w:tcPr>
            <w:tcW w:w="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120"/>
        <w:spacing w:after="0" w:line="251" w:lineRule="auto"/>
        <w:rPr>
          <w:sz w:val="20"/>
          <w:szCs w:val="20"/>
          <w:color w:val="auto"/>
        </w:rPr>
      </w:pPr>
      <w:r>
        <w:rPr>
          <w:rFonts w:ascii="Arial" w:cs="Arial" w:eastAsia="Arial" w:hAnsi="Arial"/>
          <w:sz w:val="18"/>
          <w:szCs w:val="18"/>
          <w:color w:val="auto"/>
        </w:rPr>
        <w:t>Mr. Molluso was appointed our Co-President and Co-Chief Operating Officer in May 2020. Mr. Molluso joined Virtu in November 2013 as Chief Financial Officer. After a brief departure in September 2019 to serve as Chief Financial Officer of Capitolis, Mr. Molluso rejoined Virtu in 2020. Prior to joining Virtu, Mr. Molluso was a Managing Director in Investment Banking at J.P. Morgan from March 2006 to November 2013, where he provided strategic advice to financial institutions with a focus on market structure related companies. He was previously served as a member of the Board of Directors of The Depository Trust &amp; Clearing Corporation. Mr. Molluso started his career as an investment banker specializing in financial services companies in 1997 at Donaldson, Lufkin &amp; Jenrette and its successor, Credit Suisse, where he helped establish the global financial technology group. Mr. Molluso received his M.B.A. from New York University in 1997 and his B.B.A. from Pace University in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6350</wp:posOffset>
            </wp:positionV>
            <wp:extent cx="5829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PROPOSAL 1: ELECTION OF DIRECTORS</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1880" w:type="dxa"/>
            <w:vAlign w:val="bottom"/>
            <w:vMerge w:val="restart"/>
          </w:tcPr>
          <w:p>
            <w:pPr>
              <w:spacing w:after="0"/>
              <w:rPr>
                <w:sz w:val="20"/>
                <w:szCs w:val="20"/>
                <w:color w:val="auto"/>
              </w:rPr>
            </w:pPr>
            <w:r>
              <w:rPr>
                <w:rFonts w:ascii="Arial" w:cs="Arial" w:eastAsia="Arial" w:hAnsi="Arial"/>
                <w:sz w:val="36"/>
                <w:szCs w:val="36"/>
                <w:color w:val="00C08A"/>
              </w:rPr>
              <w:t>Sean P.</w:t>
            </w:r>
          </w:p>
        </w:tc>
        <w:tc>
          <w:tcPr>
            <w:tcW w:w="800" w:type="dxa"/>
            <w:vAlign w:val="bottom"/>
          </w:tcPr>
          <w:p>
            <w:pPr>
              <w:spacing w:after="0"/>
              <w:rPr>
                <w:sz w:val="19"/>
                <w:szCs w:val="19"/>
                <w:color w:val="auto"/>
              </w:rPr>
            </w:pPr>
          </w:p>
        </w:tc>
        <w:tc>
          <w:tcPr>
            <w:tcW w:w="1860" w:type="dxa"/>
            <w:vAlign w:val="bottom"/>
          </w:tcPr>
          <w:p>
            <w:pPr>
              <w:ind w:left="20"/>
              <w:spacing w:after="0"/>
              <w:rPr>
                <w:sz w:val="20"/>
                <w:szCs w:val="20"/>
                <w:color w:val="auto"/>
              </w:rPr>
            </w:pPr>
            <w:r>
              <w:rPr>
                <w:rFonts w:ascii="Arial" w:cs="Arial" w:eastAsia="Arial" w:hAnsi="Arial"/>
                <w:sz w:val="18"/>
                <w:szCs w:val="18"/>
                <w:b w:val="1"/>
                <w:bCs w:val="1"/>
                <w:color w:val="00C08A"/>
              </w:rPr>
              <w:t>Executive Vice</w:t>
            </w: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88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86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President and Chief</w:t>
            </w: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880" w:type="dxa"/>
            <w:vAlign w:val="bottom"/>
          </w:tcPr>
          <w:p>
            <w:pPr>
              <w:spacing w:after="0" w:line="185" w:lineRule="exact"/>
              <w:rPr>
                <w:sz w:val="20"/>
                <w:szCs w:val="20"/>
                <w:color w:val="auto"/>
              </w:rPr>
            </w:pPr>
            <w:r>
              <w:rPr>
                <w:rFonts w:ascii="Arial" w:cs="Arial" w:eastAsia="Arial" w:hAnsi="Arial"/>
                <w:sz w:val="18"/>
                <w:szCs w:val="18"/>
                <w:b w:val="1"/>
                <w:bCs w:val="1"/>
                <w:color w:val="00C08A"/>
              </w:rPr>
              <w:t>​</w:t>
            </w:r>
          </w:p>
        </w:tc>
        <w:tc>
          <w:tcPr>
            <w:tcW w:w="800" w:type="dxa"/>
            <w:vAlign w:val="bottom"/>
          </w:tcPr>
          <w:p>
            <w:pPr>
              <w:ind w:left="600"/>
              <w:spacing w:after="0" w:line="185" w:lineRule="exact"/>
              <w:rPr>
                <w:sz w:val="20"/>
                <w:szCs w:val="20"/>
                <w:color w:val="auto"/>
              </w:rPr>
            </w:pPr>
            <w:r>
              <w:rPr>
                <w:rFonts w:ascii="Arial" w:cs="Arial" w:eastAsia="Arial" w:hAnsi="Arial"/>
                <w:sz w:val="18"/>
                <w:szCs w:val="18"/>
                <w:b w:val="1"/>
                <w:bCs w:val="1"/>
                <w:color w:val="00C08A"/>
              </w:rPr>
              <w:t>​ ​</w:t>
            </w:r>
          </w:p>
        </w:tc>
        <w:tc>
          <w:tcPr>
            <w:tcW w:w="1860" w:type="dxa"/>
            <w:vAlign w:val="bottom"/>
          </w:tcPr>
          <w:p>
            <w:pPr>
              <w:ind w:left="20"/>
              <w:spacing w:after="0" w:line="185" w:lineRule="exact"/>
              <w:rPr>
                <w:sz w:val="20"/>
                <w:szCs w:val="20"/>
                <w:color w:val="auto"/>
              </w:rPr>
            </w:pPr>
            <w:r>
              <w:rPr>
                <w:rFonts w:ascii="Arial" w:cs="Arial" w:eastAsia="Arial" w:hAnsi="Arial"/>
                <w:sz w:val="18"/>
                <w:szCs w:val="18"/>
                <w:b w:val="1"/>
                <w:bCs w:val="1"/>
                <w:color w:val="00C08A"/>
              </w:rPr>
              <w:t>Financial Officer</w:t>
            </w:r>
          </w:p>
        </w:tc>
        <w:tc>
          <w:tcPr>
            <w:tcW w:w="1420" w:type="dxa"/>
            <w:vAlign w:val="bottom"/>
          </w:tcPr>
          <w:p>
            <w:pPr>
              <w:ind w:left="180"/>
              <w:spacing w:after="0" w:line="185" w:lineRule="exact"/>
              <w:rPr>
                <w:sz w:val="20"/>
                <w:szCs w:val="20"/>
                <w:color w:val="auto"/>
              </w:rPr>
            </w:pPr>
            <w:r>
              <w:rPr>
                <w:rFonts w:ascii="Arial" w:cs="Arial" w:eastAsia="Arial" w:hAnsi="Arial"/>
                <w:sz w:val="18"/>
                <w:szCs w:val="18"/>
                <w:b w:val="1"/>
                <w:bCs w:val="1"/>
                <w:color w:val="00C08A"/>
              </w:rPr>
              <w:t>​ ​ ​</w:t>
            </w:r>
          </w:p>
        </w:tc>
        <w:tc>
          <w:tcPr>
            <w:tcW w:w="1160" w:type="dxa"/>
            <w:vAlign w:val="bottom"/>
          </w:tcPr>
          <w:p>
            <w:pPr>
              <w:ind w:left="980"/>
              <w:spacing w:after="0" w:line="185" w:lineRule="exact"/>
              <w:rPr>
                <w:sz w:val="20"/>
                <w:szCs w:val="20"/>
                <w:color w:val="auto"/>
              </w:rPr>
            </w:pPr>
            <w:r>
              <w:rPr>
                <w:rFonts w:ascii="Arial" w:cs="Arial" w:eastAsia="Arial" w:hAnsi="Arial"/>
                <w:sz w:val="18"/>
                <w:szCs w:val="18"/>
                <w:b w:val="1"/>
                <w:bCs w:val="1"/>
                <w:color w:val="00C08A"/>
              </w:rPr>
              <w:t>​ ​</w:t>
            </w:r>
          </w:p>
        </w:tc>
        <w:tc>
          <w:tcPr>
            <w:tcW w:w="1600" w:type="dxa"/>
            <w:vAlign w:val="bottom"/>
          </w:tcPr>
          <w:p>
            <w:pPr>
              <w:ind w:left="40"/>
              <w:spacing w:after="0" w:line="185" w:lineRule="exact"/>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84"/>
        </w:trPr>
        <w:tc>
          <w:tcPr>
            <w:tcW w:w="18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Galvin</w:t>
            </w:r>
          </w:p>
        </w:tc>
        <w:tc>
          <w:tcPr>
            <w:tcW w:w="800" w:type="dxa"/>
            <w:vAlign w:val="bottom"/>
            <w:tcBorders>
              <w:bottom w:val="single" w:sz="8" w:color="00C08A"/>
            </w:tcBorders>
          </w:tcPr>
          <w:p>
            <w:pPr>
              <w:spacing w:after="0"/>
              <w:rPr>
                <w:sz w:val="24"/>
                <w:szCs w:val="24"/>
                <w:color w:val="auto"/>
              </w:rPr>
            </w:pPr>
          </w:p>
        </w:tc>
        <w:tc>
          <w:tcPr>
            <w:tcW w:w="18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58</w:t>
            </w:r>
          </w:p>
        </w:tc>
        <w:tc>
          <w:tcPr>
            <w:tcW w:w="142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00C08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right="140"/>
        <w:spacing w:after="0" w:line="252" w:lineRule="auto"/>
        <w:rPr>
          <w:sz w:val="20"/>
          <w:szCs w:val="20"/>
          <w:color w:val="auto"/>
        </w:rPr>
      </w:pPr>
      <w:r>
        <w:rPr>
          <w:rFonts w:ascii="Arial" w:cs="Arial" w:eastAsia="Arial" w:hAnsi="Arial"/>
          <w:sz w:val="18"/>
          <w:szCs w:val="18"/>
          <w:color w:val="auto"/>
        </w:rPr>
        <w:t>Mr. Galvin was appointed our Executive Vice President and Chief Financial Officer in August 2020. Mr. Galvin has more than 30 years of experience in the accounting and financial services fields. Previously, he served as the Chief Accounting Officer of BGC Partners, Inc. from September 2018 to August 2020. He also served in various roles at KCG which was later acquired by the Company in July 2017, from 2000 until May 2018. Prior to joining KCG in 2000, Mr. Galvin was a Vice President at Donaldson, Lufkin &amp; Jenrette and a Senior Tax Manager at PricewaterhouseCoopers LLP. Mr. Galvin earned a M.S. in Taxation from Fordham University as well as a B.S. in Accounting and Information Systems with a minor in Economics from Queens College, CUNY. Mr. Galvin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wp:posOffset>
            </wp:positionV>
            <wp:extent cx="58293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5685790</wp:posOffset>
            </wp:positionV>
            <wp:extent cx="75438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Corporate Governance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color w:val="auto"/>
        </w:rPr>
        <w:t>Our board of directors consists of 10 directors. In accordance with our amended and restated certificate of incorporation and bylaws, the number of directors on our board of directors will be determined from time to time by the board of directors but shall neither be fewer than three persons nor more than 20 persons.</w:t>
      </w:r>
    </w:p>
    <w:p>
      <w:pPr>
        <w:spacing w:after="0" w:line="94" w:lineRule="exact"/>
        <w:rPr>
          <w:sz w:val="20"/>
          <w:szCs w:val="20"/>
          <w:color w:val="auto"/>
        </w:rPr>
      </w:pPr>
    </w:p>
    <w:p>
      <w:pPr>
        <w:ind w:left="760" w:right="160"/>
        <w:spacing w:after="0" w:line="252" w:lineRule="auto"/>
        <w:rPr>
          <w:sz w:val="20"/>
          <w:szCs w:val="20"/>
          <w:color w:val="auto"/>
        </w:rPr>
      </w:pPr>
      <w:r>
        <w:rPr>
          <w:rFonts w:ascii="Arial" w:cs="Arial" w:eastAsia="Arial" w:hAnsi="Arial"/>
          <w:sz w:val="18"/>
          <w:szCs w:val="18"/>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TJMT Holdings LLC (the “</w:t>
      </w:r>
      <w:r>
        <w:rPr>
          <w:rFonts w:ascii="Arial" w:cs="Arial" w:eastAsia="Arial" w:hAnsi="Arial"/>
          <w:sz w:val="18"/>
          <w:szCs w:val="18"/>
          <w:b w:val="1"/>
          <w:bCs w:val="1"/>
          <w:color w:val="auto"/>
        </w:rPr>
        <w:t>Founder Member</w:t>
      </w:r>
      <w:r>
        <w:rPr>
          <w:rFonts w:ascii="Arial" w:cs="Arial" w:eastAsia="Arial" w:hAnsi="Arial"/>
          <w:sz w:val="18"/>
          <w:szCs w:val="18"/>
          <w:color w:val="auto"/>
        </w:rPr>
        <w:t>”), an affiliate of Mr. Vincent Viola, our founder and Chairman Emeritus, or any of its affiliates or permitted transferees, no longer beneficially own shares representing 25% of our issued and outstanding common stock (the “</w:t>
      </w:r>
      <w:r>
        <w:rPr>
          <w:rFonts w:ascii="Arial" w:cs="Arial" w:eastAsia="Arial" w:hAnsi="Arial"/>
          <w:sz w:val="18"/>
          <w:szCs w:val="18"/>
          <w:b w:val="1"/>
          <w:bCs w:val="1"/>
          <w:color w:val="auto"/>
        </w:rPr>
        <w:t>Triggering Event</w:t>
      </w:r>
      <w:r>
        <w:rPr>
          <w:rFonts w:ascii="Arial" w:cs="Arial" w:eastAsia="Arial" w:hAnsi="Arial"/>
          <w:sz w:val="18"/>
          <w:szCs w:val="18"/>
          <w:color w:val="auto"/>
        </w:rPr>
        <w:t>”), vacancies on the board of directors may also be filled by the affirmative vote of a majority of our outstanding shares of common stock.</w:t>
      </w:r>
    </w:p>
    <w:p>
      <w:pPr>
        <w:spacing w:after="0" w:line="99"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97" w:lineRule="exact"/>
        <w:rPr>
          <w:sz w:val="20"/>
          <w:szCs w:val="20"/>
          <w:color w:val="auto"/>
        </w:rPr>
      </w:pPr>
    </w:p>
    <w:p>
      <w:pPr>
        <w:ind w:left="760" w:right="160"/>
        <w:spacing w:after="0" w:line="256" w:lineRule="auto"/>
        <w:rPr>
          <w:sz w:val="20"/>
          <w:szCs w:val="20"/>
          <w:color w:val="auto"/>
        </w:rPr>
      </w:pPr>
      <w:r>
        <w:rPr>
          <w:rFonts w:ascii="Arial" w:cs="Arial" w:eastAsia="Arial" w:hAnsi="Arial"/>
          <w:sz w:val="18"/>
          <w:szCs w:val="18"/>
          <w:color w:val="auto"/>
        </w:rPr>
        <w:t>Our amended and restated certificate of incorporation provides that the board of directors is divided into three classes of directors, with staggered three-year terms, with the classes to be as nearly equal in number as possible. As a result, approximately one third of the board of directors will be elected each year.</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The Founder Member currently controls more than 50% of our combined voting power, and as a result, we are considered a “controlled company” for the purposes of Nasdaq rules and corporate governance standards. As a “controlled company,” we are permitted and may from time to time elect (and have elected)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composed entirely of independent directors, or otherwise ensure that the compensation of our executive officers and nominees for directors is determined or recommended to the board of directors by the independent members of the board of directors.</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color w:val="auto"/>
        </w:rPr>
        <w:t>Our board of directors has determined that Mmes. Gambale and Minieri, and Messrs. Cruger, Grano, Nixon, Quick and Urban are each “independent directors”, as such term is defined by the applicable rules and regulations of Nasdaq.</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Family Relationships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320"/>
        <w:spacing w:after="0" w:line="256" w:lineRule="auto"/>
        <w:rPr>
          <w:sz w:val="20"/>
          <w:szCs w:val="20"/>
          <w:color w:val="auto"/>
        </w:rPr>
      </w:pPr>
      <w:r>
        <w:rPr>
          <w:rFonts w:ascii="Arial" w:cs="Arial" w:eastAsia="Arial" w:hAnsi="Arial"/>
          <w:sz w:val="18"/>
          <w:szCs w:val="18"/>
          <w:color w:val="auto"/>
        </w:rPr>
        <w:t>Other than our Chairman, Michael T. Viola, who is the son of Vincent Viola, our Founder and Chairman Emeritus, none of the current directors or officers, or nominees for director, is related to any other officer or director of the Company or to any nominee for director.</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jc w:val="both"/>
        <w:ind w:left="760" w:right="80"/>
        <w:spacing w:after="0" w:line="278" w:lineRule="auto"/>
        <w:rPr>
          <w:sz w:val="20"/>
          <w:szCs w:val="20"/>
          <w:color w:val="auto"/>
        </w:rPr>
      </w:pPr>
      <w:r>
        <w:rPr>
          <w:rFonts w:ascii="Arial" w:cs="Arial" w:eastAsia="Arial" w:hAnsi="Arial"/>
          <w:sz w:val="17"/>
          <w:szCs w:val="17"/>
          <w:color w:val="auto"/>
        </w:rPr>
        <w:t>We currently separate the roles of chairman of the board of directors and chief executive officer. Mr. Michael T. Viola serves as Chairman of our board of directors. This structure enables the board of directors to effectively exercise its role in oversight of Virtu and its corporate governance while allowing our Chief Executive Officer to focus</w:t>
      </w:r>
    </w:p>
    <w:p>
      <w:pPr>
        <w:spacing w:after="0" w:line="26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left="760" w:right="300"/>
        <w:spacing w:after="0" w:line="261" w:lineRule="auto"/>
        <w:rPr>
          <w:sz w:val="20"/>
          <w:szCs w:val="20"/>
          <w:color w:val="auto"/>
        </w:rPr>
      </w:pPr>
      <w:r>
        <w:rPr>
          <w:rFonts w:ascii="Arial" w:cs="Arial" w:eastAsia="Arial" w:hAnsi="Arial"/>
          <w:sz w:val="18"/>
          <w:szCs w:val="18"/>
          <w:color w:val="auto"/>
        </w:rPr>
        <w:t>on the management of the day-to-day conduct of our business. The board of directors may review and change its leadership structure in the future.</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of Directors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1040"/>
        <w:spacing w:after="0" w:line="261" w:lineRule="auto"/>
        <w:rPr>
          <w:sz w:val="20"/>
          <w:szCs w:val="20"/>
          <w:color w:val="auto"/>
        </w:rPr>
      </w:pPr>
      <w:r>
        <w:rPr>
          <w:rFonts w:ascii="Arial" w:cs="Arial" w:eastAsia="Arial" w:hAnsi="Arial"/>
          <w:sz w:val="18"/>
          <w:szCs w:val="18"/>
          <w:color w:val="auto"/>
        </w:rPr>
        <w:t>It is the duty of our board of directors to serve as a prudent fiduciary for stockholders and to oversee the management of our Company.</w:t>
      </w:r>
    </w:p>
    <w:p>
      <w:pPr>
        <w:spacing w:after="0" w:line="90"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Our Audit Committee, under powers delegated to it by our board of directors, is responsible for discussing with management the major financial, legal, compliance and other significant risks of the Company. Our 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p>
    <w:p>
      <w:pPr>
        <w:spacing w:after="0" w:line="103" w:lineRule="exact"/>
        <w:rPr>
          <w:sz w:val="20"/>
          <w:szCs w:val="20"/>
          <w:color w:val="auto"/>
        </w:rPr>
      </w:pPr>
    </w:p>
    <w:p>
      <w:pPr>
        <w:ind w:left="760" w:right="160"/>
        <w:spacing w:after="0" w:line="254" w:lineRule="auto"/>
        <w:rPr>
          <w:sz w:val="20"/>
          <w:szCs w:val="20"/>
          <w:color w:val="auto"/>
        </w:rPr>
      </w:pPr>
      <w:r>
        <w:rPr>
          <w:rFonts w:ascii="Arial" w:cs="Arial" w:eastAsia="Arial" w:hAnsi="Arial"/>
          <w:sz w:val="18"/>
          <w:szCs w:val="18"/>
          <w:color w:val="auto"/>
        </w:rPr>
        <w:t>Our Risk Committee, under powers delegated to it by our board of directors, is responsible for overseeing areas of risk that are not the primary responsibility of another committee of our board of directors or retained for oversight of the full board of directors, including (i) cybersecurity, information security and information technology risk, (ii) trading, capital, and liquidity risk, and (iii) enterprise risk.</w:t>
      </w:r>
    </w:p>
    <w:p>
      <w:pPr>
        <w:spacing w:after="0" w:line="96"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Our Compensation Committee is responsible for overseeing the management of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p>
    <w:p>
      <w:pPr>
        <w:spacing w:after="0" w:line="97" w:lineRule="exact"/>
        <w:rPr>
          <w:sz w:val="20"/>
          <w:szCs w:val="20"/>
          <w:color w:val="auto"/>
        </w:rPr>
      </w:pPr>
    </w:p>
    <w:p>
      <w:pPr>
        <w:ind w:left="760" w:right="500"/>
        <w:spacing w:after="0" w:line="261" w:lineRule="auto"/>
        <w:rPr>
          <w:sz w:val="20"/>
          <w:szCs w:val="20"/>
          <w:color w:val="auto"/>
        </w:rPr>
      </w:pPr>
      <w:r>
        <w:rPr>
          <w:rFonts w:ascii="Arial" w:cs="Arial" w:eastAsia="Arial" w:hAnsi="Arial"/>
          <w:sz w:val="18"/>
          <w:szCs w:val="18"/>
          <w:color w:val="auto"/>
        </w:rPr>
        <w:t>The Nominating and Corporate Governance Committee is responsible for overseeing the management of risks relating to our corporate governance structure and director selection process.</w:t>
      </w:r>
    </w:p>
    <w:p>
      <w:pPr>
        <w:spacing w:after="0" w:line="90"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Our board of directors as a whole also engages in the oversight of risk in various ways. It sets goals and standards for our employees, officers, and directors. During the course of each year, our board of directors reviews the structure and operation of various of our departments and functions. In these reviews, our board of directors discusses with management material risks affecting those departments and functions and management’s approach to mitigating those risks. Our board of directors also reviews and approves management’s operating plans and any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p>
    <w:p>
      <w:pPr>
        <w:spacing w:after="0" w:line="103"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auto"/>
        </w:rPr>
        <w:t>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1135380</wp:posOffset>
            </wp:positionV>
            <wp:extent cx="75438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and Committee Meetings; Annual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2022:</w:t>
      </w:r>
    </w:p>
    <w:p>
      <w:pPr>
        <w:spacing w:after="0" w:line="117" w:lineRule="exact"/>
        <w:rPr>
          <w:sz w:val="20"/>
          <w:szCs w:val="20"/>
          <w:color w:val="auto"/>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board of directors held four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Audit Committee held eight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Risk Committee held five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Nominating and Corporate Governance Committee held four meetings; and</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Compensation Committee held two meetings.</w:t>
      </w:r>
    </w:p>
    <w:p>
      <w:pPr>
        <w:spacing w:after="0" w:line="117" w:lineRule="exact"/>
        <w:rPr>
          <w:sz w:val="20"/>
          <w:szCs w:val="20"/>
          <w:color w:val="auto"/>
        </w:rPr>
      </w:pPr>
    </w:p>
    <w:p>
      <w:pPr>
        <w:ind w:left="760" w:right="160"/>
        <w:spacing w:after="0" w:line="265" w:lineRule="auto"/>
        <w:rPr>
          <w:sz w:val="20"/>
          <w:szCs w:val="20"/>
          <w:color w:val="auto"/>
        </w:rPr>
      </w:pPr>
      <w:r>
        <w:rPr>
          <w:rFonts w:ascii="Arial" w:cs="Arial" w:eastAsia="Arial" w:hAnsi="Arial"/>
          <w:sz w:val="17"/>
          <w:szCs w:val="17"/>
          <w:color w:val="auto"/>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In the year ended December 31, 2022, no member of our board of directors attended fewer than 75% of the aggregate of: (i) the total number of meetings of the board of directors (held during the period for which he or she has been a director), and</w:t>
      </w:r>
    </w:p>
    <w:p>
      <w:pPr>
        <w:spacing w:after="0" w:line="1" w:lineRule="exact"/>
        <w:rPr>
          <w:sz w:val="20"/>
          <w:szCs w:val="20"/>
          <w:color w:val="auto"/>
        </w:rPr>
      </w:pPr>
    </w:p>
    <w:p>
      <w:pPr>
        <w:ind w:left="760" w:right="60" w:firstLine="2"/>
        <w:spacing w:after="0" w:line="252" w:lineRule="auto"/>
        <w:tabs>
          <w:tab w:leader="none" w:pos="10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meetings held by all committees of the board of directors (during the periods that he or she served on such committees). Five of our directors attended our 2022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180"/>
        <w:spacing w:after="0" w:line="252" w:lineRule="auto"/>
        <w:rPr>
          <w:sz w:val="20"/>
          <w:szCs w:val="20"/>
          <w:color w:val="auto"/>
        </w:rPr>
      </w:pPr>
      <w:r>
        <w:rPr>
          <w:rFonts w:ascii="Arial" w:cs="Arial" w:eastAsia="Arial" w:hAnsi="Arial"/>
          <w:sz w:val="18"/>
          <w:szCs w:val="18"/>
          <w:color w:val="auto"/>
        </w:rPr>
        <w:t xml:space="preserve">Our board of directors has four standing committees: the Audit Committee, the Risk Committee, the Compensation Committee, and the Nominating and Corporate Governance Committee. Under the rules of Nasdaq, the membership of the Audit Committee is required to consist entirely of independent directors. As a controlled company (see “Controlled Company Status” on page </w:t>
      </w:r>
      <w:r>
        <w:rPr>
          <w:rFonts w:ascii="Arial" w:cs="Arial" w:eastAsia="Arial" w:hAnsi="Arial"/>
          <w:sz w:val="18"/>
          <w:szCs w:val="18"/>
          <w:u w:val="single" w:color="auto"/>
          <w:color w:val="0000EE"/>
        </w:rPr>
        <w:t>14</w:t>
      </w:r>
      <w:r>
        <w:rPr>
          <w:rFonts w:ascii="Arial" w:cs="Arial" w:eastAsia="Arial" w:hAnsi="Arial"/>
          <w:sz w:val="18"/>
          <w:szCs w:val="18"/>
          <w:color w:val="auto"/>
        </w:rPr>
        <w:t xml:space="preserve"> of this proxy statement), we are not required to have fully independent Compensation and Nominating and Corporate Governance Committees, although our Compensation Committee is fully independent. The following is a brief description of our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143510</wp:posOffset>
            </wp:positionV>
            <wp:extent cx="5829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08A"/>
        </w:rPr>
        <w:t>AUDIT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08A"/>
        </w:rPr>
        <w:t>COMMITTEE</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Joanne M. Minieri</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w:t>
      </w:r>
    </w:p>
    <w:p>
      <w:pPr>
        <w:spacing w:after="0" w:line="176" w:lineRule="exact"/>
        <w:rPr>
          <w:sz w:val="20"/>
          <w:szCs w:val="20"/>
          <w:color w:val="auto"/>
        </w:rPr>
      </w:pPr>
    </w:p>
    <w:p>
      <w:pPr>
        <w:ind w:left="760"/>
        <w:spacing w:after="0" w:line="318" w:lineRule="auto"/>
        <w:rPr>
          <w:sz w:val="20"/>
          <w:szCs w:val="20"/>
          <w:color w:val="auto"/>
        </w:rPr>
      </w:pPr>
      <w:r>
        <w:rPr>
          <w:rFonts w:ascii="Arial" w:cs="Arial" w:eastAsia="Arial" w:hAnsi="Arial"/>
          <w:sz w:val="17"/>
          <w:szCs w:val="17"/>
          <w:b w:val="1"/>
          <w:bCs w:val="1"/>
          <w:color w:val="auto"/>
        </w:rPr>
        <w:t>Number of Meetings Held in 2022: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6046470</wp:posOffset>
            </wp:positionV>
            <wp:extent cx="754380"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Audit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32" w:lineRule="exact"/>
        <w:rPr>
          <w:sz w:val="20"/>
          <w:szCs w:val="20"/>
          <w:color w:val="auto"/>
        </w:rPr>
      </w:pPr>
    </w:p>
    <w:p>
      <w:pPr>
        <w:ind w:left="220" w:right="60"/>
        <w:spacing w:after="0" w:line="251" w:lineRule="auto"/>
        <w:rPr>
          <w:sz w:val="20"/>
          <w:szCs w:val="20"/>
          <w:color w:val="auto"/>
        </w:rPr>
      </w:pPr>
      <w:r>
        <w:rPr>
          <w:rFonts w:ascii="Arial" w:cs="Arial" w:eastAsia="Arial" w:hAnsi="Arial"/>
          <w:sz w:val="18"/>
          <w:szCs w:val="18"/>
          <w:color w:val="auto"/>
        </w:rPr>
        <w:t>We have a separately designated standing Audit Committee established in accordance with section 3(a)(58)(A) of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Nasdaq. Our board of directors has adopted a written charter for the Audit Committee, which is available on our corporate website at ir.virtu.com/corporategovernance/default.aspx.</w:t>
      </w:r>
    </w:p>
    <w:p>
      <w:pPr>
        <w:spacing w:after="0" w:line="102" w:lineRule="exact"/>
        <w:rPr>
          <w:sz w:val="20"/>
          <w:szCs w:val="20"/>
          <w:color w:val="auto"/>
        </w:rPr>
      </w:pPr>
    </w:p>
    <w:p>
      <w:pPr>
        <w:ind w:left="220" w:right="140"/>
        <w:spacing w:after="0" w:line="265" w:lineRule="auto"/>
        <w:rPr>
          <w:sz w:val="20"/>
          <w:szCs w:val="20"/>
          <w:color w:val="auto"/>
        </w:rPr>
      </w:pPr>
      <w:r>
        <w:rPr>
          <w:rFonts w:ascii="Arial" w:cs="Arial" w:eastAsia="Arial" w:hAnsi="Arial"/>
          <w:sz w:val="17"/>
          <w:szCs w:val="17"/>
          <w:color w:val="auto"/>
        </w:rPr>
        <w:t>Ms. Minieri, and Messrs. Cruger, Grano and Nixon are the members of our Audit Committee. The board of directors has determined that Mr. Cruger qualifies as an “audit committee financial expert” as such term is defined in Item 407(d)(5)(ii) of Regulation S-K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that</w:t>
      </w:r>
    </w:p>
    <w:p>
      <w:pPr>
        <w:spacing w:after="0" w:line="1" w:lineRule="exact"/>
        <w:rPr>
          <w:sz w:val="20"/>
          <w:szCs w:val="20"/>
          <w:color w:val="auto"/>
        </w:rPr>
      </w:pPr>
    </w:p>
    <w:p>
      <w:pPr>
        <w:ind w:left="220" w:right="180"/>
        <w:spacing w:after="0" w:line="252" w:lineRule="auto"/>
        <w:rPr>
          <w:sz w:val="20"/>
          <w:szCs w:val="20"/>
          <w:color w:val="auto"/>
        </w:rPr>
      </w:pPr>
      <w:r>
        <w:rPr>
          <w:rFonts w:ascii="Arial" w:cs="Arial" w:eastAsia="Arial" w:hAnsi="Arial"/>
          <w:sz w:val="18"/>
          <w:szCs w:val="18"/>
          <w:color w:val="auto"/>
        </w:rPr>
        <w:t>Mr. Cruger thereby meets the applicable financial sophistication requirement of the Nasdaq listed company rules. The board of directors has also determined that each of Ms. Minieri, and Messrs. Cruger, Grano and Nixon is “independent” for purposes of Rule 10A-3 of the Exchange Act and under the listing standards of Nasdaq. The designation of “audit committee financial expert” does not impose on Mr. Cruger any duties, obligations or liabilities that are greater than are generally imposed on members of our Audit Committee and our board of directors.</w:t>
      </w:r>
    </w:p>
    <w:p>
      <w:pPr>
        <w:spacing w:after="0" w:line="99" w:lineRule="exact"/>
        <w:rPr>
          <w:sz w:val="20"/>
          <w:szCs w:val="20"/>
          <w:color w:val="auto"/>
        </w:rPr>
      </w:pPr>
    </w:p>
    <w:p>
      <w:pPr>
        <w:ind w:left="220" w:right="80"/>
        <w:spacing w:after="0" w:line="261" w:lineRule="auto"/>
        <w:rPr>
          <w:sz w:val="20"/>
          <w:szCs w:val="20"/>
          <w:color w:val="auto"/>
        </w:rPr>
      </w:pPr>
      <w:r>
        <w:rPr>
          <w:rFonts w:ascii="Arial" w:cs="Arial" w:eastAsia="Arial" w:hAnsi="Arial"/>
          <w:sz w:val="18"/>
          <w:szCs w:val="18"/>
          <w:color w:val="auto"/>
        </w:rPr>
        <w:t>There were four regular meetings and four special meetings of the Audit Committee held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100330</wp:posOffset>
            </wp:positionV>
            <wp:extent cx="5829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131"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jc w:val="right"/>
        <w:ind w:right="68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143510</wp:posOffset>
            </wp:positionV>
            <wp:extent cx="58293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08A"/>
        </w:rPr>
        <w:t>RISK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08A"/>
        </w:rPr>
        <w:t>COMMITTEE</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Virginia Gambale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176" w:lineRule="exact"/>
        <w:rPr>
          <w:sz w:val="20"/>
          <w:szCs w:val="20"/>
          <w:color w:val="auto"/>
        </w:rPr>
      </w:pPr>
    </w:p>
    <w:p>
      <w:pPr>
        <w:ind w:left="760"/>
        <w:spacing w:after="0" w:line="318" w:lineRule="auto"/>
        <w:rPr>
          <w:sz w:val="20"/>
          <w:szCs w:val="20"/>
          <w:color w:val="auto"/>
        </w:rPr>
      </w:pPr>
      <w:r>
        <w:rPr>
          <w:rFonts w:ascii="Arial" w:cs="Arial" w:eastAsia="Arial" w:hAnsi="Arial"/>
          <w:sz w:val="17"/>
          <w:szCs w:val="17"/>
          <w:b w:val="1"/>
          <w:bCs w:val="1"/>
          <w:color w:val="auto"/>
        </w:rPr>
        <w:t>Number of Meetings Held in 2022: 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Risk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72" w:lineRule="exact"/>
        <w:rPr>
          <w:sz w:val="20"/>
          <w:szCs w:val="20"/>
          <w:color w:val="auto"/>
        </w:rPr>
      </w:pPr>
    </w:p>
    <w:p>
      <w:pPr>
        <w:ind w:left="220" w:right="400"/>
        <w:spacing w:after="0" w:line="250" w:lineRule="auto"/>
        <w:rPr>
          <w:sz w:val="20"/>
          <w:szCs w:val="20"/>
          <w:color w:val="auto"/>
        </w:rPr>
      </w:pPr>
      <w:r>
        <w:rPr>
          <w:rFonts w:ascii="Arial" w:cs="Arial" w:eastAsia="Arial" w:hAnsi="Arial"/>
          <w:sz w:val="18"/>
          <w:szCs w:val="18"/>
          <w:color w:val="auto"/>
        </w:rPr>
        <w:t>Our Risk Committee was established in 2017 and assists our board of directors in its oversight of the Company’s risk management activities, with particular focus on</w:t>
      </w:r>
    </w:p>
    <w:p>
      <w:pPr>
        <w:spacing w:after="0" w:line="1" w:lineRule="exact"/>
        <w:rPr>
          <w:sz w:val="20"/>
          <w:szCs w:val="20"/>
          <w:color w:val="auto"/>
        </w:rPr>
      </w:pPr>
    </w:p>
    <w:p>
      <w:pPr>
        <w:ind w:left="220" w:right="140" w:firstLine="2"/>
        <w:spacing w:after="0" w:line="252" w:lineRule="auto"/>
        <w:tabs>
          <w:tab w:leader="none" w:pos="428"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cybersecurity, information security and information technology risk, (ii) trading, capital and liquidity risk, and (iii) enterprise risk. Our Risk Committee also oversees and receives reports from the Company’s management team on the Company’s risk assessment and risk management activities and may conduct or oversee stress testing or scenario testing. Our board of directors has adopted a written charter for the Risk Committee, which is available on our corporate website at ir.virtu.com/corporate governance/default.aspx.</w:t>
      </w:r>
    </w:p>
    <w:p>
      <w:pPr>
        <w:spacing w:after="0" w:line="99" w:lineRule="exact"/>
        <w:rPr>
          <w:sz w:val="20"/>
          <w:szCs w:val="20"/>
          <w:color w:val="auto"/>
        </w:rPr>
      </w:pPr>
    </w:p>
    <w:p>
      <w:pPr>
        <w:ind w:left="220" w:right="140"/>
        <w:spacing w:after="0" w:line="253" w:lineRule="auto"/>
        <w:rPr>
          <w:sz w:val="20"/>
          <w:szCs w:val="20"/>
          <w:color w:val="auto"/>
        </w:rPr>
      </w:pPr>
      <w:r>
        <w:rPr>
          <w:rFonts w:ascii="Arial" w:cs="Arial" w:eastAsia="Arial" w:hAnsi="Arial"/>
          <w:sz w:val="18"/>
          <w:szCs w:val="18"/>
          <w:color w:val="auto"/>
        </w:rPr>
        <w:t>Ms. Gambale, and Messrs. Cruger, Urban and Michael Viola are the members of our Risk Committee. Our Risk Committee is not required to be fully independent, although if our Risk Committee becomes subject to any such independence requirement in the future, we will adjust the composition of the Risk Committee accordingly in order to comply with such requirement. Mr. Michael Viola is not independent.</w:t>
      </w:r>
    </w:p>
    <w:p>
      <w:pPr>
        <w:spacing w:after="0" w:line="97" w:lineRule="exact"/>
        <w:rPr>
          <w:sz w:val="20"/>
          <w:szCs w:val="20"/>
          <w:color w:val="auto"/>
        </w:rPr>
      </w:pPr>
    </w:p>
    <w:p>
      <w:pPr>
        <w:ind w:left="220" w:right="240"/>
        <w:spacing w:after="0" w:line="261" w:lineRule="auto"/>
        <w:rPr>
          <w:sz w:val="20"/>
          <w:szCs w:val="20"/>
          <w:color w:val="auto"/>
        </w:rPr>
      </w:pPr>
      <w:r>
        <w:rPr>
          <w:rFonts w:ascii="Arial" w:cs="Arial" w:eastAsia="Arial" w:hAnsi="Arial"/>
          <w:sz w:val="18"/>
          <w:szCs w:val="18"/>
          <w:color w:val="auto"/>
        </w:rPr>
        <w:t>There were four regular meetings and one special meeting of the Risk Committee held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100330</wp:posOffset>
            </wp:positionV>
            <wp:extent cx="58293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131"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143510</wp:posOffset>
            </wp:positionV>
            <wp:extent cx="58293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36" w:lineRule="auto"/>
        <w:rPr>
          <w:sz w:val="20"/>
          <w:szCs w:val="20"/>
          <w:color w:val="auto"/>
        </w:rPr>
      </w:pPr>
      <w:r>
        <w:rPr>
          <w:rFonts w:ascii="Arial" w:cs="Arial" w:eastAsia="Arial" w:hAnsi="Arial"/>
          <w:sz w:val="21"/>
          <w:szCs w:val="21"/>
          <w:color w:val="00C08A"/>
        </w:rPr>
        <w:t>COMPENSATION COMMITTEE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176" w:lineRule="exact"/>
        <w:rPr>
          <w:sz w:val="20"/>
          <w:szCs w:val="20"/>
          <w:color w:val="auto"/>
        </w:rPr>
      </w:pPr>
    </w:p>
    <w:p>
      <w:pPr>
        <w:ind w:left="760" w:right="20"/>
        <w:spacing w:after="0" w:line="318" w:lineRule="auto"/>
        <w:rPr>
          <w:sz w:val="20"/>
          <w:szCs w:val="20"/>
          <w:color w:val="auto"/>
        </w:rPr>
      </w:pPr>
      <w:r>
        <w:rPr>
          <w:rFonts w:ascii="Arial" w:cs="Arial" w:eastAsia="Arial" w:hAnsi="Arial"/>
          <w:sz w:val="17"/>
          <w:szCs w:val="17"/>
          <w:b w:val="1"/>
          <w:bCs w:val="1"/>
          <w:color w:val="auto"/>
        </w:rPr>
        <w:t>Number of Meetings Held in 2022: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6183630</wp:posOffset>
            </wp:positionV>
            <wp:extent cx="754380"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Compensation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32" w:lineRule="exact"/>
        <w:rPr>
          <w:sz w:val="20"/>
          <w:szCs w:val="20"/>
          <w:color w:val="auto"/>
        </w:rPr>
      </w:pPr>
    </w:p>
    <w:p>
      <w:pPr>
        <w:ind w:left="220" w:right="60"/>
        <w:spacing w:after="0" w:line="251" w:lineRule="auto"/>
        <w:rPr>
          <w:sz w:val="20"/>
          <w:szCs w:val="20"/>
          <w:color w:val="auto"/>
        </w:rPr>
      </w:pPr>
      <w:r>
        <w:rPr>
          <w:rFonts w:ascii="Arial" w:cs="Arial" w:eastAsia="Arial" w:hAnsi="Arial"/>
          <w:sz w:val="18"/>
          <w:szCs w:val="18"/>
          <w:color w:val="auto"/>
        </w:rPr>
        <w:t>Our Compensation Committee reviews and recommends policies relating to compensation and benefits of our directors and employees and is responsible for approving the compensation of our Chief Executive Officer and other executive officers. Our Chief Executive Officer annually reviews the performance of each of the other executive officers relative to individual and corporate annual performance goals established for the year. The Chief Executive Officer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2022 director and executive compensation arrangements based on the Compensation Committee’s recommendations, the recommendations of the Compensation Committee’s compensation consultant (described below) and the collective judgment of the directors. Our board of directors has adopted a written charter for the Compensation Committee, which is available on our corporate website at ir.virtu.com/corporategovernance/default.aspx.</w:t>
      </w:r>
    </w:p>
    <w:p>
      <w:pPr>
        <w:spacing w:after="0" w:line="101" w:lineRule="exact"/>
        <w:rPr>
          <w:sz w:val="20"/>
          <w:szCs w:val="20"/>
          <w:color w:val="auto"/>
        </w:rPr>
      </w:pPr>
    </w:p>
    <w:p>
      <w:pPr>
        <w:ind w:left="220" w:right="100"/>
        <w:spacing w:after="0" w:line="252" w:lineRule="auto"/>
        <w:rPr>
          <w:sz w:val="20"/>
          <w:szCs w:val="20"/>
          <w:color w:val="auto"/>
        </w:rPr>
      </w:pPr>
      <w:r>
        <w:rPr>
          <w:rFonts w:ascii="Arial" w:cs="Arial" w:eastAsia="Arial" w:hAnsi="Arial"/>
          <w:sz w:val="18"/>
          <w:szCs w:val="18"/>
          <w:color w:val="auto"/>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Nasdaq, including any applicable “controlled company” exemption. Additionally, pursuant to its written charter, the Compensation Committee has the sole authority to retain and terminate a compensation consultant and to approve the consultant’s fees and all other terms of the engagement.</w:t>
      </w:r>
    </w:p>
    <w:p>
      <w:pPr>
        <w:spacing w:after="0" w:line="97" w:lineRule="exact"/>
        <w:rPr>
          <w:sz w:val="20"/>
          <w:szCs w:val="20"/>
          <w:color w:val="auto"/>
        </w:rPr>
      </w:pPr>
    </w:p>
    <w:p>
      <w:pPr>
        <w:jc w:val="both"/>
        <w:ind w:left="220" w:right="220"/>
        <w:spacing w:after="0" w:line="256" w:lineRule="auto"/>
        <w:rPr>
          <w:sz w:val="20"/>
          <w:szCs w:val="20"/>
          <w:color w:val="auto"/>
        </w:rPr>
      </w:pPr>
      <w:r>
        <w:rPr>
          <w:rFonts w:ascii="Arial" w:cs="Arial" w:eastAsia="Arial" w:hAnsi="Arial"/>
          <w:sz w:val="18"/>
          <w:szCs w:val="18"/>
          <w:color w:val="auto"/>
        </w:rPr>
        <w:t>Our Compensation Committee also administers the issuance of awards under the Virtu Financial, Inc. Amended and Restated 2015 Management Incentive Plan (as amended from time to time, the “</w:t>
      </w:r>
      <w:r>
        <w:rPr>
          <w:rFonts w:ascii="Arial" w:cs="Arial" w:eastAsia="Arial" w:hAnsi="Arial"/>
          <w:sz w:val="18"/>
          <w:szCs w:val="18"/>
          <w:b w:val="1"/>
          <w:bCs w:val="1"/>
          <w:color w:val="auto"/>
        </w:rPr>
        <w:t>2015 Plan</w:t>
      </w:r>
      <w:r>
        <w:rPr>
          <w:rFonts w:ascii="Arial" w:cs="Arial" w:eastAsia="Arial" w:hAnsi="Arial"/>
          <w:sz w:val="18"/>
          <w:szCs w:val="18"/>
          <w:color w:val="auto"/>
        </w:rPr>
        <w:t>”).</w:t>
      </w:r>
    </w:p>
    <w:p>
      <w:pPr>
        <w:spacing w:after="0" w:line="94" w:lineRule="exact"/>
        <w:rPr>
          <w:sz w:val="20"/>
          <w:szCs w:val="20"/>
          <w:color w:val="auto"/>
        </w:rPr>
      </w:pPr>
    </w:p>
    <w:p>
      <w:pPr>
        <w:ind w:left="220" w:right="120"/>
        <w:spacing w:after="0" w:line="252" w:lineRule="auto"/>
        <w:rPr>
          <w:sz w:val="20"/>
          <w:szCs w:val="20"/>
          <w:color w:val="auto"/>
        </w:rPr>
      </w:pPr>
      <w:r>
        <w:rPr>
          <w:rFonts w:ascii="Arial" w:cs="Arial" w:eastAsia="Arial" w:hAnsi="Arial"/>
          <w:sz w:val="18"/>
          <w:szCs w:val="18"/>
          <w:color w:val="auto"/>
        </w:rPr>
        <w:t xml:space="preserve">Messrs. Grano, Quick and Urban are the members of our Compensation Committee. Because we are a “controlled company” under the rules of Nasdaq (see “Controlled Company Status” on page </w:t>
      </w:r>
      <w:r>
        <w:rPr>
          <w:rFonts w:ascii="Arial" w:cs="Arial" w:eastAsia="Arial" w:hAnsi="Arial"/>
          <w:sz w:val="18"/>
          <w:szCs w:val="18"/>
          <w:u w:val="single" w:color="auto"/>
          <w:color w:val="0000EE"/>
        </w:rPr>
        <w:t>14</w:t>
      </w:r>
      <w:r>
        <w:rPr>
          <w:rFonts w:ascii="Arial" w:cs="Arial" w:eastAsia="Arial" w:hAnsi="Arial"/>
          <w:sz w:val="18"/>
          <w:szCs w:val="18"/>
          <w:color w:val="auto"/>
        </w:rPr>
        <w:t xml:space="preserve">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to the extent necessary in order to comply with such rules. However, our Compensation Committee is currently comprised entirely of independent directors.</w:t>
      </w:r>
    </w:p>
    <w:p>
      <w:pPr>
        <w:spacing w:after="0" w:line="97" w:lineRule="exact"/>
        <w:rPr>
          <w:sz w:val="20"/>
          <w:szCs w:val="20"/>
          <w:color w:val="auto"/>
        </w:rPr>
      </w:pPr>
    </w:p>
    <w:p>
      <w:pPr>
        <w:ind w:left="220" w:right="760"/>
        <w:spacing w:after="0" w:line="261" w:lineRule="auto"/>
        <w:rPr>
          <w:sz w:val="20"/>
          <w:szCs w:val="20"/>
          <w:color w:val="auto"/>
        </w:rPr>
      </w:pPr>
      <w:r>
        <w:rPr>
          <w:rFonts w:ascii="Arial" w:cs="Arial" w:eastAsia="Arial" w:hAnsi="Arial"/>
          <w:sz w:val="18"/>
          <w:szCs w:val="18"/>
          <w:color w:val="auto"/>
        </w:rPr>
        <w:t>There were two regular meetings and one special meeting of the Compensation Committee held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100330</wp:posOffset>
            </wp:positionV>
            <wp:extent cx="58293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200"/>
            <w:col w:w="7300"/>
          </w:cols>
          <w:pgMar w:left="580" w:top="131"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2680" w:type="dxa"/>
            <w:vAlign w:val="bottom"/>
            <w:gridSpan w:val="2"/>
          </w:tcPr>
          <w:p>
            <w:pPr>
              <w:spacing w:after="0"/>
              <w:rPr>
                <w:sz w:val="20"/>
                <w:szCs w:val="20"/>
                <w:color w:val="auto"/>
              </w:rPr>
            </w:pPr>
            <w:r>
              <w:rPr>
                <w:rFonts w:ascii="Arial" w:cs="Arial" w:eastAsia="Arial" w:hAnsi="Arial"/>
                <w:sz w:val="14"/>
                <w:szCs w:val="14"/>
                <w:color w:val="003366"/>
              </w:rPr>
              <w:t>TABLE OF CONTENTS</w:t>
            </w:r>
          </w:p>
        </w:tc>
        <w:tc>
          <w:tcPr>
            <w:tcW w:w="2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760" w:type="dxa"/>
            <w:vAlign w:val="bottom"/>
          </w:tcPr>
          <w:p>
            <w:pPr>
              <w:spacing w:after="0"/>
              <w:rPr>
                <w:sz w:val="24"/>
                <w:szCs w:val="24"/>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CORPORATE GOVERNANCE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920" w:type="dxa"/>
            <w:vAlign w:val="bottom"/>
            <w:tcBorders>
              <w:bottom w:val="single" w:sz="8" w:color="00C08A"/>
            </w:tcBorders>
          </w:tcPr>
          <w:p>
            <w:pPr>
              <w:spacing w:after="0"/>
              <w:rPr>
                <w:sz w:val="18"/>
                <w:szCs w:val="18"/>
                <w:color w:val="auto"/>
              </w:rPr>
            </w:pPr>
          </w:p>
        </w:tc>
        <w:tc>
          <w:tcPr>
            <w:tcW w:w="220" w:type="dxa"/>
            <w:vAlign w:val="bottom"/>
            <w:tcBorders>
              <w:bottom w:val="single" w:sz="8" w:color="00C08A"/>
            </w:tcBorders>
          </w:tcPr>
          <w:p>
            <w:pPr>
              <w:spacing w:after="0"/>
              <w:rPr>
                <w:sz w:val="18"/>
                <w:szCs w:val="18"/>
                <w:color w:val="auto"/>
              </w:rPr>
            </w:pPr>
          </w:p>
        </w:tc>
        <w:tc>
          <w:tcPr>
            <w:tcW w:w="7040" w:type="dxa"/>
            <w:vAlign w:val="bottom"/>
            <w:tcBorders>
              <w:bottom w:val="single" w:sz="8" w:color="00C08A"/>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920" w:type="dxa"/>
            <w:vAlign w:val="bottom"/>
          </w:tcPr>
          <w:p>
            <w:pPr>
              <w:spacing w:after="0" w:line="169" w:lineRule="exact"/>
              <w:rPr>
                <w:sz w:val="20"/>
                <w:szCs w:val="20"/>
                <w:color w:val="auto"/>
              </w:rPr>
            </w:pPr>
            <w:r>
              <w:rPr>
                <w:rFonts w:ascii="Arial" w:cs="Arial" w:eastAsia="Arial" w:hAnsi="Arial"/>
                <w:sz w:val="18"/>
                <w:szCs w:val="18"/>
                <w:color w:val="auto"/>
              </w:rPr>
              <w:t>​</w:t>
            </w:r>
          </w:p>
        </w:tc>
        <w:tc>
          <w:tcPr>
            <w:tcW w:w="220" w:type="dxa"/>
            <w:vAlign w:val="bottom"/>
          </w:tcPr>
          <w:p>
            <w:pPr>
              <w:ind w:left="20"/>
              <w:spacing w:after="0" w:line="169" w:lineRule="exact"/>
              <w:rPr>
                <w:sz w:val="20"/>
                <w:szCs w:val="20"/>
                <w:color w:val="auto"/>
              </w:rPr>
            </w:pPr>
            <w:r>
              <w:rPr>
                <w:rFonts w:ascii="Arial" w:cs="Arial" w:eastAsia="Arial" w:hAnsi="Arial"/>
                <w:sz w:val="18"/>
                <w:szCs w:val="18"/>
                <w:color w:val="auto"/>
              </w:rPr>
              <w:t>​ ​</w:t>
            </w:r>
          </w:p>
        </w:tc>
        <w:tc>
          <w:tcPr>
            <w:tcW w:w="7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The Nominating and Corporate Governance Committee’s responsibilities include:</w:t>
            </w:r>
          </w:p>
        </w:tc>
        <w:tc>
          <w:tcPr>
            <w:tcW w:w="60" w:type="dxa"/>
            <w:vAlign w:val="bottom"/>
          </w:tcPr>
          <w:p>
            <w:pPr>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920" w:type="dxa"/>
            <w:vAlign w:val="bottom"/>
          </w:tcPr>
          <w:p>
            <w:pPr>
              <w:spacing w:after="0" w:line="156" w:lineRule="exact"/>
              <w:rPr>
                <w:sz w:val="20"/>
                <w:szCs w:val="20"/>
                <w:color w:val="auto"/>
              </w:rPr>
            </w:pPr>
            <w:r>
              <w:rPr>
                <w:rFonts w:ascii="Arial" w:cs="Arial" w:eastAsia="Arial" w:hAnsi="Arial"/>
                <w:sz w:val="18"/>
                <w:szCs w:val="18"/>
                <w:color w:val="00C08A"/>
              </w:rPr>
              <w:t>NOMINATING AND</w:t>
            </w:r>
          </w:p>
        </w:tc>
        <w:tc>
          <w:tcPr>
            <w:tcW w:w="220" w:type="dxa"/>
            <w:vAlign w:val="bottom"/>
          </w:tcPr>
          <w:p>
            <w:pPr>
              <w:spacing w:after="0"/>
              <w:rPr>
                <w:sz w:val="13"/>
                <w:szCs w:val="13"/>
                <w:color w:val="auto"/>
              </w:rPr>
            </w:pPr>
          </w:p>
        </w:tc>
        <w:tc>
          <w:tcPr>
            <w:tcW w:w="7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920" w:type="dxa"/>
            <w:vAlign w:val="bottom"/>
          </w:tcPr>
          <w:p>
            <w:pPr>
              <w:spacing w:after="0" w:line="216" w:lineRule="exact"/>
              <w:rPr>
                <w:sz w:val="20"/>
                <w:szCs w:val="20"/>
                <w:color w:val="auto"/>
              </w:rPr>
            </w:pPr>
            <w:r>
              <w:rPr>
                <w:rFonts w:ascii="Arial" w:cs="Arial" w:eastAsia="Arial" w:hAnsi="Arial"/>
                <w:sz w:val="22"/>
                <w:szCs w:val="22"/>
                <w:color w:val="00C08A"/>
              </w:rPr>
              <w:t>CORPORATE</w:t>
            </w:r>
          </w:p>
        </w:tc>
        <w:tc>
          <w:tcPr>
            <w:tcW w:w="220" w:type="dxa"/>
            <w:vAlign w:val="bottom"/>
          </w:tcPr>
          <w:p>
            <w:pPr>
              <w:spacing w:after="0"/>
              <w:rPr>
                <w:sz w:val="18"/>
                <w:szCs w:val="18"/>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Our Nominating and Corporate Governance Committee selects or recommends that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1920" w:type="dxa"/>
            <w:vAlign w:val="bottom"/>
            <w:vMerge w:val="restart"/>
          </w:tcPr>
          <w:p>
            <w:pPr>
              <w:spacing w:after="0" w:line="216" w:lineRule="exact"/>
              <w:rPr>
                <w:sz w:val="20"/>
                <w:szCs w:val="20"/>
                <w:color w:val="auto"/>
              </w:rPr>
            </w:pPr>
            <w:r>
              <w:rPr>
                <w:rFonts w:ascii="Arial" w:cs="Arial" w:eastAsia="Arial" w:hAnsi="Arial"/>
                <w:sz w:val="22"/>
                <w:szCs w:val="22"/>
                <w:color w:val="00C08A"/>
              </w:rPr>
              <w:t>GOVERNANCE</w:t>
            </w:r>
          </w:p>
        </w:tc>
        <w:tc>
          <w:tcPr>
            <w:tcW w:w="220" w:type="dxa"/>
            <w:vAlign w:val="bottom"/>
          </w:tcPr>
          <w:p>
            <w:pPr>
              <w:spacing w:after="0"/>
              <w:rPr>
                <w:sz w:val="11"/>
                <w:szCs w:val="11"/>
                <w:color w:val="auto"/>
              </w:rPr>
            </w:pPr>
          </w:p>
        </w:tc>
        <w:tc>
          <w:tcPr>
            <w:tcW w:w="7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76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board of directors select candidates for election to our board of directors, develops and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1920" w:type="dxa"/>
            <w:vAlign w:val="bottom"/>
            <w:vMerge w:val="restart"/>
          </w:tcPr>
          <w:p>
            <w:pPr>
              <w:spacing w:after="0"/>
              <w:rPr>
                <w:sz w:val="20"/>
                <w:szCs w:val="20"/>
                <w:color w:val="auto"/>
              </w:rPr>
            </w:pPr>
            <w:r>
              <w:rPr>
                <w:rFonts w:ascii="Arial" w:cs="Arial" w:eastAsia="Arial" w:hAnsi="Arial"/>
                <w:sz w:val="22"/>
                <w:szCs w:val="22"/>
                <w:color w:val="00C08A"/>
              </w:rPr>
              <w:t>COMMITTEE</w:t>
            </w:r>
          </w:p>
        </w:tc>
        <w:tc>
          <w:tcPr>
            <w:tcW w:w="220" w:type="dxa"/>
            <w:vAlign w:val="bottom"/>
          </w:tcPr>
          <w:p>
            <w:pPr>
              <w:spacing w:after="0"/>
              <w:rPr>
                <w:sz w:val="11"/>
                <w:szCs w:val="11"/>
                <w:color w:val="auto"/>
              </w:rPr>
            </w:pPr>
          </w:p>
        </w:tc>
        <w:tc>
          <w:tcPr>
            <w:tcW w:w="7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6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recommends to the board of directors corporate governance guidelines that 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Members</w:t>
            </w:r>
          </w:p>
        </w:tc>
        <w:tc>
          <w:tcPr>
            <w:tcW w:w="22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applicable to us and oversees board of director and management evaluations.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920" w:type="dxa"/>
            <w:vAlign w:val="bottom"/>
            <w:vMerge w:val="restart"/>
          </w:tcPr>
          <w:p>
            <w:pPr>
              <w:spacing w:after="0"/>
              <w:rPr>
                <w:sz w:val="20"/>
                <w:szCs w:val="20"/>
                <w:color w:val="auto"/>
              </w:rPr>
            </w:pPr>
            <w:r>
              <w:rPr>
                <w:rFonts w:ascii="Arial" w:cs="Arial" w:eastAsia="Arial" w:hAnsi="Arial"/>
                <w:sz w:val="18"/>
                <w:szCs w:val="18"/>
                <w:color w:val="auto"/>
              </w:rPr>
              <w:t>Joanne M. Minieri</w:t>
            </w:r>
          </w:p>
        </w:tc>
        <w:tc>
          <w:tcPr>
            <w:tcW w:w="22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addition, our Nominating and Corporate Governance Committee recommends to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board of directors for approval director nominees, consistent with our director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920" w:type="dxa"/>
            <w:vAlign w:val="bottom"/>
            <w:vMerge w:val="restart"/>
          </w:tcPr>
          <w:p>
            <w:pPr>
              <w:spacing w:after="0"/>
              <w:rPr>
                <w:sz w:val="20"/>
                <w:szCs w:val="20"/>
                <w:color w:val="auto"/>
              </w:rPr>
            </w:pPr>
            <w:r>
              <w:rPr>
                <w:rFonts w:ascii="Arial" w:cs="Arial" w:eastAsia="Arial" w:hAnsi="Arial"/>
                <w:sz w:val="18"/>
                <w:szCs w:val="18"/>
                <w:color w:val="auto"/>
              </w:rPr>
              <w:t>John D. Nixon</w:t>
            </w:r>
          </w:p>
        </w:tc>
        <w:tc>
          <w:tcPr>
            <w:tcW w:w="22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qualifications criteria and any obligations under certain contractual arrangements. Our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920" w:type="dxa"/>
            <w:vAlign w:val="bottom"/>
            <w:vMerge w:val="restart"/>
          </w:tcPr>
          <w:p>
            <w:pPr>
              <w:spacing w:after="0"/>
              <w:rPr>
                <w:sz w:val="20"/>
                <w:szCs w:val="20"/>
                <w:color w:val="auto"/>
              </w:rPr>
            </w:pPr>
            <w:r>
              <w:rPr>
                <w:rFonts w:ascii="Arial" w:cs="Arial" w:eastAsia="Arial" w:hAnsi="Arial"/>
                <w:sz w:val="18"/>
                <w:szCs w:val="18"/>
                <w:color w:val="auto"/>
              </w:rPr>
              <w:t>Christopher C. Quick</w:t>
            </w:r>
          </w:p>
        </w:tc>
        <w:tc>
          <w:tcPr>
            <w:tcW w:w="22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board of directors has adopted a written charter for the Nominating and Corporate</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920" w:type="dxa"/>
            <w:vAlign w:val="bottom"/>
            <w:vMerge w:val="restart"/>
          </w:tcPr>
          <w:p>
            <w:pPr>
              <w:spacing w:after="0"/>
              <w:rPr>
                <w:sz w:val="20"/>
                <w:szCs w:val="20"/>
                <w:color w:val="auto"/>
              </w:rPr>
            </w:pPr>
            <w:r>
              <w:rPr>
                <w:rFonts w:ascii="Arial" w:cs="Arial" w:eastAsia="Arial" w:hAnsi="Arial"/>
                <w:sz w:val="18"/>
                <w:szCs w:val="18"/>
                <w:color w:val="auto"/>
              </w:rPr>
              <w:t>Michael T. Viola</w:t>
            </w:r>
          </w:p>
        </w:tc>
        <w:tc>
          <w:tcPr>
            <w:tcW w:w="22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Governance Committee, which is available on our corporate website at ir.virtu.com/​</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Number of Meetings</w:t>
            </w:r>
          </w:p>
        </w:tc>
        <w:tc>
          <w:tcPr>
            <w:tcW w:w="22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corporate governance/default.aspx.</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b w:val="1"/>
                <w:bCs w:val="1"/>
                <w:color w:val="auto"/>
              </w:rPr>
              <w:t>Held in 2022: 4</w:t>
            </w:r>
          </w:p>
        </w:tc>
        <w:tc>
          <w:tcPr>
            <w:tcW w:w="7480" w:type="dxa"/>
            <w:vAlign w:val="bottom"/>
            <w:gridSpan w:val="3"/>
            <w:vMerge w:val="restart"/>
          </w:tcPr>
          <w:p>
            <w:pPr>
              <w:ind w:left="460"/>
              <w:spacing w:after="0"/>
              <w:rPr>
                <w:sz w:val="20"/>
                <w:szCs w:val="20"/>
                <w:color w:val="auto"/>
              </w:rPr>
            </w:pPr>
            <w:r>
              <w:rPr>
                <w:rFonts w:ascii="Arial" w:cs="Arial" w:eastAsia="Arial" w:hAnsi="Arial"/>
                <w:sz w:val="18"/>
                <w:szCs w:val="18"/>
                <w:color w:val="auto"/>
              </w:rPr>
              <w:t>Ms. Minieri, and Messrs. Nixon, Quick and Michael Viola are the members of our</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74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480" w:type="dxa"/>
            <w:vAlign w:val="bottom"/>
            <w:gridSpan w:val="3"/>
          </w:tcPr>
          <w:p>
            <w:pPr>
              <w:ind w:left="460"/>
              <w:spacing w:after="0"/>
              <w:rPr>
                <w:sz w:val="20"/>
                <w:szCs w:val="20"/>
                <w:color w:val="auto"/>
              </w:rPr>
            </w:pPr>
            <w:r>
              <w:rPr>
                <w:rFonts w:ascii="Arial" w:cs="Arial" w:eastAsia="Arial" w:hAnsi="Arial"/>
                <w:sz w:val="18"/>
                <w:szCs w:val="18"/>
                <w:color w:val="auto"/>
              </w:rPr>
              <w:t>Nominating and Corporate Governance Committee. Because we are a “controlled</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7480" w:type="dxa"/>
            <w:vAlign w:val="bottom"/>
            <w:gridSpan w:val="3"/>
          </w:tcPr>
          <w:p>
            <w:pPr>
              <w:ind w:left="460"/>
              <w:spacing w:after="0" w:line="176" w:lineRule="exact"/>
              <w:rPr>
                <w:sz w:val="20"/>
                <w:szCs w:val="20"/>
                <w:color w:val="auto"/>
              </w:rPr>
            </w:pPr>
            <w:r>
              <w:rPr>
                <w:rFonts w:ascii="Arial" w:cs="Arial" w:eastAsia="Arial" w:hAnsi="Arial"/>
                <w:sz w:val="18"/>
                <w:szCs w:val="18"/>
                <w:color w:val="auto"/>
              </w:rPr>
              <w:t xml:space="preserve">company” under the rules of Nasdaq (see “Controlled Company Status” on page </w:t>
            </w:r>
            <w:r>
              <w:rPr>
                <w:rFonts w:ascii="Arial" w:cs="Arial" w:eastAsia="Arial" w:hAnsi="Arial"/>
                <w:sz w:val="18"/>
                <w:szCs w:val="18"/>
                <w:color w:val="0000EE"/>
              </w:rPr>
              <w:t>14</w:t>
            </w:r>
            <w:r>
              <w:rPr>
                <w:rFonts w:ascii="Arial" w:cs="Arial" w:eastAsia="Arial" w:hAnsi="Arial"/>
                <w:sz w:val="18"/>
                <w:szCs w:val="18"/>
                <w:color w:val="auto"/>
              </w:rPr>
              <w:t xml:space="preserve"> of</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tcPr>
          <w:p>
            <w:pPr>
              <w:spacing w:after="0"/>
              <w:rPr>
                <w:sz w:val="20"/>
                <w:szCs w:val="20"/>
                <w:color w:val="auto"/>
              </w:rPr>
            </w:pPr>
          </w:p>
        </w:tc>
        <w:tc>
          <w:tcPr>
            <w:tcW w:w="7480" w:type="dxa"/>
            <w:vAlign w:val="bottom"/>
            <w:gridSpan w:val="3"/>
          </w:tcPr>
          <w:p>
            <w:pPr>
              <w:ind w:left="460"/>
              <w:spacing w:after="0"/>
              <w:rPr>
                <w:sz w:val="20"/>
                <w:szCs w:val="20"/>
                <w:color w:val="auto"/>
              </w:rPr>
            </w:pPr>
            <w:r>
              <w:rPr>
                <w:rFonts w:ascii="Arial" w:cs="Arial" w:eastAsia="Arial" w:hAnsi="Arial"/>
                <w:sz w:val="18"/>
                <w:szCs w:val="18"/>
                <w:color w:val="auto"/>
              </w:rPr>
              <w:t>this proxy statement), our Nominating and Corporate Governance Committee is not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480" w:type="dxa"/>
            <w:vAlign w:val="bottom"/>
            <w:gridSpan w:val="3"/>
          </w:tcPr>
          <w:p>
            <w:pPr>
              <w:ind w:left="460"/>
              <w:spacing w:after="0"/>
              <w:rPr>
                <w:sz w:val="20"/>
                <w:szCs w:val="20"/>
                <w:color w:val="auto"/>
              </w:rPr>
            </w:pPr>
            <w:r>
              <w:rPr>
                <w:rFonts w:ascii="Arial" w:cs="Arial" w:eastAsia="Arial" w:hAnsi="Arial"/>
                <w:sz w:val="18"/>
                <w:szCs w:val="18"/>
                <w:color w:val="auto"/>
              </w:rPr>
              <w:t>required to be fully independent, although if such rules change in the future or we no</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480" w:type="dxa"/>
            <w:vAlign w:val="bottom"/>
            <w:gridSpan w:val="3"/>
          </w:tcPr>
          <w:p>
            <w:pPr>
              <w:ind w:left="460"/>
              <w:spacing w:after="0"/>
              <w:rPr>
                <w:sz w:val="20"/>
                <w:szCs w:val="20"/>
                <w:color w:val="auto"/>
              </w:rPr>
            </w:pPr>
            <w:r>
              <w:rPr>
                <w:rFonts w:ascii="Arial" w:cs="Arial" w:eastAsia="Arial" w:hAnsi="Arial"/>
                <w:sz w:val="18"/>
                <w:szCs w:val="18"/>
                <w:color w:val="auto"/>
                <w:w w:val="99"/>
              </w:rPr>
              <w:t>longer meet the definition of a controlled company under the current rules, we will adjust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480" w:type="dxa"/>
            <w:vAlign w:val="bottom"/>
            <w:gridSpan w:val="3"/>
          </w:tcPr>
          <w:p>
            <w:pPr>
              <w:ind w:left="460"/>
              <w:spacing w:after="0"/>
              <w:rPr>
                <w:sz w:val="20"/>
                <w:szCs w:val="20"/>
                <w:color w:val="auto"/>
              </w:rPr>
            </w:pPr>
            <w:r>
              <w:rPr>
                <w:rFonts w:ascii="Arial" w:cs="Arial" w:eastAsia="Arial" w:hAnsi="Arial"/>
                <w:sz w:val="18"/>
                <w:szCs w:val="18"/>
                <w:color w:val="auto"/>
                <w:w w:val="99"/>
              </w:rPr>
              <w:t>the composition of the Nominating and Corporate Governance Committee accordingly in</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480" w:type="dxa"/>
            <w:vAlign w:val="bottom"/>
            <w:gridSpan w:val="3"/>
          </w:tcPr>
          <w:p>
            <w:pPr>
              <w:ind w:left="460"/>
              <w:spacing w:after="0"/>
              <w:rPr>
                <w:sz w:val="20"/>
                <w:szCs w:val="20"/>
                <w:color w:val="auto"/>
              </w:rPr>
            </w:pPr>
            <w:r>
              <w:rPr>
                <w:rFonts w:ascii="Arial" w:cs="Arial" w:eastAsia="Arial" w:hAnsi="Arial"/>
                <w:sz w:val="18"/>
                <w:szCs w:val="18"/>
                <w:color w:val="auto"/>
              </w:rPr>
              <w:t>order to comply with such rules. As described elsewhere in this proxy statement,</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7480" w:type="dxa"/>
            <w:vAlign w:val="bottom"/>
            <w:gridSpan w:val="3"/>
          </w:tcPr>
          <w:p>
            <w:pPr>
              <w:ind w:left="460"/>
              <w:spacing w:after="0"/>
              <w:rPr>
                <w:sz w:val="20"/>
                <w:szCs w:val="20"/>
                <w:color w:val="auto"/>
              </w:rPr>
            </w:pPr>
            <w:r>
              <w:rPr>
                <w:rFonts w:ascii="Arial" w:cs="Arial" w:eastAsia="Arial" w:hAnsi="Arial"/>
                <w:sz w:val="18"/>
                <w:szCs w:val="18"/>
                <w:color w:val="auto"/>
              </w:rPr>
              <w:t>Mr. Michael Viola is not independent.</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4"/>
                <w:szCs w:val="24"/>
                <w:color w:val="auto"/>
              </w:rPr>
            </w:pPr>
          </w:p>
        </w:tc>
        <w:tc>
          <w:tcPr>
            <w:tcW w:w="7480" w:type="dxa"/>
            <w:vAlign w:val="bottom"/>
            <w:gridSpan w:val="3"/>
          </w:tcPr>
          <w:p>
            <w:pPr>
              <w:ind w:left="460"/>
              <w:spacing w:after="0"/>
              <w:rPr>
                <w:sz w:val="20"/>
                <w:szCs w:val="20"/>
                <w:color w:val="auto"/>
              </w:rPr>
            </w:pPr>
            <w:r>
              <w:rPr>
                <w:rFonts w:ascii="Arial" w:cs="Arial" w:eastAsia="Arial" w:hAnsi="Arial"/>
                <w:sz w:val="18"/>
                <w:szCs w:val="18"/>
                <w:color w:val="auto"/>
              </w:rPr>
              <w:t>There were four regular meetings of the Nominating and Corporate Governance</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7480" w:type="dxa"/>
            <w:vAlign w:val="bottom"/>
            <w:gridSpan w:val="3"/>
          </w:tcPr>
          <w:p>
            <w:pPr>
              <w:ind w:left="460"/>
              <w:spacing w:after="0"/>
              <w:rPr>
                <w:sz w:val="20"/>
                <w:szCs w:val="20"/>
                <w:color w:val="auto"/>
              </w:rPr>
            </w:pPr>
            <w:r>
              <w:rPr>
                <w:rFonts w:ascii="Arial" w:cs="Arial" w:eastAsia="Arial" w:hAnsi="Arial"/>
                <w:sz w:val="18"/>
                <w:szCs w:val="18"/>
                <w:color w:val="auto"/>
              </w:rPr>
              <w:t>Committee held during 2022.</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00C08A"/>
            </w:tcBorders>
          </w:tcPr>
          <w:p>
            <w:pPr>
              <w:spacing w:after="0"/>
              <w:rPr>
                <w:sz w:val="15"/>
                <w:szCs w:val="15"/>
                <w:color w:val="auto"/>
              </w:rPr>
            </w:pPr>
          </w:p>
        </w:tc>
        <w:tc>
          <w:tcPr>
            <w:tcW w:w="6860" w:type="dxa"/>
            <w:vAlign w:val="bottom"/>
            <w:tcBorders>
              <w:bottom w:val="single" w:sz="8" w:color="00C08A"/>
            </w:tcBorders>
          </w:tcPr>
          <w:p>
            <w:pPr>
              <w:spacing w:after="0"/>
              <w:rPr>
                <w:sz w:val="15"/>
                <w:szCs w:val="15"/>
                <w:color w:val="auto"/>
              </w:rPr>
            </w:pPr>
          </w:p>
        </w:tc>
        <w:tc>
          <w:tcPr>
            <w:tcW w:w="200" w:type="dxa"/>
            <w:vAlign w:val="bottom"/>
            <w:tcBorders>
              <w:bottom w:val="single" w:sz="8" w:color="00C08A"/>
            </w:tcBorders>
          </w:tcPr>
          <w:p>
            <w:pPr>
              <w:spacing w:after="0"/>
              <w:rPr>
                <w:sz w:val="15"/>
                <w:szCs w:val="15"/>
                <w:color w:val="auto"/>
              </w:rPr>
            </w:pPr>
          </w:p>
        </w:tc>
        <w:tc>
          <w:tcPr>
            <w:tcW w:w="420" w:type="dxa"/>
            <w:vAlign w:val="bottom"/>
            <w:tcBorders>
              <w:bottom w:val="single" w:sz="8" w:color="00C08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Policy Regarding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79375</wp:posOffset>
            </wp:positionV>
            <wp:extent cx="58293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760" w:right="60"/>
        <w:spacing w:after="0" w:line="262" w:lineRule="auto"/>
        <w:rPr>
          <w:sz w:val="20"/>
          <w:szCs w:val="20"/>
          <w:color w:val="auto"/>
        </w:rPr>
      </w:pPr>
      <w:r>
        <w:rPr>
          <w:rFonts w:ascii="Arial" w:cs="Arial" w:eastAsia="Arial" w:hAnsi="Arial"/>
          <w:sz w:val="18"/>
          <w:szCs w:val="18"/>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considers specific characteristics and expertise that it believes will enhance the diversity of knowledge, expertise, background and personal characteristics of our board of directors, which assessment is aided by a Board skills and experience matrix which is maintained by the Committee and disclosed above on page 3. Specifically, the Nominating and Corporate Governance Committee charter provides that, in performing its responsibilities for identifying, recruiting and recommending candidates to the board of directors, the Nominating and Corporate Governance Committee shall actively seek to include in each candidate search qualified candidates who reflect diverse backgrounds, including diversity of gender, race and ethnicity.</w:t>
      </w:r>
    </w:p>
    <w:p>
      <w:pPr>
        <w:spacing w:after="0" w:line="104" w:lineRule="exact"/>
        <w:rPr>
          <w:sz w:val="20"/>
          <w:szCs w:val="20"/>
          <w:color w:val="auto"/>
        </w:rPr>
      </w:pPr>
    </w:p>
    <w:p>
      <w:pPr>
        <w:ind w:left="760" w:right="140"/>
        <w:spacing w:after="0" w:line="261" w:lineRule="auto"/>
        <w:rPr>
          <w:sz w:val="20"/>
          <w:szCs w:val="20"/>
          <w:color w:val="auto"/>
        </w:rPr>
      </w:pPr>
      <w:r>
        <w:rPr>
          <w:rFonts w:ascii="Arial" w:cs="Arial" w:eastAsia="Arial" w:hAnsi="Arial"/>
          <w:sz w:val="18"/>
          <w:szCs w:val="18"/>
          <w:color w:val="auto"/>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 (2) comply with the duties and responsibilities set forth in our Corporate Governance Guidelines and in our bylaws; (3) comply with all duties of care, loyalty and confidentiality applicable to them as directors of publicly traded corporations organized in Delaware; and (4) adhere to our code of conduct and ethics.</w:t>
      </w:r>
    </w:p>
    <w:p>
      <w:pPr>
        <w:spacing w:after="0" w:line="103" w:lineRule="exact"/>
        <w:rPr>
          <w:sz w:val="20"/>
          <w:szCs w:val="20"/>
          <w:color w:val="auto"/>
        </w:rPr>
      </w:pPr>
    </w:p>
    <w:p>
      <w:pPr>
        <w:ind w:left="760" w:right="540"/>
        <w:spacing w:after="0" w:line="277" w:lineRule="auto"/>
        <w:rPr>
          <w:sz w:val="20"/>
          <w:szCs w:val="20"/>
          <w:color w:val="auto"/>
        </w:rPr>
      </w:pPr>
      <w:r>
        <w:rPr>
          <w:rFonts w:ascii="Arial" w:cs="Arial" w:eastAsia="Arial" w:hAnsi="Arial"/>
          <w:sz w:val="18"/>
          <w:szCs w:val="18"/>
          <w:color w:val="auto"/>
        </w:rPr>
        <w:t>In its discretion, the Nominating and Corporate Governance Committee will also consider recommendations of qualified nominees by stockholders by evaluating the same factors as described above.</w:t>
      </w:r>
    </w:p>
    <w:p>
      <w:pPr>
        <w:spacing w:after="0" w:line="26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In addition to the board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65 of this proxy statement.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240"/>
        <w:spacing w:after="0" w:line="252" w:lineRule="auto"/>
        <w:rPr>
          <w:sz w:val="20"/>
          <w:szCs w:val="20"/>
          <w:color w:val="auto"/>
        </w:rPr>
      </w:pPr>
      <w:r>
        <w:rPr>
          <w:rFonts w:ascii="Arial" w:cs="Arial" w:eastAsia="Arial" w:hAnsi="Arial"/>
          <w:sz w:val="18"/>
          <w:szCs w:val="18"/>
          <w:color w:val="auto"/>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1633 Broadway, New York, New York 10019.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p>
    <w:p>
      <w:pPr>
        <w:spacing w:after="0" w:line="100"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002453"/>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During the year ended December 31, 2022, no member of the Compensation Committee was one of our officers or employees. None of our executive officers serves on the Compensation Committee or board of directors of any other company of which any of the members of our Compensation Committee or any of our directors is an executive officer.</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Code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760" w:right="280"/>
        <w:spacing w:after="0" w:line="256" w:lineRule="auto"/>
        <w:rPr>
          <w:sz w:val="20"/>
          <w:szCs w:val="20"/>
          <w:color w:val="auto"/>
        </w:rPr>
      </w:pPr>
      <w:r>
        <w:rPr>
          <w:rFonts w:ascii="Arial" w:cs="Arial" w:eastAsia="Arial" w:hAnsi="Arial"/>
          <w:sz w:val="18"/>
          <w:szCs w:val="18"/>
          <w:color w:val="auto"/>
        </w:rPr>
        <w:t>We have adopted a code of conduct and ethics applicable to our employees, officers and directors. A copy of that code is available on our corporate website at ir.virtu.com/corporategovernance/default.aspx. We expect that any amendments to the code, or any waivers of its requirements, will be disclosed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3617595</wp:posOffset>
            </wp:positionV>
            <wp:extent cx="754380"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right="340"/>
        <w:spacing w:after="0" w:line="231" w:lineRule="auto"/>
        <w:rPr>
          <w:sz w:val="20"/>
          <w:szCs w:val="20"/>
          <w:color w:val="auto"/>
        </w:rPr>
      </w:pPr>
      <w:r>
        <w:rPr>
          <w:rFonts w:ascii="Arial" w:cs="Arial" w:eastAsia="Arial" w:hAnsi="Arial"/>
          <w:sz w:val="54"/>
          <w:szCs w:val="54"/>
          <w:color w:val="002453"/>
        </w:rPr>
        <w:t>Proposal 2: Advisory Vote to Approve Compensation of Named Executive Officers</w:t>
      </w:r>
    </w:p>
    <w:p>
      <w:pPr>
        <w:spacing w:after="0" w:line="101"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In accordance with the requirements of Section 14A of the Exchange Act and Exchange Act Rule 14a 21(a), we are including in this proxy statement a separate resolution to approve, in a non-binding, stockholder advisory vote, the compensation paid to our named executive officers as disclosed in “Executive Compensation” below (the “</w:t>
      </w:r>
      <w:r>
        <w:rPr>
          <w:rFonts w:ascii="Arial" w:cs="Arial" w:eastAsia="Arial" w:hAnsi="Arial"/>
          <w:sz w:val="18"/>
          <w:szCs w:val="18"/>
          <w:b w:val="1"/>
          <w:bCs w:val="1"/>
          <w:color w:val="auto"/>
        </w:rPr>
        <w:t>say-on-pay vote</w:t>
      </w:r>
      <w:r>
        <w:rPr>
          <w:rFonts w:ascii="Arial" w:cs="Arial" w:eastAsia="Arial" w:hAnsi="Arial"/>
          <w:sz w:val="18"/>
          <w:szCs w:val="18"/>
          <w:color w:val="auto"/>
        </w:rPr>
        <w:t>”).</w:t>
      </w:r>
    </w:p>
    <w:p>
      <w:pPr>
        <w:spacing w:after="0" w:line="96" w:lineRule="exact"/>
        <w:rPr>
          <w:sz w:val="20"/>
          <w:szCs w:val="20"/>
          <w:color w:val="auto"/>
        </w:rPr>
      </w:pPr>
    </w:p>
    <w:p>
      <w:pPr>
        <w:ind w:left="760" w:right="580"/>
        <w:spacing w:after="0" w:line="291" w:lineRule="auto"/>
        <w:rPr>
          <w:sz w:val="20"/>
          <w:szCs w:val="20"/>
          <w:color w:val="auto"/>
        </w:rPr>
      </w:pPr>
      <w:r>
        <w:rPr>
          <w:rFonts w:ascii="Arial" w:cs="Arial" w:eastAsia="Arial" w:hAnsi="Arial"/>
          <w:sz w:val="17"/>
          <w:szCs w:val="17"/>
          <w:color w:val="auto"/>
        </w:rPr>
        <w:t>While the results of the say-on-pay vote are non-binding and advisory in nature, our board of directors and Compensation Committee intend to consider the results of this vote in making future compensation decisions.</w:t>
      </w:r>
    </w:p>
    <w:p>
      <w:pPr>
        <w:spacing w:after="0" w:line="66" w:lineRule="exact"/>
        <w:rPr>
          <w:sz w:val="20"/>
          <w:szCs w:val="20"/>
          <w:color w:val="auto"/>
        </w:rPr>
      </w:pPr>
    </w:p>
    <w:p>
      <w:pPr>
        <w:ind w:left="760" w:right="520"/>
        <w:spacing w:after="0" w:line="261" w:lineRule="auto"/>
        <w:rPr>
          <w:sz w:val="20"/>
          <w:szCs w:val="20"/>
          <w:color w:val="auto"/>
        </w:rPr>
      </w:pPr>
      <w:r>
        <w:rPr>
          <w:rFonts w:ascii="Arial" w:cs="Arial" w:eastAsia="Arial" w:hAnsi="Arial"/>
          <w:sz w:val="18"/>
          <w:szCs w:val="18"/>
          <w:color w:val="auto"/>
        </w:rPr>
        <w:t>Our board of directors currently intends to conduct advisory votes on executive compensation every year. As a result, our next advisory say-on-pay vote will take place at our annual meeting of stockholders next year.</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language of the resolution is as follows:</w:t>
      </w:r>
    </w:p>
    <w:p>
      <w:pPr>
        <w:spacing w:after="0" w:line="117"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“RESOLVED, that the compensation paid to the Company’s named executive officers for the fiscal year ended December 31, 2022, as discussed pursuant to the compensation disclosure rules of the Securities and Exchange Commission, including the compensation discussion and analysis, the summary compensation table and the related compensation tables and narrative in this proxy statement, is hereby APPROVED, on an advisory basis.”</w:t>
      </w:r>
    </w:p>
    <w:p>
      <w:pPr>
        <w:spacing w:after="0" w:line="96" w:lineRule="exact"/>
        <w:rPr>
          <w:sz w:val="20"/>
          <w:szCs w:val="20"/>
          <w:color w:val="auto"/>
        </w:rPr>
      </w:pPr>
    </w:p>
    <w:p>
      <w:pPr>
        <w:ind w:left="760" w:right="580"/>
        <w:spacing w:after="0" w:line="291" w:lineRule="auto"/>
        <w:rPr>
          <w:sz w:val="20"/>
          <w:szCs w:val="20"/>
          <w:color w:val="auto"/>
        </w:rPr>
      </w:pPr>
      <w:r>
        <w:rPr>
          <w:rFonts w:ascii="Arial" w:cs="Arial" w:eastAsia="Arial" w:hAnsi="Arial"/>
          <w:sz w:val="17"/>
          <w:szCs w:val="17"/>
          <w:color w:val="auto"/>
        </w:rPr>
        <w:t>In considering their vote, stockholders are encouraged to read the compensation discussion and analysis, the accompanying compensation tables, and the related narrative disclosure included in this proxy statement.</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on an advisory basis, the compensation of our named executive officers. Broker non-votes have no effect on the proposal, and abstentions have the same effect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292735</wp:posOffset>
            </wp:positionV>
            <wp:extent cx="5829300" cy="4800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the approval, on an advisory basis, of the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453"/>
                <w:w w:val="99"/>
              </w:rPr>
              <w:t>compensation of our named executive officers.</w:t>
            </w:r>
          </w:p>
        </w:tc>
        <w:tc>
          <w:tcPr>
            <w:tcW w:w="220" w:type="dxa"/>
            <w:vAlign w:val="bottom"/>
            <w:vMerge w:val="restart"/>
          </w:tcPr>
          <w:p>
            <w:pPr>
              <w:ind w:left="16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87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Executive Compensation</w:t>
      </w:r>
    </w:p>
    <w:p>
      <w:pPr>
        <w:spacing w:after="0" w:line="190" w:lineRule="exact"/>
        <w:rPr>
          <w:sz w:val="20"/>
          <w:szCs w:val="20"/>
          <w:color w:val="auto"/>
        </w:rPr>
      </w:pPr>
    </w:p>
    <w:p>
      <w:pPr>
        <w:ind w:left="2660"/>
        <w:spacing w:after="0"/>
        <w:rPr>
          <w:sz w:val="20"/>
          <w:szCs w:val="20"/>
          <w:color w:val="auto"/>
        </w:rPr>
      </w:pPr>
      <w:r>
        <w:rPr>
          <w:rFonts w:ascii="Arial" w:cs="Arial" w:eastAsia="Arial" w:hAnsi="Arial"/>
          <w:sz w:val="29"/>
          <w:szCs w:val="29"/>
          <w:color w:val="00C08A"/>
        </w:rPr>
        <w:t>COMPENSATION COMMITTEE REPORT</w:t>
      </w:r>
    </w:p>
    <w:p>
      <w:pPr>
        <w:spacing w:after="0" w:line="102" w:lineRule="exact"/>
        <w:rPr>
          <w:sz w:val="20"/>
          <w:szCs w:val="20"/>
          <w:color w:val="auto"/>
        </w:rPr>
      </w:pPr>
    </w:p>
    <w:p>
      <w:pPr>
        <w:ind w:left="760" w:right="500"/>
        <w:spacing w:after="0" w:line="253"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following “Compensation Discussion and Analysis.” Based on this review and discussion, the Compensation Committee recommended to the board of directors that the section entitled “Compensation Discussion and Analysis” be included in this proxy statement for the Annual Meeting and incorporated by reference into the Corporation’s annual report on Form 10-K for the fiscal year ended December 31, 2022.</w:t>
      </w:r>
    </w:p>
    <w:p>
      <w:pPr>
        <w:spacing w:after="0" w:line="75" w:lineRule="exact"/>
        <w:rPr>
          <w:sz w:val="20"/>
          <w:szCs w:val="20"/>
          <w:color w:val="auto"/>
        </w:rPr>
      </w:pPr>
    </w:p>
    <w:p>
      <w:pPr>
        <w:ind w:left="7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1"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Christopher C. Quick</w:t>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Urban</w:t>
      </w:r>
    </w:p>
    <w:p>
      <w:pPr>
        <w:spacing w:after="0" w:line="222" w:lineRule="exact"/>
        <w:rPr>
          <w:sz w:val="20"/>
          <w:szCs w:val="20"/>
          <w:color w:val="auto"/>
        </w:rPr>
      </w:pPr>
    </w:p>
    <w:p>
      <w:pPr>
        <w:ind w:left="2200"/>
        <w:spacing w:after="0"/>
        <w:rPr>
          <w:sz w:val="20"/>
          <w:szCs w:val="20"/>
          <w:color w:val="auto"/>
        </w:rPr>
      </w:pPr>
      <w:r>
        <w:rPr>
          <w:rFonts w:ascii="Arial" w:cs="Arial" w:eastAsia="Arial" w:hAnsi="Arial"/>
          <w:sz w:val="29"/>
          <w:szCs w:val="29"/>
          <w:color w:val="00C08A"/>
        </w:rPr>
        <w:t>COMPENSATION DISCUSSION AND ANALYSIS</w:t>
      </w:r>
    </w:p>
    <w:p>
      <w:pPr>
        <w:spacing w:after="0" w:line="102" w:lineRule="exact"/>
        <w:rPr>
          <w:sz w:val="20"/>
          <w:szCs w:val="20"/>
          <w:color w:val="auto"/>
        </w:rPr>
      </w:pPr>
    </w:p>
    <w:p>
      <w:pPr>
        <w:ind w:left="760" w:right="160"/>
        <w:spacing w:after="0" w:line="252" w:lineRule="auto"/>
        <w:rPr>
          <w:sz w:val="20"/>
          <w:szCs w:val="20"/>
          <w:color w:val="auto"/>
        </w:rPr>
      </w:pPr>
      <w:r>
        <w:rPr>
          <w:rFonts w:ascii="Arial" w:cs="Arial" w:eastAsia="Arial" w:hAnsi="Arial"/>
          <w:sz w:val="18"/>
          <w:szCs w:val="18"/>
          <w:color w:val="auto"/>
        </w:rPr>
        <w:t>This compensation discussion and analysis discusses our executive compensation programs for our named executive officers in respect of our fiscal year ended December 31, 2022, which we refer to herein as “fiscal year 2022,” and includes a discussion of our compensation objectives and philosophy and the material elements of compensation earned by, awarded, or paid, to our named executive officers in fiscal year 2022. This section also describes processes we use in reaching compensation decisions and is intended to amplify and provide context for understanding the amounts in the tabular disclosure that follows. In addition, we highlight certain attributes of our program, provide a summary of certain key compensation decisions during fiscal year 2022 and describe our intended compensation approach.</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named executive officers for fiscal year 2022 were as follows:</w:t>
      </w:r>
    </w:p>
    <w:p>
      <w:pPr>
        <w:spacing w:after="0" w:line="124" w:lineRule="exact"/>
        <w:rPr>
          <w:sz w:val="20"/>
          <w:szCs w:val="20"/>
          <w:color w:val="auto"/>
        </w:rPr>
      </w:pPr>
    </w:p>
    <w:tbl>
      <w:tblPr>
        <w:tblLayout w:type="fixed"/>
        <w:tblInd w:w="1400" w:type="dxa"/>
        <w:tblCellMar>
          <w:top w:w="0" w:type="dxa"/>
          <w:left w:w="0" w:type="dxa"/>
          <w:bottom w:w="0" w:type="dxa"/>
          <w:right w:w="0" w:type="dxa"/>
        </w:tblCellMar>
      </w:tblPr>
      <w:tr>
        <w:trPr>
          <w:trHeight w:val="163"/>
        </w:trPr>
        <w:tc>
          <w:tcPr>
            <w:tcW w:w="2400" w:type="dxa"/>
            <w:vAlign w:val="bottom"/>
            <w:tcBorders>
              <w:top w:val="single" w:sz="8" w:color="00C08A"/>
            </w:tcBorders>
          </w:tcPr>
          <w:p>
            <w:pPr>
              <w:ind w:left="20"/>
              <w:spacing w:after="0" w:line="16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00C08A"/>
            </w:tcBorders>
          </w:tcPr>
          <w:p>
            <w:pPr>
              <w:ind w:left="1100"/>
              <w:spacing w:after="0" w:line="163" w:lineRule="exact"/>
              <w:rPr>
                <w:sz w:val="20"/>
                <w:szCs w:val="20"/>
                <w:color w:val="auto"/>
              </w:rPr>
            </w:pPr>
            <w:r>
              <w:rPr>
                <w:rFonts w:ascii="Arial" w:cs="Arial" w:eastAsia="Arial" w:hAnsi="Arial"/>
                <w:sz w:val="18"/>
                <w:szCs w:val="18"/>
                <w:color w:val="auto"/>
              </w:rPr>
              <w:t>​ ​</w:t>
            </w:r>
          </w:p>
        </w:tc>
        <w:tc>
          <w:tcPr>
            <w:tcW w:w="4180" w:type="dxa"/>
            <w:vAlign w:val="bottom"/>
            <w:tcBorders>
              <w:top w:val="single" w:sz="8" w:color="00C08A"/>
            </w:tcBorders>
            <w:vMerge w:val="restart"/>
          </w:tcPr>
          <w:p>
            <w:pPr>
              <w:ind w:left="20"/>
              <w:spacing w:after="0"/>
              <w:rPr>
                <w:sz w:val="20"/>
                <w:szCs w:val="20"/>
                <w:color w:val="auto"/>
              </w:rPr>
            </w:pPr>
            <w:r>
              <w:rPr>
                <w:rFonts w:ascii="Arial" w:cs="Arial" w:eastAsia="Arial" w:hAnsi="Arial"/>
                <w:sz w:val="18"/>
                <w:szCs w:val="18"/>
                <w:color w:val="auto"/>
              </w:rPr>
              <w:t>Chief Executive Officer</w:t>
            </w:r>
          </w:p>
        </w:tc>
        <w:tc>
          <w:tcPr>
            <w:tcW w:w="6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2400" w:type="dxa"/>
            <w:vAlign w:val="bottom"/>
            <w:tcBorders>
              <w:bottom w:val="single" w:sz="8" w:color="00C08A"/>
            </w:tcBorders>
          </w:tcPr>
          <w:p>
            <w:pPr>
              <w:ind w:left="20"/>
              <w:spacing w:after="0" w:line="121" w:lineRule="exact"/>
              <w:rPr>
                <w:sz w:val="20"/>
                <w:szCs w:val="20"/>
                <w:color w:val="auto"/>
              </w:rPr>
            </w:pPr>
            <w:r>
              <w:rPr>
                <w:rFonts w:ascii="Arial" w:cs="Arial" w:eastAsia="Arial" w:hAnsi="Arial"/>
                <w:sz w:val="13"/>
                <w:szCs w:val="13"/>
                <w:color w:val="auto"/>
              </w:rPr>
              <w:t>Douglas A. Cifu</w:t>
            </w:r>
          </w:p>
        </w:tc>
        <w:tc>
          <w:tcPr>
            <w:tcW w:w="1300" w:type="dxa"/>
            <w:vAlign w:val="bottom"/>
            <w:tcBorders>
              <w:bottom w:val="single" w:sz="8" w:color="00C08A"/>
            </w:tcBorders>
          </w:tcPr>
          <w:p>
            <w:pPr>
              <w:spacing w:after="0"/>
              <w:rPr>
                <w:sz w:val="10"/>
                <w:szCs w:val="10"/>
                <w:color w:val="auto"/>
              </w:rPr>
            </w:pPr>
          </w:p>
        </w:tc>
        <w:tc>
          <w:tcPr>
            <w:tcW w:w="4180" w:type="dxa"/>
            <w:vAlign w:val="bottom"/>
            <w:tcBorders>
              <w:bottom w:val="single" w:sz="8" w:color="00C08A"/>
            </w:tcBorders>
            <w:vMerge w:val="continue"/>
          </w:tcPr>
          <w:p>
            <w:pPr>
              <w:spacing w:after="0"/>
              <w:rPr>
                <w:sz w:val="10"/>
                <w:szCs w:val="10"/>
                <w:color w:val="auto"/>
              </w:rPr>
            </w:pPr>
          </w:p>
        </w:tc>
        <w:tc>
          <w:tcPr>
            <w:tcW w:w="20" w:type="dxa"/>
            <w:vAlign w:val="bottom"/>
            <w:tcBorders>
              <w:bottom w:val="single" w:sz="8" w:color="00C08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00" w:type="dxa"/>
            <w:vAlign w:val="bottom"/>
          </w:tcPr>
          <w:p>
            <w:pPr>
              <w:ind w:left="20"/>
              <w:spacing w:after="0" w:line="143"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43" w:lineRule="exact"/>
              <w:rPr>
                <w:sz w:val="20"/>
                <w:szCs w:val="20"/>
                <w:color w:val="auto"/>
              </w:rPr>
            </w:pPr>
            <w:r>
              <w:rPr>
                <w:rFonts w:ascii="Arial" w:cs="Arial" w:eastAsia="Arial" w:hAnsi="Arial"/>
                <w:sz w:val="16"/>
                <w:szCs w:val="16"/>
                <w:color w:val="auto"/>
              </w:rPr>
              <w:t>​ ​</w:t>
            </w:r>
          </w:p>
        </w:tc>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20" w:type="dxa"/>
            <w:vAlign w:val="bottom"/>
          </w:tcPr>
          <w:p>
            <w:pPr>
              <w:spacing w:after="0"/>
              <w:rPr>
                <w:sz w:val="12"/>
                <w:szCs w:val="12"/>
                <w:color w:val="auto"/>
              </w:rPr>
            </w:pPr>
          </w:p>
        </w:tc>
        <w:tc>
          <w:tcPr>
            <w:tcW w:w="40" w:type="dxa"/>
            <w:vAlign w:val="bottom"/>
          </w:tcPr>
          <w:p>
            <w:pPr>
              <w:jc w:val="right"/>
              <w:spacing w:after="0" w:line="14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2400" w:type="dxa"/>
            <w:vAlign w:val="bottom"/>
            <w:tcBorders>
              <w:bottom w:val="single" w:sz="8" w:color="00C08A"/>
            </w:tcBorders>
          </w:tcPr>
          <w:p>
            <w:pPr>
              <w:ind w:left="20"/>
              <w:spacing w:after="0" w:line="94" w:lineRule="exact"/>
              <w:rPr>
                <w:sz w:val="20"/>
                <w:szCs w:val="20"/>
                <w:color w:val="auto"/>
              </w:rPr>
            </w:pPr>
            <w:r>
              <w:rPr>
                <w:rFonts w:ascii="Arial" w:cs="Arial" w:eastAsia="Arial" w:hAnsi="Arial"/>
                <w:sz w:val="10"/>
                <w:szCs w:val="10"/>
                <w:color w:val="auto"/>
              </w:rPr>
              <w:t>Joseph Molluso</w:t>
            </w:r>
          </w:p>
        </w:tc>
        <w:tc>
          <w:tcPr>
            <w:tcW w:w="1300" w:type="dxa"/>
            <w:vAlign w:val="bottom"/>
            <w:tcBorders>
              <w:bottom w:val="single" w:sz="8" w:color="00C08A"/>
            </w:tcBorders>
          </w:tcPr>
          <w:p>
            <w:pPr>
              <w:spacing w:after="0"/>
              <w:rPr>
                <w:sz w:val="8"/>
                <w:szCs w:val="8"/>
                <w:color w:val="auto"/>
              </w:rPr>
            </w:pPr>
          </w:p>
        </w:tc>
        <w:tc>
          <w:tcPr>
            <w:tcW w:w="4180" w:type="dxa"/>
            <w:vAlign w:val="bottom"/>
            <w:tcBorders>
              <w:bottom w:val="single" w:sz="8" w:color="00C08A"/>
            </w:tcBorders>
            <w:vMerge w:val="continue"/>
          </w:tcPr>
          <w:p>
            <w:pPr>
              <w:spacing w:after="0"/>
              <w:rPr>
                <w:sz w:val="8"/>
                <w:szCs w:val="8"/>
                <w:color w:val="auto"/>
              </w:rPr>
            </w:pPr>
          </w:p>
        </w:tc>
        <w:tc>
          <w:tcPr>
            <w:tcW w:w="20" w:type="dxa"/>
            <w:vAlign w:val="bottom"/>
            <w:tcBorders>
              <w:bottom w:val="single" w:sz="8" w:color="00C08A"/>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400" w:type="dxa"/>
            <w:vAlign w:val="bottom"/>
          </w:tcPr>
          <w:p>
            <w:pPr>
              <w:ind w:left="20"/>
              <w:spacing w:after="0" w:line="143"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43" w:lineRule="exact"/>
              <w:rPr>
                <w:sz w:val="20"/>
                <w:szCs w:val="20"/>
                <w:color w:val="auto"/>
              </w:rPr>
            </w:pPr>
            <w:r>
              <w:rPr>
                <w:rFonts w:ascii="Arial" w:cs="Arial" w:eastAsia="Arial" w:hAnsi="Arial"/>
                <w:sz w:val="16"/>
                <w:szCs w:val="16"/>
                <w:color w:val="auto"/>
              </w:rPr>
              <w:t>​ ​</w:t>
            </w:r>
          </w:p>
        </w:tc>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20" w:type="dxa"/>
            <w:vAlign w:val="bottom"/>
          </w:tcPr>
          <w:p>
            <w:pPr>
              <w:spacing w:after="0"/>
              <w:rPr>
                <w:sz w:val="12"/>
                <w:szCs w:val="12"/>
                <w:color w:val="auto"/>
              </w:rPr>
            </w:pPr>
          </w:p>
        </w:tc>
        <w:tc>
          <w:tcPr>
            <w:tcW w:w="40" w:type="dxa"/>
            <w:vAlign w:val="bottom"/>
          </w:tcPr>
          <w:p>
            <w:pPr>
              <w:jc w:val="right"/>
              <w:spacing w:after="0" w:line="14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2400" w:type="dxa"/>
            <w:vAlign w:val="bottom"/>
            <w:tcBorders>
              <w:bottom w:val="single" w:sz="8" w:color="00C08A"/>
            </w:tcBorders>
          </w:tcPr>
          <w:p>
            <w:pPr>
              <w:ind w:left="20"/>
              <w:spacing w:after="0" w:line="94" w:lineRule="exact"/>
              <w:rPr>
                <w:sz w:val="20"/>
                <w:szCs w:val="20"/>
                <w:color w:val="auto"/>
              </w:rPr>
            </w:pPr>
            <w:r>
              <w:rPr>
                <w:rFonts w:ascii="Arial" w:cs="Arial" w:eastAsia="Arial" w:hAnsi="Arial"/>
                <w:sz w:val="10"/>
                <w:szCs w:val="10"/>
                <w:color w:val="auto"/>
              </w:rPr>
              <w:t>Brett Fairclough</w:t>
            </w:r>
          </w:p>
        </w:tc>
        <w:tc>
          <w:tcPr>
            <w:tcW w:w="1300" w:type="dxa"/>
            <w:vAlign w:val="bottom"/>
            <w:tcBorders>
              <w:bottom w:val="single" w:sz="8" w:color="00C08A"/>
            </w:tcBorders>
          </w:tcPr>
          <w:p>
            <w:pPr>
              <w:spacing w:after="0"/>
              <w:rPr>
                <w:sz w:val="8"/>
                <w:szCs w:val="8"/>
                <w:color w:val="auto"/>
              </w:rPr>
            </w:pPr>
          </w:p>
        </w:tc>
        <w:tc>
          <w:tcPr>
            <w:tcW w:w="4180" w:type="dxa"/>
            <w:vAlign w:val="bottom"/>
            <w:tcBorders>
              <w:bottom w:val="single" w:sz="8" w:color="00C08A"/>
            </w:tcBorders>
            <w:vMerge w:val="continue"/>
          </w:tcPr>
          <w:p>
            <w:pPr>
              <w:spacing w:after="0"/>
              <w:rPr>
                <w:sz w:val="8"/>
                <w:szCs w:val="8"/>
                <w:color w:val="auto"/>
              </w:rPr>
            </w:pPr>
          </w:p>
        </w:tc>
        <w:tc>
          <w:tcPr>
            <w:tcW w:w="20" w:type="dxa"/>
            <w:vAlign w:val="bottom"/>
            <w:tcBorders>
              <w:bottom w:val="single" w:sz="8" w:color="00C08A"/>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400" w:type="dxa"/>
            <w:vAlign w:val="bottom"/>
          </w:tcPr>
          <w:p>
            <w:pPr>
              <w:ind w:left="20"/>
              <w:spacing w:after="0" w:line="143"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43" w:lineRule="exact"/>
              <w:rPr>
                <w:sz w:val="20"/>
                <w:szCs w:val="20"/>
                <w:color w:val="auto"/>
              </w:rPr>
            </w:pPr>
            <w:r>
              <w:rPr>
                <w:rFonts w:ascii="Arial" w:cs="Arial" w:eastAsia="Arial" w:hAnsi="Arial"/>
                <w:sz w:val="16"/>
                <w:szCs w:val="16"/>
                <w:color w:val="auto"/>
              </w:rPr>
              <w:t>​ ​</w:t>
            </w:r>
          </w:p>
        </w:tc>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Executive Vice President, Markets</w:t>
            </w:r>
          </w:p>
        </w:tc>
        <w:tc>
          <w:tcPr>
            <w:tcW w:w="20" w:type="dxa"/>
            <w:vAlign w:val="bottom"/>
          </w:tcPr>
          <w:p>
            <w:pPr>
              <w:spacing w:after="0"/>
              <w:rPr>
                <w:sz w:val="12"/>
                <w:szCs w:val="12"/>
                <w:color w:val="auto"/>
              </w:rPr>
            </w:pPr>
          </w:p>
        </w:tc>
        <w:tc>
          <w:tcPr>
            <w:tcW w:w="40" w:type="dxa"/>
            <w:vAlign w:val="bottom"/>
          </w:tcPr>
          <w:p>
            <w:pPr>
              <w:jc w:val="right"/>
              <w:spacing w:after="0" w:line="14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2400" w:type="dxa"/>
            <w:vAlign w:val="bottom"/>
            <w:tcBorders>
              <w:bottom w:val="single" w:sz="8" w:color="00C08A"/>
            </w:tcBorders>
          </w:tcPr>
          <w:p>
            <w:pPr>
              <w:ind w:left="20"/>
              <w:spacing w:after="0" w:line="94" w:lineRule="exact"/>
              <w:rPr>
                <w:sz w:val="20"/>
                <w:szCs w:val="20"/>
                <w:color w:val="auto"/>
              </w:rPr>
            </w:pPr>
            <w:r>
              <w:rPr>
                <w:rFonts w:ascii="Arial" w:cs="Arial" w:eastAsia="Arial" w:hAnsi="Arial"/>
                <w:sz w:val="10"/>
                <w:szCs w:val="10"/>
                <w:color w:val="auto"/>
              </w:rPr>
              <w:t>Stephen Cavoli</w:t>
            </w:r>
          </w:p>
        </w:tc>
        <w:tc>
          <w:tcPr>
            <w:tcW w:w="1300" w:type="dxa"/>
            <w:vAlign w:val="bottom"/>
            <w:tcBorders>
              <w:bottom w:val="single" w:sz="8" w:color="00C08A"/>
            </w:tcBorders>
          </w:tcPr>
          <w:p>
            <w:pPr>
              <w:spacing w:after="0"/>
              <w:rPr>
                <w:sz w:val="8"/>
                <w:szCs w:val="8"/>
                <w:color w:val="auto"/>
              </w:rPr>
            </w:pPr>
          </w:p>
        </w:tc>
        <w:tc>
          <w:tcPr>
            <w:tcW w:w="4180" w:type="dxa"/>
            <w:vAlign w:val="bottom"/>
            <w:tcBorders>
              <w:bottom w:val="single" w:sz="8" w:color="00C08A"/>
            </w:tcBorders>
            <w:vMerge w:val="continue"/>
          </w:tcPr>
          <w:p>
            <w:pPr>
              <w:spacing w:after="0"/>
              <w:rPr>
                <w:sz w:val="8"/>
                <w:szCs w:val="8"/>
                <w:color w:val="auto"/>
              </w:rPr>
            </w:pPr>
          </w:p>
        </w:tc>
        <w:tc>
          <w:tcPr>
            <w:tcW w:w="20" w:type="dxa"/>
            <w:vAlign w:val="bottom"/>
            <w:tcBorders>
              <w:bottom w:val="single" w:sz="8" w:color="00C08A"/>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400" w:type="dxa"/>
            <w:vAlign w:val="bottom"/>
          </w:tcPr>
          <w:p>
            <w:pPr>
              <w:ind w:left="20"/>
              <w:spacing w:after="0" w:line="143"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43" w:lineRule="exact"/>
              <w:rPr>
                <w:sz w:val="20"/>
                <w:szCs w:val="20"/>
                <w:color w:val="auto"/>
              </w:rPr>
            </w:pPr>
            <w:r>
              <w:rPr>
                <w:rFonts w:ascii="Arial" w:cs="Arial" w:eastAsia="Arial" w:hAnsi="Arial"/>
                <w:sz w:val="16"/>
                <w:szCs w:val="16"/>
                <w:color w:val="auto"/>
              </w:rPr>
              <w:t>​ ​</w:t>
            </w:r>
          </w:p>
        </w:tc>
        <w:tc>
          <w:tcPr>
            <w:tcW w:w="4180" w:type="dxa"/>
            <w:vAlign w:val="bottom"/>
            <w:vMerge w:val="restart"/>
          </w:tcPr>
          <w:p>
            <w:pPr>
              <w:ind w:left="20"/>
              <w:spacing w:after="0"/>
              <w:rPr>
                <w:sz w:val="20"/>
                <w:szCs w:val="20"/>
                <w:color w:val="auto"/>
              </w:rPr>
            </w:pPr>
            <w:r>
              <w:rPr>
                <w:rFonts w:ascii="Arial" w:cs="Arial" w:eastAsia="Arial" w:hAnsi="Arial"/>
                <w:sz w:val="18"/>
                <w:szCs w:val="18"/>
                <w:color w:val="auto"/>
                <w:w w:val="99"/>
              </w:rPr>
              <w:t>Executive Vice President and Chief Financial Officer</w:t>
            </w:r>
          </w:p>
        </w:tc>
        <w:tc>
          <w:tcPr>
            <w:tcW w:w="20" w:type="dxa"/>
            <w:vAlign w:val="bottom"/>
          </w:tcPr>
          <w:p>
            <w:pPr>
              <w:spacing w:after="0"/>
              <w:rPr>
                <w:sz w:val="12"/>
                <w:szCs w:val="12"/>
                <w:color w:val="auto"/>
              </w:rPr>
            </w:pPr>
          </w:p>
        </w:tc>
        <w:tc>
          <w:tcPr>
            <w:tcW w:w="40" w:type="dxa"/>
            <w:vAlign w:val="bottom"/>
          </w:tcPr>
          <w:p>
            <w:pPr>
              <w:jc w:val="right"/>
              <w:spacing w:after="0" w:line="14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2400" w:type="dxa"/>
            <w:vAlign w:val="bottom"/>
            <w:tcBorders>
              <w:bottom w:val="single" w:sz="8" w:color="00C08A"/>
            </w:tcBorders>
          </w:tcPr>
          <w:p>
            <w:pPr>
              <w:ind w:left="20"/>
              <w:spacing w:after="0" w:line="95" w:lineRule="exact"/>
              <w:rPr>
                <w:sz w:val="20"/>
                <w:szCs w:val="20"/>
                <w:color w:val="auto"/>
              </w:rPr>
            </w:pPr>
            <w:r>
              <w:rPr>
                <w:rFonts w:ascii="Arial" w:cs="Arial" w:eastAsia="Arial" w:hAnsi="Arial"/>
                <w:sz w:val="10"/>
                <w:szCs w:val="10"/>
                <w:color w:val="auto"/>
              </w:rPr>
              <w:t>Sean P. Galvin</w:t>
            </w:r>
          </w:p>
        </w:tc>
        <w:tc>
          <w:tcPr>
            <w:tcW w:w="1300" w:type="dxa"/>
            <w:vAlign w:val="bottom"/>
            <w:tcBorders>
              <w:bottom w:val="single" w:sz="8" w:color="00C08A"/>
            </w:tcBorders>
          </w:tcPr>
          <w:p>
            <w:pPr>
              <w:spacing w:after="0"/>
              <w:rPr>
                <w:sz w:val="8"/>
                <w:szCs w:val="8"/>
                <w:color w:val="auto"/>
              </w:rPr>
            </w:pPr>
          </w:p>
        </w:tc>
        <w:tc>
          <w:tcPr>
            <w:tcW w:w="4180" w:type="dxa"/>
            <w:vAlign w:val="bottom"/>
            <w:tcBorders>
              <w:bottom w:val="single" w:sz="8" w:color="00C08A"/>
            </w:tcBorders>
            <w:vMerge w:val="continue"/>
          </w:tcPr>
          <w:p>
            <w:pPr>
              <w:spacing w:after="0"/>
              <w:rPr>
                <w:sz w:val="8"/>
                <w:szCs w:val="8"/>
                <w:color w:val="auto"/>
              </w:rPr>
            </w:pPr>
          </w:p>
        </w:tc>
        <w:tc>
          <w:tcPr>
            <w:tcW w:w="20" w:type="dxa"/>
            <w:vAlign w:val="bottom"/>
            <w:tcBorders>
              <w:bottom w:val="single" w:sz="8" w:color="00C08A"/>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79375</wp:posOffset>
            </wp:positionV>
            <wp:extent cx="58293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760" w:right="200"/>
        <w:spacing w:after="0" w:line="268" w:lineRule="auto"/>
        <w:rPr>
          <w:sz w:val="20"/>
          <w:szCs w:val="20"/>
          <w:color w:val="auto"/>
        </w:rPr>
      </w:pPr>
      <w:r>
        <w:rPr>
          <w:rFonts w:ascii="Arial" w:cs="Arial" w:eastAsia="Arial" w:hAnsi="Arial"/>
          <w:sz w:val="17"/>
          <w:szCs w:val="17"/>
          <w:color w:val="auto"/>
        </w:rPr>
        <w:t>Our primary objective with respect to executive compensation is to provide competitive compensation and benefits to attract, retain, motivate and reward the highest quality executive officers. Accordingly, we attempt to ensure that compensation provided to executive officers remains competitive relative to the compensation paid to similarly situated executives in our industry. A further objective of our compensation program is to provide variable pay opportunities through cash bonuses and restricted stock awards that reward our officers based on achievement of both individual and Company financial results. In addition, we aim to establish compensation plans that align the performance of our executive officers with the Company’s objectives and the creation of long-term stockholder value, such as the reward of equity compensation which ties a portion of our executive compensation to the performance of our common stock. We believe an appropriate mix of an executive officer’s pay should be variable and performance based in order to promote achievement of our short- and long-term strategic objectives.</w:t>
      </w:r>
    </w:p>
    <w:p>
      <w:pPr>
        <w:spacing w:after="0" w:line="85" w:lineRule="exact"/>
        <w:rPr>
          <w:sz w:val="20"/>
          <w:szCs w:val="20"/>
          <w:color w:val="auto"/>
        </w:rPr>
      </w:pPr>
    </w:p>
    <w:p>
      <w:pPr>
        <w:ind w:left="760" w:right="60"/>
        <w:spacing w:after="0" w:line="271" w:lineRule="auto"/>
        <w:rPr>
          <w:sz w:val="20"/>
          <w:szCs w:val="20"/>
          <w:color w:val="auto"/>
        </w:rPr>
      </w:pPr>
      <w:r>
        <w:rPr>
          <w:rFonts w:ascii="Arial" w:cs="Arial" w:eastAsia="Arial" w:hAnsi="Arial"/>
          <w:sz w:val="17"/>
          <w:szCs w:val="17"/>
          <w:color w:val="auto"/>
        </w:rPr>
        <w:t>The overall level of total compensation for our named executive officers is intended to be reasonable in relation to, and competitive with, the compensation paid to executives in the industries in which we compete for talent, subject to variation for factors such as the individual’s experience, performance, duties and scope of responsibilities, prior contributions and future potential contributions to our business. Our compensation plans are designed to align with business strategies, considering external market conditions and internal equity issues. With these principles in mind,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191135</wp:posOffset>
            </wp:positionV>
            <wp:extent cx="754380"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480"/>
        <w:spacing w:after="0" w:line="256" w:lineRule="auto"/>
        <w:rPr>
          <w:sz w:val="20"/>
          <w:szCs w:val="20"/>
          <w:color w:val="auto"/>
        </w:rPr>
      </w:pPr>
      <w:r>
        <w:rPr>
          <w:rFonts w:ascii="Arial" w:cs="Arial" w:eastAsia="Arial" w:hAnsi="Arial"/>
          <w:sz w:val="18"/>
          <w:szCs w:val="18"/>
          <w:color w:val="auto"/>
        </w:rPr>
        <w:t>we structure our compensation program as competitive total pay packages that we believe enable us to attract, retain and motivate executives with the skill and knowledge that we require, and to ensure the stability of our management team, which is vital to the success of our business.</w:t>
      </w:r>
    </w:p>
    <w:p>
      <w:pPr>
        <w:spacing w:after="0" w:line="94" w:lineRule="exact"/>
        <w:rPr>
          <w:sz w:val="20"/>
          <w:szCs w:val="20"/>
          <w:color w:val="auto"/>
        </w:rPr>
      </w:pPr>
    </w:p>
    <w:p>
      <w:pPr>
        <w:ind w:left="760" w:right="740"/>
        <w:spacing w:after="0" w:line="261" w:lineRule="auto"/>
        <w:rPr>
          <w:sz w:val="20"/>
          <w:szCs w:val="20"/>
          <w:color w:val="auto"/>
        </w:rPr>
      </w:pPr>
      <w:r>
        <w:rPr>
          <w:rFonts w:ascii="Arial" w:cs="Arial" w:eastAsia="Arial" w:hAnsi="Arial"/>
          <w:sz w:val="18"/>
          <w:szCs w:val="18"/>
          <w:color w:val="auto"/>
        </w:rPr>
        <w:t>Key features of our compensation policies and practices that aim to drive performance and align our named executive officers with stockholder interests are highlighted below:</w:t>
      </w:r>
    </w:p>
    <w:p>
      <w:pPr>
        <w:spacing w:after="0" w:line="72" w:lineRule="exact"/>
        <w:rPr>
          <w:sz w:val="20"/>
          <w:szCs w:val="20"/>
          <w:color w:val="auto"/>
        </w:rPr>
      </w:pPr>
    </w:p>
    <w:p>
      <w:pPr>
        <w:jc w:val="both"/>
        <w:ind w:left="1340" w:right="340" w:hanging="218"/>
        <w:spacing w:after="0" w:line="266" w:lineRule="auto"/>
        <w:tabs>
          <w:tab w:leader="none" w:pos="1340" w:val="left"/>
        </w:tabs>
        <w:numPr>
          <w:ilvl w:val="0"/>
          <w:numId w:val="8"/>
        </w:numPr>
        <w:rPr>
          <w:rFonts w:ascii="Arial" w:cs="Arial" w:eastAsia="Arial" w:hAnsi="Arial"/>
          <w:sz w:val="18"/>
          <w:szCs w:val="18"/>
          <w:color w:val="002453"/>
        </w:rPr>
      </w:pPr>
      <w:r>
        <w:rPr>
          <w:rFonts w:ascii="Arial" w:cs="Arial" w:eastAsia="Arial" w:hAnsi="Arial"/>
          <w:sz w:val="18"/>
          <w:szCs w:val="18"/>
          <w:i w:val="1"/>
          <w:iCs w:val="1"/>
          <w:color w:val="auto"/>
        </w:rPr>
        <w:t>Pay for performance</w:t>
      </w:r>
      <w:r>
        <w:rPr>
          <w:rFonts w:ascii="Arial" w:cs="Arial" w:eastAsia="Arial" w:hAnsi="Arial"/>
          <w:sz w:val="18"/>
          <w:szCs w:val="18"/>
          <w:color w:val="auto"/>
        </w:rPr>
        <w:t>. A portion of the compensation program for named executive officers is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our executives to remain focused on both our short- and long-term operational success and to reward outstanding individual performance.</w:t>
      </w:r>
    </w:p>
    <w:p>
      <w:pPr>
        <w:spacing w:after="0" w:line="67" w:lineRule="exact"/>
        <w:rPr>
          <w:rFonts w:ascii="Arial" w:cs="Arial" w:eastAsia="Arial" w:hAnsi="Arial"/>
          <w:sz w:val="18"/>
          <w:szCs w:val="18"/>
          <w:color w:val="002453"/>
        </w:rPr>
      </w:pPr>
    </w:p>
    <w:p>
      <w:pPr>
        <w:ind w:left="1340" w:right="160" w:hanging="218"/>
        <w:spacing w:after="0" w:line="266" w:lineRule="auto"/>
        <w:tabs>
          <w:tab w:leader="none" w:pos="1340" w:val="left"/>
        </w:tabs>
        <w:numPr>
          <w:ilvl w:val="0"/>
          <w:numId w:val="8"/>
        </w:numPr>
        <w:rPr>
          <w:rFonts w:ascii="Arial" w:cs="Arial" w:eastAsia="Arial" w:hAnsi="Arial"/>
          <w:sz w:val="18"/>
          <w:szCs w:val="18"/>
          <w:color w:val="002453"/>
        </w:rPr>
      </w:pPr>
      <w:r>
        <w:rPr>
          <w:rFonts w:ascii="Arial" w:cs="Arial" w:eastAsia="Arial" w:hAnsi="Arial"/>
          <w:sz w:val="18"/>
          <w:szCs w:val="18"/>
          <w:i w:val="1"/>
          <w:iCs w:val="1"/>
          <w:color w:val="auto"/>
        </w:rPr>
        <w:t>Align incentives with stockholders</w:t>
      </w:r>
      <w:r>
        <w:rPr>
          <w:rFonts w:ascii="Arial" w:cs="Arial" w:eastAsia="Arial" w:hAnsi="Arial"/>
          <w:sz w:val="18"/>
          <w:szCs w:val="18"/>
          <w:color w:val="auto"/>
        </w:rPr>
        <w:t>. Our executive compensation program is designed to focus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on our key strategic, financial and operational goals that will translate into long term value creation for our stockholders.</w:t>
      </w:r>
    </w:p>
    <w:p>
      <w:pPr>
        <w:spacing w:after="0" w:line="67" w:lineRule="exact"/>
        <w:rPr>
          <w:rFonts w:ascii="Arial" w:cs="Arial" w:eastAsia="Arial" w:hAnsi="Arial"/>
          <w:sz w:val="18"/>
          <w:szCs w:val="18"/>
          <w:color w:val="002453"/>
        </w:rPr>
      </w:pPr>
    </w:p>
    <w:p>
      <w:pPr>
        <w:ind w:left="1340" w:right="620" w:hanging="218"/>
        <w:spacing w:after="0" w:line="282" w:lineRule="auto"/>
        <w:tabs>
          <w:tab w:leader="none" w:pos="1340" w:val="left"/>
        </w:tabs>
        <w:numPr>
          <w:ilvl w:val="0"/>
          <w:numId w:val="8"/>
        </w:numPr>
        <w:rPr>
          <w:rFonts w:ascii="Arial" w:cs="Arial" w:eastAsia="Arial" w:hAnsi="Arial"/>
          <w:sz w:val="18"/>
          <w:szCs w:val="18"/>
          <w:color w:val="002453"/>
        </w:rPr>
      </w:pPr>
      <w:r>
        <w:rPr>
          <w:rFonts w:ascii="Arial" w:cs="Arial" w:eastAsia="Arial" w:hAnsi="Arial"/>
          <w:sz w:val="18"/>
          <w:szCs w:val="18"/>
          <w:i w:val="1"/>
          <w:iCs w:val="1"/>
          <w:color w:val="auto"/>
        </w:rPr>
        <w:t>Limited perquisites</w:t>
      </w:r>
      <w:r>
        <w:rPr>
          <w:rFonts w:ascii="Arial" w:cs="Arial" w:eastAsia="Arial" w:hAnsi="Arial"/>
          <w:sz w:val="18"/>
          <w:szCs w:val="18"/>
          <w:color w:val="auto"/>
        </w:rPr>
        <w:t>. We provide limited, reasonable perquisites that we believe are consistent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compensation philosophy.</w:t>
      </w:r>
    </w:p>
    <w:p>
      <w:pPr>
        <w:spacing w:after="0" w:line="53" w:lineRule="exact"/>
        <w:rPr>
          <w:rFonts w:ascii="Arial" w:cs="Arial" w:eastAsia="Arial" w:hAnsi="Arial"/>
          <w:sz w:val="18"/>
          <w:szCs w:val="18"/>
          <w:color w:val="002453"/>
        </w:rPr>
      </w:pPr>
    </w:p>
    <w:p>
      <w:pPr>
        <w:ind w:left="1340" w:right="240" w:hanging="218"/>
        <w:spacing w:after="0" w:line="282" w:lineRule="auto"/>
        <w:tabs>
          <w:tab w:leader="none" w:pos="1340" w:val="left"/>
        </w:tabs>
        <w:numPr>
          <w:ilvl w:val="0"/>
          <w:numId w:val="8"/>
        </w:numPr>
        <w:rPr>
          <w:rFonts w:ascii="Arial" w:cs="Arial" w:eastAsia="Arial" w:hAnsi="Arial"/>
          <w:sz w:val="18"/>
          <w:szCs w:val="18"/>
          <w:color w:val="002453"/>
        </w:rPr>
      </w:pPr>
      <w:r>
        <w:rPr>
          <w:rFonts w:ascii="Arial" w:cs="Arial" w:eastAsia="Arial" w:hAnsi="Arial"/>
          <w:sz w:val="18"/>
          <w:szCs w:val="18"/>
          <w:i w:val="1"/>
          <w:iCs w:val="1"/>
          <w:color w:val="auto"/>
        </w:rPr>
        <w:t>No IRC Section 280G or 409A tax gross ups</w:t>
      </w:r>
      <w:r>
        <w:rPr>
          <w:rFonts w:ascii="Arial" w:cs="Arial" w:eastAsia="Arial" w:hAnsi="Arial"/>
          <w:sz w:val="18"/>
          <w:szCs w:val="18"/>
          <w:color w:val="auto"/>
        </w:rPr>
        <w:t>. We do not provide tax gross ups under our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or deferred compensation programs.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The Process of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120"/>
        <w:spacing w:after="0" w:line="251" w:lineRule="auto"/>
        <w:rPr>
          <w:sz w:val="20"/>
          <w:szCs w:val="20"/>
          <w:color w:val="auto"/>
        </w:rPr>
      </w:pPr>
      <w:r>
        <w:rPr>
          <w:rFonts w:ascii="Arial" w:cs="Arial" w:eastAsia="Arial" w:hAnsi="Arial"/>
          <w:sz w:val="18"/>
          <w:szCs w:val="18"/>
          <w:color w:val="auto"/>
        </w:rPr>
        <w:t>The Compensation Committee participates in an annual evaluation of the performance of our Chief Executive Officer and subsequently determines and approves the Chief Executive Officer’s compensation level based on this evaluation. In determining the long-term incentive component of Chief Executive Officer compensation, the Compensation Committee will also consider, among such other factors, the Company’s performance, stockholder returns, the value of similar incentive awards to chief executive officers at comparable companies and the awards given to the Chief Executive Officer in past years. Our Chief Executive Officer reviews each named executive officer’s compensation package, other than his own, annually in light of the performance of each named executive officer. The conclusions reached and recommendations made based on these reviews, including those with respect to salary adjustments and annual award amounts, are then presented to the Compensation Committee and/or our board of directors for review and approval.</w:t>
      </w:r>
    </w:p>
    <w:p>
      <w:pPr>
        <w:spacing w:after="0" w:line="103" w:lineRule="exact"/>
        <w:rPr>
          <w:sz w:val="20"/>
          <w:szCs w:val="20"/>
          <w:color w:val="auto"/>
        </w:rPr>
      </w:pPr>
    </w:p>
    <w:p>
      <w:pPr>
        <w:ind w:left="760" w:right="580"/>
        <w:spacing w:after="0" w:line="256" w:lineRule="auto"/>
        <w:rPr>
          <w:sz w:val="20"/>
          <w:szCs w:val="20"/>
          <w:color w:val="auto"/>
        </w:rPr>
      </w:pPr>
      <w:r>
        <w:rPr>
          <w:rFonts w:ascii="Arial" w:cs="Arial" w:eastAsia="Arial" w:hAnsi="Arial"/>
          <w:sz w:val="18"/>
          <w:szCs w:val="18"/>
          <w:color w:val="auto"/>
        </w:rPr>
        <w:t>Specifically, the Compensation Committee determines and approves the compensation packages of the Chief Executive Officer and approves the compensation packages of each other named executive officer, giving significant deference to the views and recommendations of the Chief Executive Officer.</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Committee’s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60"/>
        <w:spacing w:after="0" w:line="251" w:lineRule="auto"/>
        <w:rPr>
          <w:sz w:val="20"/>
          <w:szCs w:val="20"/>
          <w:color w:val="auto"/>
        </w:rPr>
      </w:pPr>
      <w:r>
        <w:rPr>
          <w:rFonts w:ascii="Arial" w:cs="Arial" w:eastAsia="Arial" w:hAnsi="Arial"/>
          <w:sz w:val="18"/>
          <w:szCs w:val="18"/>
          <w:color w:val="auto"/>
        </w:rPr>
        <w:t>The Compensation Committee has previously engaged an independent compensation consultant, F.W. Cook (the “</w:t>
      </w:r>
      <w:r>
        <w:rPr>
          <w:rFonts w:ascii="Arial" w:cs="Arial" w:eastAsia="Arial" w:hAnsi="Arial"/>
          <w:sz w:val="18"/>
          <w:szCs w:val="18"/>
          <w:b w:val="1"/>
          <w:bCs w:val="1"/>
          <w:color w:val="auto"/>
        </w:rPr>
        <w:t>Committee’s consultant</w:t>
      </w:r>
      <w:r>
        <w:rPr>
          <w:rFonts w:ascii="Arial" w:cs="Arial" w:eastAsia="Arial" w:hAnsi="Arial"/>
          <w:sz w:val="18"/>
          <w:szCs w:val="18"/>
          <w:color w:val="auto"/>
        </w:rPr>
        <w:t>”), to assist it in carrying out its responsibilities. The Committee’s consultant has previously provided the Compensation Committee with guidance to consider when making the compensation decisions for the Chief Executive Officer and when considering the recommendations made with respect to the other named executive officers. The Compensation Committee has the sole authority to retain or terminate consultants to assist it in the evaluation of director, chief executive officer and other executive compensation. The Compensation Committee has the sole authority to determine the terms of engagement and the extent of funding necessary for payment of compensation to any consultant retained to advise the Compensation Committee. The Committee’s consultant provided services to the Compensation Committee in fiscal year 2022 in connection with the amendment and restatement of the employment agreement with Mr. Cifu.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172" w:lineRule="exact"/>
        <w:rPr>
          <w:sz w:val="20"/>
          <w:szCs w:val="20"/>
          <w:color w:val="auto"/>
        </w:rPr>
      </w:pPr>
    </w:p>
    <w:p>
      <w:pPr>
        <w:ind w:left="760" w:right="680"/>
        <w:spacing w:after="0" w:line="258" w:lineRule="auto"/>
        <w:rPr>
          <w:sz w:val="20"/>
          <w:szCs w:val="20"/>
          <w:color w:val="auto"/>
        </w:rPr>
      </w:pPr>
      <w:r>
        <w:rPr>
          <w:rFonts w:ascii="Arial" w:cs="Arial" w:eastAsia="Arial" w:hAnsi="Arial"/>
          <w:sz w:val="29"/>
          <w:szCs w:val="29"/>
          <w:b w:val="1"/>
          <w:bCs w:val="1"/>
          <w:color w:val="002453"/>
        </w:rPr>
        <w:t>Elements of Compensation for 2022 and Why We Chose to Pay Each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24765</wp:posOffset>
            </wp:positionV>
            <wp:extent cx="58293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0" w:lineRule="exact"/>
        <w:rPr>
          <w:sz w:val="20"/>
          <w:szCs w:val="20"/>
          <w:color w:val="auto"/>
        </w:rPr>
      </w:pPr>
    </w:p>
    <w:p>
      <w:pPr>
        <w:ind w:left="760" w:right="140"/>
        <w:spacing w:after="0"/>
        <w:rPr>
          <w:sz w:val="20"/>
          <w:szCs w:val="20"/>
          <w:color w:val="auto"/>
        </w:rPr>
      </w:pPr>
      <w:r>
        <w:rPr>
          <w:rFonts w:ascii="Arial" w:cs="Arial" w:eastAsia="Arial" w:hAnsi="Arial"/>
          <w:sz w:val="18"/>
          <w:szCs w:val="18"/>
          <w:color w:val="auto"/>
        </w:rPr>
        <w:t>The primary elements of our executive compensation program are base salary, annual cash bonuses, equity-based compensation and certain employee benefits and perquisites. Brief descriptions of each principal element of our executive compensation program are summarized in the following table and described in more detail below.</w:t>
      </w:r>
    </w:p>
    <w:p>
      <w:pPr>
        <w:spacing w:after="0" w:line="10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0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Compensation Element</w:t>
            </w:r>
          </w:p>
        </w:tc>
        <w:tc>
          <w:tcPr>
            <w:tcW w:w="300" w:type="dxa"/>
            <w:vAlign w:val="bottom"/>
            <w:tcBorders>
              <w:bottom w:val="single" w:sz="8" w:color="00C08A"/>
            </w:tcBorders>
          </w:tcPr>
          <w:p>
            <w:pPr>
              <w:ind w:left="140"/>
              <w:spacing w:after="0"/>
              <w:rPr>
                <w:sz w:val="20"/>
                <w:szCs w:val="20"/>
                <w:color w:val="auto"/>
              </w:rPr>
            </w:pPr>
            <w:r>
              <w:rPr>
                <w:rFonts w:ascii="Arial" w:cs="Arial" w:eastAsia="Arial" w:hAnsi="Arial"/>
                <w:sz w:val="14"/>
                <w:szCs w:val="14"/>
                <w:b w:val="1"/>
                <w:bCs w:val="1"/>
                <w:color w:val="002453"/>
              </w:rPr>
              <w:t>​ ​</w:t>
            </w:r>
          </w:p>
        </w:tc>
        <w:tc>
          <w:tcPr>
            <w:tcW w:w="3260" w:type="dxa"/>
            <w:vAlign w:val="bottom"/>
            <w:tcBorders>
              <w:bottom w:val="single" w:sz="8" w:color="00C08A"/>
            </w:tcBorders>
          </w:tcPr>
          <w:p>
            <w:pPr>
              <w:ind w:left="1060"/>
              <w:spacing w:after="0"/>
              <w:rPr>
                <w:sz w:val="20"/>
                <w:szCs w:val="20"/>
                <w:color w:val="auto"/>
              </w:rPr>
            </w:pPr>
            <w:r>
              <w:rPr>
                <w:rFonts w:ascii="Arial" w:cs="Arial" w:eastAsia="Arial" w:hAnsi="Arial"/>
                <w:sz w:val="14"/>
                <w:szCs w:val="14"/>
                <w:b w:val="1"/>
                <w:bCs w:val="1"/>
                <w:color w:val="002453"/>
              </w:rPr>
              <w:t>Brief Description</w:t>
            </w:r>
          </w:p>
        </w:tc>
        <w:tc>
          <w:tcPr>
            <w:tcW w:w="240" w:type="dxa"/>
            <w:vAlign w:val="bottom"/>
            <w:tcBorders>
              <w:bottom w:val="single" w:sz="8" w:color="00C08A"/>
            </w:tcBorders>
          </w:tcPr>
          <w:p>
            <w:pPr>
              <w:ind w:left="80"/>
              <w:spacing w:after="0"/>
              <w:rPr>
                <w:sz w:val="20"/>
                <w:szCs w:val="20"/>
                <w:color w:val="auto"/>
              </w:rPr>
            </w:pPr>
            <w:r>
              <w:rPr>
                <w:rFonts w:ascii="Arial" w:cs="Arial" w:eastAsia="Arial" w:hAnsi="Arial"/>
                <w:sz w:val="14"/>
                <w:szCs w:val="14"/>
                <w:b w:val="1"/>
                <w:bCs w:val="1"/>
                <w:color w:val="002453"/>
              </w:rPr>
              <w:t>​ ​</w:t>
            </w:r>
          </w:p>
        </w:tc>
        <w:tc>
          <w:tcPr>
            <w:tcW w:w="3300" w:type="dxa"/>
            <w:vAlign w:val="bottom"/>
            <w:tcBorders>
              <w:bottom w:val="single" w:sz="8" w:color="00C08A"/>
            </w:tcBorders>
          </w:tcPr>
          <w:p>
            <w:pPr>
              <w:ind w:left="1300"/>
              <w:spacing w:after="0"/>
              <w:rPr>
                <w:sz w:val="20"/>
                <w:szCs w:val="20"/>
                <w:color w:val="auto"/>
              </w:rPr>
            </w:pPr>
            <w:r>
              <w:rPr>
                <w:rFonts w:ascii="Arial" w:cs="Arial" w:eastAsia="Arial" w:hAnsi="Arial"/>
                <w:sz w:val="14"/>
                <w:szCs w:val="14"/>
                <w:b w:val="1"/>
                <w:bCs w:val="1"/>
                <w:color w:val="002453"/>
              </w:rPr>
              <w:t>Objectives</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Base Salary</w:t>
            </w:r>
          </w:p>
        </w:tc>
        <w:tc>
          <w:tcPr>
            <w:tcW w:w="3560" w:type="dxa"/>
            <w:vAlign w:val="bottom"/>
            <w:gridSpan w:val="2"/>
          </w:tcPr>
          <w:p>
            <w:pPr>
              <w:ind w:left="80"/>
              <w:spacing w:after="0"/>
              <w:rPr>
                <w:sz w:val="20"/>
                <w:szCs w:val="20"/>
                <w:color w:val="auto"/>
              </w:rPr>
            </w:pPr>
            <w:r>
              <w:rPr>
                <w:rFonts w:ascii="Arial" w:cs="Arial" w:eastAsia="Arial" w:hAnsi="Arial"/>
                <w:sz w:val="18"/>
                <w:szCs w:val="18"/>
                <w:color w:val="auto"/>
              </w:rPr>
              <w:t>​ ​ Fixed compensation.</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 ​ Provide a competitive, fixed level of cash</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compensation to attract and retain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talented and skilled executives.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00C08A"/>
            </w:tcBorders>
          </w:tcPr>
          <w:p>
            <w:pPr>
              <w:spacing w:after="0"/>
              <w:rPr>
                <w:sz w:val="2"/>
                <w:szCs w:val="2"/>
                <w:color w:val="auto"/>
              </w:rPr>
            </w:pPr>
          </w:p>
        </w:tc>
        <w:tc>
          <w:tcPr>
            <w:tcW w:w="3560" w:type="dxa"/>
            <w:vAlign w:val="bottom"/>
            <w:tcBorders>
              <w:bottom w:val="single" w:sz="8" w:color="00C08A"/>
            </w:tcBorders>
            <w:gridSpan w:val="2"/>
          </w:tcPr>
          <w:p>
            <w:pPr>
              <w:spacing w:after="0"/>
              <w:rPr>
                <w:sz w:val="2"/>
                <w:szCs w:val="2"/>
                <w:color w:val="auto"/>
              </w:rPr>
            </w:pPr>
          </w:p>
        </w:tc>
        <w:tc>
          <w:tcPr>
            <w:tcW w:w="3540" w:type="dxa"/>
            <w:vAlign w:val="bottom"/>
            <w:tcBorders>
              <w:bottom w:val="single" w:sz="8" w:color="00C08A"/>
            </w:tcBorders>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Cash Bonus</w:t>
            </w:r>
          </w:p>
        </w:tc>
        <w:tc>
          <w:tcPr>
            <w:tcW w:w="3560" w:type="dxa"/>
            <w:vAlign w:val="bottom"/>
            <w:gridSpan w:val="2"/>
          </w:tcPr>
          <w:p>
            <w:pPr>
              <w:ind w:left="80"/>
              <w:spacing w:after="0"/>
              <w:rPr>
                <w:sz w:val="20"/>
                <w:szCs w:val="20"/>
                <w:color w:val="auto"/>
              </w:rPr>
            </w:pPr>
            <w:r>
              <w:rPr>
                <w:rFonts w:ascii="Arial" w:cs="Arial" w:eastAsia="Arial" w:hAnsi="Arial"/>
                <w:sz w:val="18"/>
                <w:szCs w:val="18"/>
                <w:color w:val="auto"/>
              </w:rPr>
              <w:t>​ ​ Variable, performance-based cash</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 ​ Retain and motivate executives to</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compensation earned based on financial</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achieve or exceed financial goals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and individual performance.</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Company objectives.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00C08A"/>
            </w:tcBorders>
          </w:tcPr>
          <w:p>
            <w:pPr>
              <w:spacing w:after="0"/>
              <w:rPr>
                <w:sz w:val="2"/>
                <w:szCs w:val="2"/>
                <w:color w:val="auto"/>
              </w:rPr>
            </w:pPr>
          </w:p>
        </w:tc>
        <w:tc>
          <w:tcPr>
            <w:tcW w:w="3560" w:type="dxa"/>
            <w:vAlign w:val="bottom"/>
            <w:tcBorders>
              <w:bottom w:val="single" w:sz="8" w:color="00C08A"/>
            </w:tcBorders>
            <w:gridSpan w:val="2"/>
          </w:tcPr>
          <w:p>
            <w:pPr>
              <w:spacing w:after="0"/>
              <w:rPr>
                <w:sz w:val="2"/>
                <w:szCs w:val="2"/>
                <w:color w:val="auto"/>
              </w:rPr>
            </w:pPr>
          </w:p>
        </w:tc>
        <w:tc>
          <w:tcPr>
            <w:tcW w:w="3540" w:type="dxa"/>
            <w:vAlign w:val="bottom"/>
            <w:tcBorders>
              <w:bottom w:val="single" w:sz="8" w:color="00C08A"/>
            </w:tcBorders>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Equity Awards</w:t>
            </w:r>
          </w:p>
        </w:tc>
        <w:tc>
          <w:tcPr>
            <w:tcW w:w="3560" w:type="dxa"/>
            <w:vAlign w:val="bottom"/>
            <w:gridSpan w:val="2"/>
          </w:tcPr>
          <w:p>
            <w:pPr>
              <w:ind w:left="80"/>
              <w:spacing w:after="0"/>
              <w:rPr>
                <w:sz w:val="20"/>
                <w:szCs w:val="20"/>
                <w:color w:val="auto"/>
              </w:rPr>
            </w:pPr>
            <w:r>
              <w:rPr>
                <w:rFonts w:ascii="Arial" w:cs="Arial" w:eastAsia="Arial" w:hAnsi="Arial"/>
                <w:sz w:val="18"/>
                <w:szCs w:val="18"/>
                <w:color w:val="auto"/>
              </w:rPr>
              <w:t>​ ​ Equity and equity-based compensation</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 ​ The mix of equity and equity-based</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that is subject to vesting based on</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9"/>
              </w:rPr>
              <w:t>awards with time-based vesting assists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 continued employment, and (ii) for</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retention of key talent while also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certain named executive officers,</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rewarding executives for exceptional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achievement of pre-established financial</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performance.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and operational goals.</w:t>
            </w:r>
          </w:p>
        </w:tc>
        <w:tc>
          <w:tcPr>
            <w:tcW w:w="2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00C08A"/>
            </w:tcBorders>
          </w:tcPr>
          <w:p>
            <w:pPr>
              <w:spacing w:after="0"/>
              <w:rPr>
                <w:sz w:val="2"/>
                <w:szCs w:val="2"/>
                <w:color w:val="auto"/>
              </w:rPr>
            </w:pPr>
          </w:p>
        </w:tc>
        <w:tc>
          <w:tcPr>
            <w:tcW w:w="7100" w:type="dxa"/>
            <w:vAlign w:val="bottom"/>
            <w:tcBorders>
              <w:bottom w:val="single" w:sz="8" w:color="00C08A"/>
            </w:tcBorders>
            <w:gridSpan w:val="4"/>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Employee Benefits and</w:t>
            </w:r>
          </w:p>
        </w:tc>
        <w:tc>
          <w:tcPr>
            <w:tcW w:w="7100" w:type="dxa"/>
            <w:vAlign w:val="bottom"/>
            <w:gridSpan w:val="4"/>
          </w:tcPr>
          <w:p>
            <w:pPr>
              <w:ind w:left="80"/>
              <w:spacing w:after="0"/>
              <w:rPr>
                <w:sz w:val="20"/>
                <w:szCs w:val="20"/>
                <w:color w:val="auto"/>
              </w:rPr>
            </w:pPr>
            <w:r>
              <w:rPr>
                <w:rFonts w:ascii="Arial" w:cs="Arial" w:eastAsia="Arial" w:hAnsi="Arial"/>
                <w:sz w:val="18"/>
                <w:szCs w:val="18"/>
                <w:color w:val="auto"/>
              </w:rPr>
              <w:t>​ ​ Participation in all broad-based employee​ ​ Aid in retention of key executives in a</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Perquisites</w:t>
            </w:r>
          </w:p>
        </w:tc>
        <w:tc>
          <w:tcPr>
            <w:tcW w:w="3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health and welfare programs and</w:t>
            </w: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highly competitive market for talent by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retirement plans.</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providing an overall competitive benefits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package.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00C08A"/>
            </w:tcBorders>
          </w:tcPr>
          <w:p>
            <w:pPr>
              <w:spacing w:after="0"/>
              <w:rPr>
                <w:sz w:val="2"/>
                <w:szCs w:val="2"/>
                <w:color w:val="auto"/>
              </w:rPr>
            </w:pPr>
          </w:p>
        </w:tc>
        <w:tc>
          <w:tcPr>
            <w:tcW w:w="300" w:type="dxa"/>
            <w:vAlign w:val="bottom"/>
            <w:tcBorders>
              <w:bottom w:val="single" w:sz="8" w:color="00C08A"/>
            </w:tcBorders>
          </w:tcPr>
          <w:p>
            <w:pPr>
              <w:spacing w:after="0"/>
              <w:rPr>
                <w:sz w:val="2"/>
                <w:szCs w:val="2"/>
                <w:color w:val="auto"/>
              </w:rPr>
            </w:pPr>
          </w:p>
        </w:tc>
        <w:tc>
          <w:tcPr>
            <w:tcW w:w="3260" w:type="dxa"/>
            <w:vAlign w:val="bottom"/>
            <w:tcBorders>
              <w:bottom w:val="single" w:sz="8" w:color="00C08A"/>
            </w:tcBorders>
          </w:tcPr>
          <w:p>
            <w:pPr>
              <w:spacing w:after="0"/>
              <w:rPr>
                <w:sz w:val="2"/>
                <w:szCs w:val="2"/>
                <w:color w:val="auto"/>
              </w:rPr>
            </w:pPr>
          </w:p>
        </w:tc>
        <w:tc>
          <w:tcPr>
            <w:tcW w:w="240" w:type="dxa"/>
            <w:vAlign w:val="bottom"/>
            <w:tcBorders>
              <w:bottom w:val="single" w:sz="8" w:color="00C08A"/>
            </w:tcBorders>
          </w:tcPr>
          <w:p>
            <w:pPr>
              <w:spacing w:after="0"/>
              <w:rPr>
                <w:sz w:val="2"/>
                <w:szCs w:val="2"/>
                <w:color w:val="auto"/>
              </w:rPr>
            </w:pPr>
          </w:p>
        </w:tc>
        <w:tc>
          <w:tcPr>
            <w:tcW w:w="3300" w:type="dxa"/>
            <w:vAlign w:val="bottom"/>
            <w:tcBorders>
              <w:bottom w:val="single" w:sz="8" w:color="00C08A"/>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60" w:right="80"/>
        <w:spacing w:after="0" w:line="241" w:lineRule="auto"/>
        <w:rPr>
          <w:sz w:val="20"/>
          <w:szCs w:val="20"/>
          <w:color w:val="auto"/>
        </w:rPr>
      </w:pPr>
      <w:r>
        <w:rPr>
          <w:rFonts w:ascii="Arial" w:cs="Arial" w:eastAsia="Arial" w:hAnsi="Arial"/>
          <w:sz w:val="18"/>
          <w:szCs w:val="18"/>
          <w:color w:val="auto"/>
        </w:rPr>
        <w:t>Consistent with and in promotion of the compensation program objectives detailed above, a significant percentage of total compensation is allocated to performance incentives in order to motivate the named executive officers to achieve the business goals set by the Company and reward the officers for achieving such goals. There is no pre-established policy or target for allocating compensation between short- or long-term compensation, between cash and non-cash compensation, among different forms of non-cash compensation, or among named executive officers. Rather, we look at a named executive officer’s goals and responsibilities to determine the appropriate level and mix of incentive compensation.</w:t>
      </w:r>
    </w:p>
    <w:p>
      <w:pPr>
        <w:spacing w:after="0" w:line="89"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We provide named executive officers with a base salary to compensate them for services rendered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fiscal year. This process also enables us to attract and retain an appropriate caliber of talent for the position and to provide a base level of monthly income that is not subject to any performance risk. We conduct a review of base salaries annually, and during such review we generally consider each named executive officer’s past performance, the scope of the role and responsibilities of the named executive officer within the Company and the performance of the Company as a whole. We also review the named executive officer’s compensation relative to that of our other executive officers and to the market for executive officers of similar expertise and experience. The base salary for Mr. Cifu was increased in fiscal year 2022 to $1,200,000 from $1,000,000 pursuant to his amended and restated employment agreement entered as of April 29, 2022 and the base salaries for Messrs. Cavoli, Fairclough and Molluso were increased in fiscal year 2022 to $600,000 from $500,000 pursuant to their amended and restated employment agreements entered as of December 1, 2022. The base salary for Mr. Galvin was not increased during fiscal year 2022.</w:t>
      </w:r>
    </w:p>
    <w:p>
      <w:pPr>
        <w:spacing w:after="0" w:line="87" w:lineRule="exact"/>
        <w:rPr>
          <w:sz w:val="20"/>
          <w:szCs w:val="20"/>
          <w:color w:val="auto"/>
        </w:rPr>
      </w:pPr>
    </w:p>
    <w:p>
      <w:pPr>
        <w:ind w:left="760" w:right="160"/>
        <w:spacing w:after="0" w:line="247" w:lineRule="auto"/>
        <w:rPr>
          <w:sz w:val="20"/>
          <w:szCs w:val="20"/>
          <w:color w:val="auto"/>
        </w:rPr>
      </w:pPr>
      <w:r>
        <w:rPr>
          <w:rFonts w:ascii="Arial" w:cs="Arial" w:eastAsia="Arial" w:hAnsi="Arial"/>
          <w:sz w:val="18"/>
          <w:szCs w:val="18"/>
          <w:b w:val="1"/>
          <w:bCs w:val="1"/>
          <w:i w:val="1"/>
          <w:iCs w:val="1"/>
          <w:color w:val="auto"/>
        </w:rPr>
        <w:t>Variable Incentive Compensation</w:t>
      </w:r>
      <w:r>
        <w:rPr>
          <w:rFonts w:ascii="Arial" w:cs="Arial" w:eastAsia="Arial" w:hAnsi="Arial"/>
          <w:sz w:val="18"/>
          <w:szCs w:val="18"/>
          <w:color w:val="auto"/>
        </w:rPr>
        <w:t>. We award variable incentive compensation to reward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achievements with a time horizon of one year or less. We provide this opportunity to attract and retain an appropriate caliber of talent for the position and to motivate executives to achieve our annual business goals. We review variable incentive compensation awards annually to determine award payments for the last completed fiscal year, as well as to establish award opportunities for the current fiscal year.</w:t>
      </w:r>
    </w:p>
    <w:p>
      <w:pPr>
        <w:spacing w:after="0" w:line="91" w:lineRule="exact"/>
        <w:rPr>
          <w:sz w:val="20"/>
          <w:szCs w:val="20"/>
          <w:color w:val="auto"/>
        </w:rPr>
      </w:pPr>
    </w:p>
    <w:p>
      <w:pPr>
        <w:ind w:left="760" w:right="420"/>
        <w:spacing w:after="0" w:line="245" w:lineRule="auto"/>
        <w:rPr>
          <w:sz w:val="20"/>
          <w:szCs w:val="20"/>
          <w:color w:val="auto"/>
        </w:rPr>
      </w:pPr>
      <w:r>
        <w:rPr>
          <w:rFonts w:ascii="Arial" w:cs="Arial" w:eastAsia="Arial" w:hAnsi="Arial"/>
          <w:sz w:val="18"/>
          <w:szCs w:val="18"/>
          <w:color w:val="auto"/>
        </w:rPr>
        <w:t>To determine the actual amount of variable incentive compensation for each named executive officer, the Compensation Committee reviews quantitative and qualitative criteria. With respect to both types of criteria, attainment of any specific level of performance or specific qualitative goal does not determine the amount of the bonus, except as discussed below regarding Messrs. Cifu’s, Molluso’s, Fairclough’s and Cavoli’s annual bonus.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195580</wp:posOffset>
            </wp:positionV>
            <wp:extent cx="754380"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400"/>
        <w:spacing w:after="0" w:line="241" w:lineRule="auto"/>
        <w:rPr>
          <w:sz w:val="20"/>
          <w:szCs w:val="20"/>
          <w:color w:val="auto"/>
        </w:rPr>
      </w:pPr>
      <w:r>
        <w:rPr>
          <w:rFonts w:ascii="Arial" w:cs="Arial" w:eastAsia="Arial" w:hAnsi="Arial"/>
          <w:sz w:val="18"/>
          <w:szCs w:val="18"/>
          <w:color w:val="auto"/>
        </w:rPr>
        <w:t>than as set forth below with respect to Messrs. Cifu’s, Molluso’s Fairclough’s and Cavoli’s annual bonus, no pre-determined single performance metric is disproportionately weighted in making the determination of a named executive officer’s variable incentive compensation payout, which provides discretion to our Compensation Committee to adjust the actual amount paid in respect of variable incentive compensation to reward financial performance and individual performance in the context of our growing and dynamic business.</w:t>
      </w:r>
    </w:p>
    <w:p>
      <w:pPr>
        <w:spacing w:after="0" w:line="108" w:lineRule="exact"/>
        <w:rPr>
          <w:sz w:val="20"/>
          <w:szCs w:val="20"/>
          <w:color w:val="auto"/>
        </w:rPr>
      </w:pPr>
    </w:p>
    <w:p>
      <w:pPr>
        <w:ind w:left="760" w:right="120"/>
        <w:spacing w:after="0" w:line="251" w:lineRule="auto"/>
        <w:rPr>
          <w:sz w:val="20"/>
          <w:szCs w:val="20"/>
          <w:color w:val="auto"/>
        </w:rPr>
      </w:pPr>
      <w:r>
        <w:rPr>
          <w:rFonts w:ascii="Arial" w:cs="Arial" w:eastAsia="Arial" w:hAnsi="Arial"/>
          <w:sz w:val="18"/>
          <w:szCs w:val="18"/>
          <w:color w:val="auto"/>
        </w:rPr>
        <w:t xml:space="preserve">The amount of the variable incentive compensation award can be paid in a mixture of cash and/or equity. For each of Messrs. Cifu, Molluso, Fairclough and Cavoli, 50% of his 2022 variable incentive compensation was paid in cash and 50% was paid in equity-based compensation, with 30% paid in the form of restricted stock units that vest ratably over a three-year period and 20% paid in fully vested common stock, subject to any voluntary deferrals (see “Employee Benefits and Perquisites” on page </w:t>
      </w:r>
      <w:r>
        <w:rPr>
          <w:rFonts w:ascii="Arial" w:cs="Arial" w:eastAsia="Arial" w:hAnsi="Arial"/>
          <w:sz w:val="18"/>
          <w:szCs w:val="18"/>
          <w:u w:val="single" w:color="auto"/>
          <w:color w:val="0000EE"/>
        </w:rPr>
        <w:t>27</w:t>
      </w:r>
      <w:r>
        <w:rPr>
          <w:rFonts w:ascii="Arial" w:cs="Arial" w:eastAsia="Arial" w:hAnsi="Arial"/>
          <w:sz w:val="18"/>
          <w:szCs w:val="18"/>
          <w:color w:val="auto"/>
        </w:rPr>
        <w:t xml:space="preserve"> of this proxy statement). For Mr. Galvin, 60% of his 2022 variable incentive compensation was paid in cash and 40% was paid in equity-based compensation, with 24% paid in the form of restricted stock units that vest ratably over a three-year period and 16% paid in fully vested common stock. We use awards of fully vested common stock and restricted stock units as a long-term incentive vehicle because it aligns the interests of executives with those of stockholders, supports a pay for performance culture, fosters employee stock ownership, and focuses the management team on increasing value for the stockholders and on the Company’s long-term performance.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year 2022, in accordance with the terms of his employment agreement, Mr. Cifu was eligible to earn 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annual bonus with a target bonus opportunity equal to $3,000,000 and a maximum bonus opportunity equal to</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$6,000,000. 50% of the annual bonus was based on the achievement of select quantitative goals as determined by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and the Compensation Committee and 50% of the annual bonus was based on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achievement of qualitative goals and metrics, including debt and capital structure management, select strategic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initiatives, headquarters consolidation, technology integration goals and people and community measures. For fiscal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2022, the threshold to earn the target performance-based portion of the annual bonus was achievement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budgeted daily adjusted net trading income (“ANTI”), daily ANTI generated from growth initiatives, expenses,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adjusted EBITDA and cumulative adjusted EBITDA with a multi-year lookback. These target amounts were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established based on the market environment during the year as measured by total market volumes, implied and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realized volatility and certain other market and opportunity metrics. Based on the actual market environment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applicable to the Company’s businesses, target daily ANTI was approximately $6.6 million, with approximately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$0.32 million of daily ANTI generated from specified growth initiatives, and target adjusted EBITDA was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approximately $1,025 million. As a result of the Company’s actual performance of $6.0 million of daily ANTI,</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including $0.33 million of ANTI generated from specified growth initiatives, and $859 million of adjusted EBITDA,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Cifu earned 83% (i.e., $2,500,000) of the maximum performance-based portion of his annual bonus.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Additionally, based on the achievement of the aforementioned qualitative goals, the Compensation Committee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determined that Mr. Cifu earned 83% (i.e., $2,500,000) of the qualitative portion of his annual bonus.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amounts paid to Messrs. Molluso, Fairclough, and Cavoli were also determined in accordance with the terms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their respective employment agreements, which provide for a target bonus opportunity equal to $2,000,000 and 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maximum bonus opportunity equal to $3,000,000. 50% of the annual bonus was based on the achievement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select quantitative goals based on the Company’s ANTI and adjusted EBITDA as compared to budgeted amounts in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fiscal year 2022 and 50% of the annual bonus was based on the achievement of qualitative goals and metrics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determined with the Chief Executive Officer. For fiscal year 2022, the threshold to earn the target performance-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based portion of the annual bonus was achievement of budgeted ANTI, growth initiatives, expenses, adjusted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EBITDA and cumulative adjusted EBITDA with a multi-year lookback. These target amounts were established as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ranges dependent on the market environment during the year as measured by total market volumes, implied and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realized volatility and certain other market and opportunity metrics. Based on the actual market environment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applicable to the Company’s businesses, target daily ANTI was approximately $6.6 million, with approximately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$0.32 million of ANTI generated from specified growth initiatives and target adjusted EBITDA was approximately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$1,025 million. As a result of the Company’s actual performance of $6.0 million of daily ANTI, including $0.33 million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ANTI generated from specified growth initiatives, and $859 million of adjusted EBITDA, each of Messrs. Molluso,</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Fairclough, and Cavoli earned 80% (i.e., $1,200,000) of the maximum performance-based portion of his annual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bonus, and the CEO together with the Compensation Committee, determined that each executive earned 70% (i.e.,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$1,050,000) of the qualitative portion of his annual bonus.</w:t>
      </w:r>
    </w:p>
    <w:p>
      <w:pPr>
        <w:spacing w:after="0" w:line="117" w:lineRule="exact"/>
        <w:rPr>
          <w:sz w:val="20"/>
          <w:szCs w:val="20"/>
          <w:color w:val="auto"/>
        </w:rPr>
      </w:pPr>
    </w:p>
    <w:p>
      <w:pPr>
        <w:ind w:left="760" w:right="140"/>
        <w:spacing w:after="0" w:line="291" w:lineRule="auto"/>
        <w:rPr>
          <w:sz w:val="20"/>
          <w:szCs w:val="20"/>
          <w:color w:val="auto"/>
        </w:rPr>
      </w:pPr>
      <w:r>
        <w:rPr>
          <w:rFonts w:ascii="Arial" w:cs="Arial" w:eastAsia="Arial" w:hAnsi="Arial"/>
          <w:sz w:val="17"/>
          <w:szCs w:val="17"/>
          <w:color w:val="auto"/>
        </w:rPr>
        <w:t>Mr. Galvin’s variable incentive compensation was determined by the Chief Executive Officer and the Compensation Committee based on the Company’s financial performance as well as various other objectives and metrics.</w:t>
      </w:r>
    </w:p>
    <w:p>
      <w:pPr>
        <w:spacing w:after="0" w:line="24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380"/>
        <w:spacing w:after="0" w:line="246" w:lineRule="auto"/>
        <w:rPr>
          <w:sz w:val="20"/>
          <w:szCs w:val="20"/>
          <w:color w:val="auto"/>
        </w:rPr>
      </w:pPr>
      <w:r>
        <w:rPr>
          <w:rFonts w:ascii="Arial" w:cs="Arial" w:eastAsia="Arial" w:hAnsi="Arial"/>
          <w:sz w:val="18"/>
          <w:szCs w:val="18"/>
          <w:color w:val="auto"/>
        </w:rPr>
        <w:t>Accordingly, for fiscal year 2022, the amount of variable incentive compensation form of payments to our named executive officers is described in the table below:</w:t>
      </w:r>
    </w:p>
    <w:p>
      <w:pPr>
        <w:spacing w:after="0" w:line="91"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002453"/>
                <w:w w:val="99"/>
              </w:rPr>
              <w:t>Total 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002453"/>
              </w:rPr>
              <w:t>Restricted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002453"/>
              </w:rPr>
              <w:t>Variable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ind w:right="115"/>
              <w:spacing w:after="0" w:line="148" w:lineRule="exact"/>
              <w:rPr>
                <w:sz w:val="20"/>
                <w:szCs w:val="20"/>
                <w:color w:val="auto"/>
              </w:rPr>
            </w:pPr>
            <w:r>
              <w:rPr>
                <w:rFonts w:ascii="Arial" w:cs="Arial" w:eastAsia="Arial" w:hAnsi="Arial"/>
                <w:sz w:val="14"/>
                <w:szCs w:val="14"/>
                <w:b w:val="1"/>
                <w:bCs w:val="1"/>
                <w:color w:val="002453"/>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20"/>
              <w:spacing w:after="0"/>
              <w:rPr>
                <w:sz w:val="20"/>
                <w:szCs w:val="20"/>
                <w:color w:val="auto"/>
              </w:rPr>
            </w:pPr>
            <w:r>
              <w:rPr>
                <w:rFonts w:ascii="Arial" w:cs="Arial" w:eastAsia="Arial" w:hAnsi="Arial"/>
                <w:sz w:val="14"/>
                <w:szCs w:val="14"/>
                <w:b w:val="1"/>
                <w:bCs w:val="1"/>
                <w:color w:val="002453"/>
              </w:rPr>
              <w:t>Name</w:t>
            </w:r>
          </w:p>
        </w:tc>
        <w:tc>
          <w:tcPr>
            <w:tcW w:w="1280" w:type="dxa"/>
            <w:vAlign w:val="bottom"/>
          </w:tcPr>
          <w:p>
            <w:pPr>
              <w:ind w:left="920"/>
              <w:spacing w:after="0"/>
              <w:rPr>
                <w:sz w:val="20"/>
                <w:szCs w:val="20"/>
                <w:color w:val="auto"/>
              </w:rPr>
            </w:pPr>
            <w:r>
              <w:rPr>
                <w:rFonts w:ascii="Arial" w:cs="Arial" w:eastAsia="Arial" w:hAnsi="Arial"/>
                <w:sz w:val="14"/>
                <w:szCs w:val="14"/>
                <w:b w:val="1"/>
                <w:bCs w:val="1"/>
                <w:color w:val="002453"/>
              </w:rPr>
              <w:t>​ ​</w:t>
            </w:r>
          </w:p>
        </w:tc>
        <w:tc>
          <w:tcPr>
            <w:tcW w:w="620" w:type="dxa"/>
            <w:vAlign w:val="bottom"/>
          </w:tcPr>
          <w:p>
            <w:pPr>
              <w:ind w:left="100"/>
              <w:spacing w:after="0"/>
              <w:rPr>
                <w:sz w:val="20"/>
                <w:szCs w:val="20"/>
                <w:color w:val="auto"/>
              </w:rPr>
            </w:pPr>
            <w:r>
              <w:rPr>
                <w:rFonts w:ascii="Arial" w:cs="Arial" w:eastAsia="Arial" w:hAnsi="Arial"/>
                <w:sz w:val="14"/>
                <w:szCs w:val="14"/>
                <w:b w:val="1"/>
                <w:bCs w:val="1"/>
                <w:color w:val="002453"/>
              </w:rPr>
              <w:t>Cash</w:t>
            </w:r>
          </w:p>
        </w:tc>
        <w:tc>
          <w:tcPr>
            <w:tcW w:w="3860" w:type="dxa"/>
            <w:vAlign w:val="bottom"/>
            <w:gridSpan w:val="7"/>
          </w:tcPr>
          <w:p>
            <w:pPr>
              <w:jc w:val="right"/>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Stock Units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Common Stock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Compensation</w:t>
            </w:r>
            <w:r>
              <w:rPr>
                <w:rFonts w:ascii="Arial" w:cs="Arial" w:eastAsia="Arial" w:hAnsi="Arial"/>
                <w:sz w:val="23"/>
                <w:szCs w:val="23"/>
                <w:b w:val="1"/>
                <w:bCs w:val="1"/>
                <w:color w:val="002453"/>
                <w:vertAlign w:val="subscript"/>
              </w:rPr>
              <w:t>​</w:t>
            </w:r>
          </w:p>
        </w:tc>
        <w:tc>
          <w:tcPr>
            <w:tcW w:w="0" w:type="dxa"/>
            <w:vAlign w:val="bottom"/>
          </w:tcPr>
          <w:p>
            <w:pPr>
              <w:spacing w:after="0"/>
              <w:rPr>
                <w:sz w:val="1"/>
                <w:szCs w:val="1"/>
                <w:color w:val="auto"/>
              </w:rPr>
            </w:pPr>
          </w:p>
        </w:tc>
      </w:tr>
      <w:tr>
        <w:trPr>
          <w:trHeight w:val="264"/>
        </w:trPr>
        <w:tc>
          <w:tcPr>
            <w:tcW w:w="2180" w:type="dxa"/>
            <w:vAlign w:val="bottom"/>
            <w:tcBorders>
              <w:top w:val="single" w:sz="8" w:color="00C08A"/>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Douglas A. Cifu</w:t>
            </w:r>
          </w:p>
        </w:tc>
        <w:tc>
          <w:tcPr>
            <w:tcW w:w="3460" w:type="dxa"/>
            <w:vAlign w:val="bottom"/>
            <w:tcBorders>
              <w:top w:val="single" w:sz="8" w:color="00C08A"/>
              <w:bottom w:val="single" w:sz="8" w:color="00C08A"/>
            </w:tcBorders>
            <w:gridSpan w:val="4"/>
            <w:shd w:val="clear" w:color="auto" w:fill="CCEEFF"/>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$2,500,000</w:t>
            </w:r>
            <w:r>
              <w:rPr>
                <w:rFonts w:ascii="Arial" w:cs="Arial" w:eastAsia="Arial" w:hAnsi="Arial"/>
                <w:sz w:val="30"/>
                <w:szCs w:val="30"/>
                <w:color w:val="auto"/>
                <w:vertAlign w:val="subscript"/>
              </w:rPr>
              <w:t>​​ ​​</w:t>
            </w:r>
            <w:r>
              <w:rPr>
                <w:rFonts w:ascii="Arial" w:cs="Arial" w:eastAsia="Arial" w:hAnsi="Arial"/>
                <w:sz w:val="16"/>
                <w:szCs w:val="16"/>
                <w:color w:val="auto"/>
              </w:rPr>
              <w:t>$2,500,000</w:t>
            </w:r>
            <w:r>
              <w:rPr>
                <w:rFonts w:ascii="Arial" w:cs="Arial" w:eastAsia="Arial" w:hAnsi="Arial"/>
                <w:sz w:val="30"/>
                <w:szCs w:val="30"/>
                <w:color w:val="auto"/>
                <w:vertAlign w:val="subscript"/>
              </w:rPr>
              <w:t>​​ ​</w:t>
            </w:r>
          </w:p>
        </w:tc>
        <w:tc>
          <w:tcPr>
            <w:tcW w:w="420" w:type="dxa"/>
            <w:vAlign w:val="bottom"/>
            <w:tcBorders>
              <w:top w:val="single" w:sz="8" w:color="00C08A"/>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5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00C08A"/>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Joseph Molluso</w:t>
            </w:r>
          </w:p>
        </w:tc>
        <w:tc>
          <w:tcPr>
            <w:tcW w:w="3460" w:type="dxa"/>
            <w:vAlign w:val="bottom"/>
            <w:tcBorders>
              <w:bottom w:val="single" w:sz="8" w:color="00C08A"/>
            </w:tcBorders>
            <w:gridSpan w:val="4"/>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$1,125,000</w:t>
            </w:r>
            <w:r>
              <w:rPr>
                <w:rFonts w:ascii="Arial" w:cs="Arial" w:eastAsia="Arial" w:hAnsi="Arial"/>
                <w:sz w:val="30"/>
                <w:szCs w:val="30"/>
                <w:color w:val="auto"/>
                <w:vertAlign w:val="subscript"/>
              </w:rPr>
              <w:t>​​ ​​</w:t>
            </w:r>
            <w:r>
              <w:rPr>
                <w:rFonts w:ascii="Arial" w:cs="Arial" w:eastAsia="Arial" w:hAnsi="Arial"/>
                <w:sz w:val="16"/>
                <w:szCs w:val="16"/>
                <w:color w:val="auto"/>
              </w:rPr>
              <w:t>$1,125,000</w:t>
            </w:r>
            <w:r>
              <w:rPr>
                <w:rFonts w:ascii="Arial" w:cs="Arial" w:eastAsia="Arial" w:hAnsi="Arial"/>
                <w:sz w:val="30"/>
                <w:szCs w:val="30"/>
                <w:color w:val="auto"/>
                <w:vertAlign w:val="subscript"/>
              </w:rPr>
              <w:t>​​ ​</w:t>
            </w:r>
          </w:p>
        </w:tc>
        <w:tc>
          <w:tcPr>
            <w:tcW w:w="42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50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w w:val="97"/>
              </w:rPr>
              <w:t>2,250,000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Brett Fairclough</w:t>
            </w:r>
          </w:p>
        </w:tc>
        <w:tc>
          <w:tcPr>
            <w:tcW w:w="2440" w:type="dxa"/>
            <w:vAlign w:val="bottom"/>
            <w:tcBorders>
              <w:bottom w:val="single" w:sz="8" w:color="00C08A"/>
            </w:tcBorders>
            <w:gridSpan w:val="3"/>
            <w:shd w:val="clear" w:color="auto" w:fill="CCEEFF"/>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$1,125,000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20" w:type="dxa"/>
            <w:vAlign w:val="bottom"/>
            <w:tcBorders>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675,000</w:t>
            </w:r>
            <w:r>
              <w:rPr>
                <w:rFonts w:ascii="Arial" w:cs="Arial" w:eastAsia="Arial" w:hAnsi="Arial"/>
                <w:sz w:val="30"/>
                <w:szCs w:val="30"/>
                <w:color w:val="auto"/>
                <w:vertAlign w:val="subscript"/>
              </w:rPr>
              <w:t>​​ ​</w:t>
            </w:r>
          </w:p>
        </w:tc>
        <w:tc>
          <w:tcPr>
            <w:tcW w:w="920" w:type="dxa"/>
            <w:vAlign w:val="bottom"/>
            <w:tcBorders>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$450,000</w:t>
            </w:r>
          </w:p>
        </w:tc>
        <w:tc>
          <w:tcPr>
            <w:tcW w:w="480" w:type="dxa"/>
            <w:vAlign w:val="bottom"/>
            <w:tcBorders>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w w:val="97"/>
              </w:rPr>
              <w:t>2,250,000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Stephen Cavoli</w:t>
            </w:r>
          </w:p>
        </w:tc>
        <w:tc>
          <w:tcPr>
            <w:tcW w:w="2440" w:type="dxa"/>
            <w:vAlign w:val="bottom"/>
            <w:tcBorders>
              <w:bottom w:val="single" w:sz="8" w:color="00C08A"/>
            </w:tcBorders>
            <w:gridSpan w:val="3"/>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$1,125,000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2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675,000</w:t>
            </w:r>
            <w:r>
              <w:rPr>
                <w:rFonts w:ascii="Arial" w:cs="Arial" w:eastAsia="Arial" w:hAnsi="Arial"/>
                <w:sz w:val="30"/>
                <w:szCs w:val="30"/>
                <w:color w:val="auto"/>
                <w:vertAlign w:val="subscript"/>
              </w:rPr>
              <w:t>​​ ​</w:t>
            </w:r>
          </w:p>
        </w:tc>
        <w:tc>
          <w:tcPr>
            <w:tcW w:w="920" w:type="dxa"/>
            <w:vAlign w:val="bottom"/>
            <w:tcBorders>
              <w:bottom w:val="single" w:sz="8" w:color="00C08A"/>
            </w:tcBorders>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$450,000</w:t>
            </w:r>
          </w:p>
        </w:tc>
        <w:tc>
          <w:tcPr>
            <w:tcW w:w="48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w w:val="97"/>
              </w:rPr>
              <w:t>2,250,000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Sean P. Galvin</w:t>
            </w:r>
          </w:p>
        </w:tc>
        <w:tc>
          <w:tcPr>
            <w:tcW w:w="1280" w:type="dxa"/>
            <w:vAlign w:val="bottom"/>
            <w:tcBorders>
              <w:bottom w:val="single" w:sz="8" w:color="00C08A"/>
            </w:tcBorders>
            <w:shd w:val="clear" w:color="auto" w:fill="CCEEFF"/>
          </w:tcPr>
          <w:p>
            <w:pPr>
              <w:ind w:left="92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60" w:type="dxa"/>
            <w:vAlign w:val="bottom"/>
            <w:tcBorders>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480,000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20" w:type="dxa"/>
            <w:vAlign w:val="bottom"/>
            <w:tcBorders>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192,000</w:t>
            </w:r>
            <w:r>
              <w:rPr>
                <w:rFonts w:ascii="Arial" w:cs="Arial" w:eastAsia="Arial" w:hAnsi="Arial"/>
                <w:sz w:val="30"/>
                <w:szCs w:val="30"/>
                <w:color w:val="auto"/>
                <w:vertAlign w:val="subscript"/>
              </w:rPr>
              <w:t>​​ ​</w:t>
            </w:r>
          </w:p>
        </w:tc>
        <w:tc>
          <w:tcPr>
            <w:tcW w:w="920" w:type="dxa"/>
            <w:vAlign w:val="bottom"/>
            <w:tcBorders>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$128,000</w:t>
            </w:r>
          </w:p>
        </w:tc>
        <w:tc>
          <w:tcPr>
            <w:tcW w:w="480" w:type="dxa"/>
            <w:vAlign w:val="bottom"/>
            <w:tcBorders>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Cifu Equity Awards</w:t>
      </w:r>
    </w:p>
    <w:p>
      <w:pPr>
        <w:spacing w:after="0" w:line="139"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In fiscal year 2022, in accordance with the terms of his employment agreement, Mr. Cifu received a grant of 150,000 restricted stock units that are earned based on the percentage of budgeted adjusted EBITDA achieved in fiscal year 2022: 100% of the shares are earned if 65% of budgeted adjusted EBITDA is achieved and the Compensation Committee has discretion to determine the percentage of shares earned if less than 65% of budgeted adjusted EBITDA is achieved. For fiscal year 2022, our budgeted adjusted EBITDA target was determined based on the market environment during the year. Based on the actual market environment applicable to the Company’s businesses, target adjusted EBITDA was $1,025 million, and we achieved approximately 84% of such range. Accordingly, all of the restricted stock units granted to Mr. Cifu in fiscal year 2022 were earned, with half of the shares vesting as of January 31, 2023, and the remainder to vest as of December 31, 2023.</w:t>
      </w:r>
    </w:p>
    <w:p>
      <w:pPr>
        <w:spacing w:after="0" w:line="108" w:lineRule="exact"/>
        <w:rPr>
          <w:sz w:val="20"/>
          <w:szCs w:val="20"/>
          <w:color w:val="auto"/>
        </w:rPr>
      </w:pPr>
    </w:p>
    <w:p>
      <w:pPr>
        <w:ind w:left="760" w:right="560"/>
        <w:spacing w:after="0" w:line="246" w:lineRule="auto"/>
        <w:rPr>
          <w:sz w:val="20"/>
          <w:szCs w:val="20"/>
          <w:color w:val="auto"/>
        </w:rPr>
      </w:pPr>
      <w:r>
        <w:rPr>
          <w:rFonts w:ascii="Arial" w:cs="Arial" w:eastAsia="Arial" w:hAnsi="Arial"/>
          <w:sz w:val="18"/>
          <w:szCs w:val="18"/>
          <w:color w:val="auto"/>
        </w:rPr>
        <w:t>The Compensation Committee believes these awards incentivize Mr. Cifu to achieve key financial goals of the Company and aligns his long-term interests with those of our stockholders.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Employee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300"/>
        <w:spacing w:after="0" w:line="248" w:lineRule="auto"/>
        <w:rPr>
          <w:sz w:val="20"/>
          <w:szCs w:val="20"/>
          <w:color w:val="auto"/>
        </w:rPr>
      </w:pPr>
      <w:r>
        <w:rPr>
          <w:rFonts w:ascii="Arial" w:cs="Arial" w:eastAsia="Arial" w:hAnsi="Arial"/>
          <w:sz w:val="18"/>
          <w:szCs w:val="18"/>
          <w:color w:val="auto"/>
        </w:rPr>
        <w:t>We provide a number of benefit plans to all eligible employees, including our named executive officers. These benefits include medical, dental, life insurance, business travel accident insurance, short- and long-term disability coverage and a 401(k) defined contribution plan.</w:t>
      </w:r>
    </w:p>
    <w:p>
      <w:pPr>
        <w:spacing w:after="0" w:line="65" w:lineRule="exact"/>
        <w:rPr>
          <w:sz w:val="20"/>
          <w:szCs w:val="20"/>
          <w:color w:val="auto"/>
        </w:rPr>
      </w:pPr>
    </w:p>
    <w:p>
      <w:pPr>
        <w:ind w:left="760" w:right="280"/>
        <w:spacing w:after="0" w:line="271" w:lineRule="auto"/>
        <w:rPr>
          <w:sz w:val="20"/>
          <w:szCs w:val="20"/>
          <w:color w:val="auto"/>
        </w:rPr>
      </w:pPr>
      <w:r>
        <w:rPr>
          <w:rFonts w:ascii="Arial" w:cs="Arial" w:eastAsia="Arial" w:hAnsi="Arial"/>
          <w:sz w:val="17"/>
          <w:szCs w:val="17"/>
          <w:color w:val="auto"/>
        </w:rPr>
        <w:t>On November 13, 2020, the Company adopted the Virtu Financial, Inc. Deferred Compensation Plan (the “</w:t>
      </w:r>
      <w:r>
        <w:rPr>
          <w:rFonts w:ascii="Arial" w:cs="Arial" w:eastAsia="Arial" w:hAnsi="Arial"/>
          <w:sz w:val="17"/>
          <w:szCs w:val="17"/>
          <w:b w:val="1"/>
          <w:bCs w:val="1"/>
          <w:color w:val="auto"/>
        </w:rPr>
        <w:t>DCP</w:t>
      </w:r>
      <w:r>
        <w:rPr>
          <w:rFonts w:ascii="Arial" w:cs="Arial" w:eastAsia="Arial" w:hAnsi="Arial"/>
          <w:sz w:val="17"/>
          <w:szCs w:val="17"/>
          <w:color w:val="auto"/>
        </w:rPr>
        <w:t>”). The DCP permits eligible executive officers and other employees to defer cash or equity-based compensation beginning in the calendar year ending December 31, 2021, subject to certain limitations and restrictions. The Company recognized approximately $3.0 million as compensation cost under the DCP as of December 31, 2022.</w:t>
      </w:r>
    </w:p>
    <w:p>
      <w:pPr>
        <w:spacing w:after="0" w:line="71" w:lineRule="exact"/>
        <w:rPr>
          <w:sz w:val="20"/>
          <w:szCs w:val="20"/>
          <w:color w:val="auto"/>
        </w:rPr>
      </w:pPr>
    </w:p>
    <w:p>
      <w:pPr>
        <w:jc w:val="both"/>
        <w:ind w:left="760" w:right="460"/>
        <w:spacing w:after="0" w:line="248" w:lineRule="auto"/>
        <w:rPr>
          <w:sz w:val="20"/>
          <w:szCs w:val="20"/>
          <w:color w:val="auto"/>
        </w:rPr>
      </w:pPr>
      <w:r>
        <w:rPr>
          <w:rFonts w:ascii="Arial" w:cs="Arial" w:eastAsia="Arial" w:hAnsi="Arial"/>
          <w:sz w:val="18"/>
          <w:szCs w:val="18"/>
          <w:color w:val="auto"/>
        </w:rPr>
        <w:t xml:space="preserve">In fiscal year 2022, of our named executive officers, only Messrs. Cifu and Molluso participated in the DCP and chose to defer a portion of his compensation in the form of deferred stock units. Additional details regarding the DCP are set forth below on page </w:t>
      </w:r>
      <w:r>
        <w:rPr>
          <w:rFonts w:ascii="Arial" w:cs="Arial" w:eastAsia="Arial" w:hAnsi="Arial"/>
          <w:sz w:val="18"/>
          <w:szCs w:val="18"/>
          <w:u w:val="single" w:color="auto"/>
          <w:color w:val="0000EE"/>
        </w:rPr>
        <w:t>41</w:t>
      </w:r>
      <w:r>
        <w:rPr>
          <w:rFonts w:ascii="Arial" w:cs="Arial" w:eastAsia="Arial" w:hAnsi="Arial"/>
          <w:sz w:val="18"/>
          <w:szCs w:val="18"/>
          <w:color w:val="auto"/>
        </w:rPr>
        <w:t>.</w:t>
      </w:r>
    </w:p>
    <w:p>
      <w:pPr>
        <w:spacing w:after="0" w:line="87" w:lineRule="exact"/>
        <w:rPr>
          <w:sz w:val="20"/>
          <w:szCs w:val="20"/>
          <w:color w:val="auto"/>
        </w:rPr>
      </w:pPr>
    </w:p>
    <w:p>
      <w:pPr>
        <w:ind w:left="760" w:right="160"/>
        <w:spacing w:after="0" w:line="243" w:lineRule="auto"/>
        <w:rPr>
          <w:sz w:val="20"/>
          <w:szCs w:val="20"/>
          <w:color w:val="auto"/>
        </w:rPr>
      </w:pPr>
      <w:r>
        <w:rPr>
          <w:rFonts w:ascii="Arial" w:cs="Arial" w:eastAsia="Arial" w:hAnsi="Arial"/>
          <w:sz w:val="18"/>
          <w:szCs w:val="18"/>
          <w:color w:val="auto"/>
        </w:rPr>
        <w:t>While perquisites help to provide our named executive officers a benefit with a high perceived value at a relatively low cost, we do not generally view perquisites as a material component of our executive compensation program. In the future, we may provide additional or different perquisites or other personal benefits in limited circumstances, such as where we believe doing so is appropriate to assist an executive in the performance of his or her duties, to make our named executive officers more efficient and effective and for recruitment, motivation and/or retention purposes.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Severance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We have previously entered into employment agreements with Messrs. Cifu, Molluso, Fairclough, and Cavoli that provide for certain severance payments and benefits in the event that such named executive officer’s employment is terminated under specified conditions. In addition, the vesting of a portion of each of these named executive officer’s equity award or awards accelerates in connection with qualifying terminations of employment. We believe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196850</wp:posOffset>
            </wp:positionV>
            <wp:extent cx="754380" cy="240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280"/>
        <w:spacing w:after="0" w:line="248" w:lineRule="auto"/>
        <w:rPr>
          <w:sz w:val="20"/>
          <w:szCs w:val="20"/>
          <w:color w:val="auto"/>
        </w:rPr>
      </w:pPr>
      <w:r>
        <w:rPr>
          <w:rFonts w:ascii="Arial" w:cs="Arial" w:eastAsia="Arial" w:hAnsi="Arial"/>
          <w:sz w:val="18"/>
          <w:szCs w:val="18"/>
          <w:color w:val="auto"/>
        </w:rPr>
        <w:t>that these severance benefits are appropriate to remain competitive in our executive retention efforts, recognizing that such benefits are commonly offered by employers competing for similar executive talent. See “Potential Payments upon Termination of Employment or Change in Control” for additional information.</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Taxation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260"/>
        <w:spacing w:after="0" w:line="241" w:lineRule="auto"/>
        <w:rPr>
          <w:sz w:val="20"/>
          <w:szCs w:val="20"/>
          <w:color w:val="auto"/>
        </w:rPr>
      </w:pPr>
      <w:r>
        <w:rPr>
          <w:rFonts w:ascii="Arial" w:cs="Arial" w:eastAsia="Arial" w:hAnsi="Arial"/>
          <w:sz w:val="18"/>
          <w:szCs w:val="18"/>
          <w:color w:val="auto"/>
        </w:rPr>
        <w:t>For income tax purposes, public companies may not deduct any portion of compensation that is in excess of $1 million paid in a taxable year to certain “covered employees,” including our named executive officers, under Section 162(m) of the Internal Revenue Code of 1986, as amended (“</w:t>
      </w:r>
      <w:r>
        <w:rPr>
          <w:rFonts w:ascii="Arial" w:cs="Arial" w:eastAsia="Arial" w:hAnsi="Arial"/>
          <w:sz w:val="18"/>
          <w:szCs w:val="18"/>
          <w:b w:val="1"/>
          <w:bCs w:val="1"/>
          <w:color w:val="auto"/>
        </w:rPr>
        <w:t>Section 162(m)</w:t>
      </w:r>
      <w:r>
        <w:rPr>
          <w:rFonts w:ascii="Arial" w:cs="Arial" w:eastAsia="Arial" w:hAnsi="Arial"/>
          <w:sz w:val="18"/>
          <w:szCs w:val="18"/>
          <w:color w:val="auto"/>
        </w:rPr>
        <w:t>”), subject to certain limited exceptions. Following recent changes to Section 162(m) or related rules, deductibility for 2022 compensation may only be permitted in certain limited cases, if at all, and for future periods may not be permitted at all.</w:t>
      </w:r>
    </w:p>
    <w:p>
      <w:pPr>
        <w:spacing w:after="0" w:line="95" w:lineRule="exact"/>
        <w:rPr>
          <w:sz w:val="20"/>
          <w:szCs w:val="20"/>
          <w:color w:val="auto"/>
        </w:rPr>
      </w:pPr>
    </w:p>
    <w:p>
      <w:pPr>
        <w:ind w:left="760" w:right="100"/>
        <w:spacing w:after="0" w:line="241" w:lineRule="auto"/>
        <w:rPr>
          <w:sz w:val="20"/>
          <w:szCs w:val="20"/>
          <w:color w:val="auto"/>
        </w:rPr>
      </w:pPr>
      <w:r>
        <w:rPr>
          <w:rFonts w:ascii="Arial" w:cs="Arial" w:eastAsia="Arial" w:hAnsi="Arial"/>
          <w:sz w:val="18"/>
          <w:szCs w:val="18"/>
          <w:color w:val="auto"/>
        </w:rPr>
        <w:t>Nevertheless, even if Section 162(m) were to apply to compensation paid to our named executive officers, our board of directors believes that it should not be constrained by the requirements of 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if those requirements would impair flexibility in compensating our named executive officers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p>
    <w:p>
      <w:pPr>
        <w:spacing w:after="0" w:line="111" w:lineRule="exact"/>
        <w:rPr>
          <w:sz w:val="20"/>
          <w:szCs w:val="20"/>
          <w:color w:val="auto"/>
        </w:rPr>
      </w:pPr>
    </w:p>
    <w:p>
      <w:pPr>
        <w:ind w:left="760" w:right="140"/>
        <w:spacing w:after="0" w:line="239" w:lineRule="auto"/>
        <w:rPr>
          <w:sz w:val="20"/>
          <w:szCs w:val="20"/>
          <w:color w:val="auto"/>
        </w:rPr>
      </w:pPr>
      <w:r>
        <w:rPr>
          <w:rFonts w:ascii="Arial" w:cs="Arial" w:eastAsia="Arial" w:hAnsi="Arial"/>
          <w:sz w:val="18"/>
          <w:szCs w:val="18"/>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w:t>
      </w:r>
    </w:p>
    <w:p>
      <w:pPr>
        <w:spacing w:after="0" w:line="214" w:lineRule="exact"/>
        <w:rPr>
          <w:sz w:val="20"/>
          <w:szCs w:val="20"/>
          <w:color w:val="auto"/>
        </w:rPr>
      </w:pPr>
    </w:p>
    <w:p>
      <w:pPr>
        <w:ind w:left="2940"/>
        <w:spacing w:after="0"/>
        <w:rPr>
          <w:sz w:val="20"/>
          <w:szCs w:val="20"/>
          <w:color w:val="auto"/>
        </w:rPr>
      </w:pPr>
      <w:r>
        <w:rPr>
          <w:rFonts w:ascii="Arial" w:cs="Arial" w:eastAsia="Arial" w:hAnsi="Arial"/>
          <w:sz w:val="29"/>
          <w:szCs w:val="29"/>
          <w:color w:val="00C08A"/>
        </w:rPr>
        <w:t>SUMMARY COMPENSATION TABLE</w:t>
      </w:r>
    </w:p>
    <w:p>
      <w:pPr>
        <w:spacing w:after="0" w:line="102" w:lineRule="exact"/>
        <w:rPr>
          <w:sz w:val="20"/>
          <w:szCs w:val="20"/>
          <w:color w:val="auto"/>
        </w:rPr>
      </w:pPr>
    </w:p>
    <w:p>
      <w:pPr>
        <w:ind w:left="760" w:right="320"/>
        <w:spacing w:after="0" w:line="246" w:lineRule="auto"/>
        <w:rPr>
          <w:sz w:val="20"/>
          <w:szCs w:val="20"/>
          <w:color w:val="auto"/>
        </w:rPr>
      </w:pPr>
      <w:r>
        <w:rPr>
          <w:rFonts w:ascii="Arial" w:cs="Arial" w:eastAsia="Arial" w:hAnsi="Arial"/>
          <w:sz w:val="18"/>
          <w:szCs w:val="18"/>
          <w:color w:val="auto"/>
        </w:rPr>
        <w:t>The following table sets forth the cash and non-cash compensation paid by the Company during the years ended December 31, 2020, December 31, 2021, and December 31, 2022, to its named executive officers.</w:t>
      </w:r>
    </w:p>
    <w:p>
      <w:pPr>
        <w:spacing w:after="0" w:line="9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002453"/>
              </w:rPr>
              <w:t>Stock</w:t>
            </w:r>
          </w:p>
        </w:tc>
        <w:tc>
          <w:tcPr>
            <w:tcW w:w="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002453"/>
              </w:rPr>
              <w:t>Non-Equity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002453"/>
              </w:rPr>
              <w:t>All 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002453"/>
              </w:rPr>
              <w:t>​​</w:t>
            </w:r>
            <w:r>
              <w:rPr>
                <w:rFonts w:ascii="Arial" w:cs="Arial" w:eastAsia="Arial" w:hAnsi="Arial"/>
                <w:sz w:val="28"/>
                <w:szCs w:val="28"/>
                <w:b w:val="1"/>
                <w:bCs w:val="1"/>
                <w:color w:val="002453"/>
                <w:vertAlign w:val="superscript"/>
              </w:rPr>
              <w:t>Year</w:t>
            </w:r>
            <w:r>
              <w:rPr>
                <w:rFonts w:ascii="Arial" w:cs="Arial" w:eastAsia="Arial" w:hAnsi="Arial"/>
                <w:sz w:val="14"/>
                <w:szCs w:val="14"/>
                <w:b w:val="1"/>
                <w:bCs w:val="1"/>
                <w:color w:val="002453"/>
              </w:rPr>
              <w:t xml:space="preserve"> ​​</w:t>
            </w:r>
          </w:p>
        </w:tc>
        <w:tc>
          <w:tcPr>
            <w:tcW w:w="820" w:type="dxa"/>
            <w:vAlign w:val="bottom"/>
            <w:gridSpan w:val="2"/>
            <w:vMerge w:val="restart"/>
          </w:tcPr>
          <w:p>
            <w:pPr>
              <w:jc w:val="right"/>
              <w:ind w:right="29"/>
              <w:spacing w:after="0"/>
              <w:rPr>
                <w:sz w:val="20"/>
                <w:szCs w:val="20"/>
                <w:color w:val="auto"/>
              </w:rPr>
            </w:pPr>
            <w:r>
              <w:rPr>
                <w:rFonts w:ascii="Arial" w:cs="Arial" w:eastAsia="Arial" w:hAnsi="Arial"/>
                <w:sz w:val="14"/>
                <w:szCs w:val="14"/>
                <w:b w:val="1"/>
                <w:bCs w:val="1"/>
                <w:color w:val="002453"/>
              </w:rPr>
              <w:t xml:space="preserve">Salary   </w:t>
            </w:r>
            <w:r>
              <w:rPr>
                <w:rFonts w:ascii="Arial" w:cs="Arial" w:eastAsia="Arial" w:hAnsi="Arial"/>
                <w:sz w:val="28"/>
                <w:szCs w:val="28"/>
                <w:b w:val="1"/>
                <w:bCs w:val="1"/>
                <w:color w:val="002453"/>
                <w:vertAlign w:val="subscript"/>
              </w:rPr>
              <w:t>​</w:t>
            </w:r>
          </w:p>
        </w:tc>
        <w:tc>
          <w:tcPr>
            <w:tcW w:w="840" w:type="dxa"/>
            <w:vAlign w:val="bottom"/>
            <w:gridSpan w:val="2"/>
            <w:vMerge w:val="restart"/>
          </w:tcPr>
          <w:p>
            <w:pPr>
              <w:ind w:left="20"/>
              <w:spacing w:after="0"/>
              <w:rPr>
                <w:sz w:val="20"/>
                <w:szCs w:val="20"/>
                <w:color w:val="auto"/>
              </w:rPr>
            </w:pPr>
            <w:r>
              <w:rPr>
                <w:rFonts w:ascii="Arial" w:cs="Arial" w:eastAsia="Arial" w:hAnsi="Arial"/>
                <w:sz w:val="28"/>
                <w:szCs w:val="28"/>
                <w:b w:val="1"/>
                <w:bCs w:val="1"/>
                <w:color w:val="002453"/>
                <w:vertAlign w:val="subscript"/>
              </w:rPr>
              <w:t>​</w:t>
            </w:r>
            <w:r>
              <w:rPr>
                <w:rFonts w:ascii="Arial" w:cs="Arial" w:eastAsia="Arial" w:hAnsi="Arial"/>
                <w:sz w:val="14"/>
                <w:szCs w:val="14"/>
                <w:b w:val="1"/>
                <w:bCs w:val="1"/>
                <w:color w:val="002453"/>
              </w:rPr>
              <w:t xml:space="preserve"> Bonus(1)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002453"/>
              </w:rPr>
              <w:t>Incentive Plan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 and Principal Position</w:t>
            </w:r>
          </w:p>
        </w:tc>
        <w:tc>
          <w:tcPr>
            <w:tcW w:w="820" w:type="dxa"/>
            <w:vAlign w:val="bottom"/>
            <w:tcBorders>
              <w:bottom w:val="single" w:sz="8" w:color="00C08A"/>
            </w:tcBorders>
            <w:gridSpan w:val="3"/>
            <w:vMerge w:val="continue"/>
          </w:tcPr>
          <w:p>
            <w:pPr>
              <w:spacing w:after="0"/>
              <w:rPr>
                <w:sz w:val="16"/>
                <w:szCs w:val="16"/>
                <w:color w:val="auto"/>
              </w:rPr>
            </w:pPr>
          </w:p>
        </w:tc>
        <w:tc>
          <w:tcPr>
            <w:tcW w:w="820" w:type="dxa"/>
            <w:vAlign w:val="bottom"/>
            <w:tcBorders>
              <w:bottom w:val="single" w:sz="8" w:color="00C08A"/>
            </w:tcBorders>
            <w:gridSpan w:val="2"/>
            <w:vMerge w:val="continue"/>
          </w:tcPr>
          <w:p>
            <w:pPr>
              <w:spacing w:after="0"/>
              <w:rPr>
                <w:sz w:val="16"/>
                <w:szCs w:val="16"/>
                <w:color w:val="auto"/>
              </w:rPr>
            </w:pPr>
          </w:p>
        </w:tc>
        <w:tc>
          <w:tcPr>
            <w:tcW w:w="840" w:type="dxa"/>
            <w:vAlign w:val="bottom"/>
            <w:tcBorders>
              <w:bottom w:val="single" w:sz="8" w:color="00C08A"/>
            </w:tcBorders>
            <w:gridSpan w:val="2"/>
            <w:vMerge w:val="continue"/>
          </w:tcPr>
          <w:p>
            <w:pPr>
              <w:spacing w:after="0"/>
              <w:rPr>
                <w:sz w:val="16"/>
                <w:szCs w:val="16"/>
                <w:color w:val="auto"/>
              </w:rPr>
            </w:pP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24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w:t>
            </w:r>
          </w:p>
        </w:tc>
        <w:tc>
          <w:tcPr>
            <w:tcW w:w="840" w:type="dxa"/>
            <w:vAlign w:val="bottom"/>
            <w:tcBorders>
              <w:bottom w:val="single" w:sz="8" w:color="00C08A"/>
            </w:tcBorders>
          </w:tcPr>
          <w:p>
            <w:pPr>
              <w:jc w:val="right"/>
              <w:ind w:right="31"/>
              <w:spacing w:after="0"/>
              <w:rPr>
                <w:sz w:val="20"/>
                <w:szCs w:val="20"/>
                <w:color w:val="auto"/>
              </w:rPr>
            </w:pPr>
            <w:r>
              <w:rPr>
                <w:rFonts w:ascii="Arial" w:cs="Arial" w:eastAsia="Arial" w:hAnsi="Arial"/>
                <w:sz w:val="14"/>
                <w:szCs w:val="14"/>
                <w:b w:val="1"/>
                <w:bCs w:val="1"/>
                <w:color w:val="002453"/>
              </w:rPr>
              <w:t>Awards   ​</w:t>
            </w:r>
          </w:p>
        </w:tc>
        <w:tc>
          <w:tcPr>
            <w:tcW w:w="2420" w:type="dxa"/>
            <w:vAlign w:val="bottom"/>
            <w:tcBorders>
              <w:bottom w:val="single" w:sz="8" w:color="00C08A"/>
            </w:tcBorders>
            <w:gridSpan w:val="8"/>
          </w:tcPr>
          <w:p>
            <w:pPr>
              <w:jc w:val="right"/>
              <w:spacing w:after="0"/>
              <w:rPr>
                <w:sz w:val="20"/>
                <w:szCs w:val="20"/>
                <w:color w:val="auto"/>
              </w:rPr>
            </w:pPr>
            <w:r>
              <w:rPr>
                <w:rFonts w:ascii="Arial" w:cs="Arial" w:eastAsia="Arial" w:hAnsi="Arial"/>
                <w:sz w:val="14"/>
                <w:szCs w:val="14"/>
                <w:b w:val="1"/>
                <w:bCs w:val="1"/>
                <w:color w:val="002453"/>
              </w:rPr>
              <w:t>​ Compensation ​​Compensation ​</w:t>
            </w:r>
          </w:p>
        </w:tc>
        <w:tc>
          <w:tcPr>
            <w:tcW w:w="12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w:t>
            </w:r>
          </w:p>
        </w:tc>
        <w:tc>
          <w:tcPr>
            <w:tcW w:w="120" w:type="dxa"/>
            <w:vAlign w:val="bottom"/>
            <w:tcBorders>
              <w:bottom w:val="single" w:sz="8" w:color="00C08A"/>
            </w:tcBorders>
          </w:tcPr>
          <w:p>
            <w:pPr>
              <w:spacing w:after="0"/>
              <w:rPr>
                <w:sz w:val="16"/>
                <w:szCs w:val="16"/>
                <w:color w:val="auto"/>
              </w:rPr>
            </w:pPr>
          </w:p>
        </w:tc>
        <w:tc>
          <w:tcPr>
            <w:tcW w:w="60" w:type="dxa"/>
            <w:vAlign w:val="bottom"/>
            <w:tcBorders>
              <w:bottom w:val="single" w:sz="8" w:color="00C08A"/>
            </w:tcBorders>
          </w:tcPr>
          <w:p>
            <w:pPr>
              <w:spacing w:after="0"/>
              <w:rPr>
                <w:sz w:val="16"/>
                <w:szCs w:val="16"/>
                <w:color w:val="auto"/>
              </w:rPr>
            </w:pPr>
          </w:p>
        </w:tc>
        <w:tc>
          <w:tcPr>
            <w:tcW w:w="660" w:type="dxa"/>
            <w:vAlign w:val="bottom"/>
            <w:tcBorders>
              <w:bottom w:val="single" w:sz="8" w:color="00C08A"/>
            </w:tcBorders>
          </w:tcPr>
          <w:p>
            <w:pPr>
              <w:jc w:val="right"/>
              <w:ind w:right="168"/>
              <w:spacing w:after="0"/>
              <w:rPr>
                <w:sz w:val="20"/>
                <w:szCs w:val="20"/>
                <w:color w:val="auto"/>
              </w:rPr>
            </w:pPr>
            <w:r>
              <w:rPr>
                <w:rFonts w:ascii="Arial" w:cs="Arial" w:eastAsia="Arial" w:hAnsi="Arial"/>
                <w:sz w:val="14"/>
                <w:szCs w:val="14"/>
                <w:b w:val="1"/>
                <w:bCs w:val="1"/>
                <w:color w:val="002453"/>
              </w:rPr>
              <w:t>Total</w:t>
            </w:r>
          </w:p>
        </w:tc>
        <w:tc>
          <w:tcPr>
            <w:tcW w:w="4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15"/>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Douglas A. Cifu</w:t>
            </w:r>
          </w:p>
        </w:tc>
        <w:tc>
          <w:tcPr>
            <w:tcW w:w="180" w:type="dxa"/>
            <w:vAlign w:val="bottom"/>
          </w:tcPr>
          <w:p>
            <w:pPr>
              <w:spacing w:after="0"/>
              <w:rPr>
                <w:sz w:val="10"/>
                <w:szCs w:val="10"/>
                <w:color w:val="auto"/>
              </w:rPr>
            </w:pPr>
          </w:p>
        </w:tc>
        <w:tc>
          <w:tcPr>
            <w:tcW w:w="400" w:type="dxa"/>
            <w:vAlign w:val="bottom"/>
            <w:shd w:val="clear" w:color="auto" w:fill="CCEEFF"/>
          </w:tcPr>
          <w:p>
            <w:pPr>
              <w:jc w:val="right"/>
              <w:ind w:right="224"/>
              <w:spacing w:after="0" w:line="11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29"/>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 ​</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 ​</w:t>
            </w:r>
          </w:p>
        </w:tc>
        <w:tc>
          <w:tcPr>
            <w:tcW w:w="840" w:type="dxa"/>
            <w:vAlign w:val="bottom"/>
            <w:shd w:val="clear" w:color="auto" w:fill="CCEEFF"/>
          </w:tcPr>
          <w:p>
            <w:pPr>
              <w:jc w:val="right"/>
              <w:ind w:right="31"/>
              <w:spacing w:after="0" w:line="115" w:lineRule="exact"/>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160"/>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2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CCEEFF"/>
            </w:tcBorders>
            <w:shd w:val="clear" w:color="auto" w:fill="CCEEFF"/>
          </w:tcPr>
          <w:p>
            <w:pPr>
              <w:jc w:val="right"/>
              <w:spacing w:after="0" w:line="85" w:lineRule="exact"/>
              <w:rPr>
                <w:sz w:val="20"/>
                <w:szCs w:val="20"/>
                <w:color w:val="auto"/>
              </w:rPr>
            </w:pPr>
            <w:r>
              <w:rPr>
                <w:rFonts w:ascii="Arial" w:cs="Arial" w:eastAsia="Arial" w:hAnsi="Arial"/>
                <w:sz w:val="9"/>
                <w:szCs w:val="9"/>
                <w:color w:val="auto"/>
              </w:rPr>
              <w:t>​2022</w:t>
            </w:r>
          </w:p>
        </w:tc>
        <w:tc>
          <w:tcPr>
            <w:tcW w:w="86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$1,150,000</w:t>
            </w:r>
          </w:p>
        </w:tc>
        <w:tc>
          <w:tcPr>
            <w:tcW w:w="20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$1,250,000</w:t>
            </w:r>
          </w:p>
        </w:tc>
        <w:tc>
          <w:tcPr>
            <w:tcW w:w="160" w:type="dxa"/>
            <w:vAlign w:val="bottom"/>
            <w:tcBorders>
              <w:bottom w:val="single" w:sz="8" w:color="CCEEFF"/>
            </w:tcBorders>
            <w:shd w:val="clear" w:color="auto" w:fill="CCEEFF"/>
          </w:tcPr>
          <w:p>
            <w:pPr>
              <w:spacing w:after="0"/>
              <w:rPr>
                <w:sz w:val="8"/>
                <w:szCs w:val="8"/>
                <w:color w:val="auto"/>
              </w:rPr>
            </w:pPr>
          </w:p>
        </w:tc>
        <w:tc>
          <w:tcPr>
            <w:tcW w:w="108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$7,889,500(2)</w:t>
            </w:r>
          </w:p>
        </w:tc>
        <w:tc>
          <w:tcPr>
            <w:tcW w:w="8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gridSpan w:val="3"/>
            <w:shd w:val="clear" w:color="auto" w:fill="CCEEFF"/>
          </w:tcPr>
          <w:p>
            <w:pPr>
              <w:ind w:left="160"/>
              <w:spacing w:after="0" w:line="85" w:lineRule="exact"/>
              <w:rPr>
                <w:sz w:val="20"/>
                <w:szCs w:val="20"/>
                <w:color w:val="auto"/>
              </w:rPr>
            </w:pPr>
            <w:r>
              <w:rPr>
                <w:rFonts w:ascii="Arial" w:cs="Arial" w:eastAsia="Arial" w:hAnsi="Arial"/>
                <w:sz w:val="9"/>
                <w:szCs w:val="9"/>
                <w:color w:val="auto"/>
              </w:rPr>
              <w:t>$1,250,000(3)</w:t>
            </w: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860" w:type="dxa"/>
            <w:vAlign w:val="bottom"/>
            <w:tcBorders>
              <w:bottom w:val="single" w:sz="8" w:color="CCEEFF"/>
            </w:tcBorders>
            <w:gridSpan w:val="2"/>
            <w:shd w:val="clear" w:color="auto" w:fill="CCEEFF"/>
          </w:tcPr>
          <w:p>
            <w:pPr>
              <w:jc w:val="right"/>
              <w:ind w:right="29"/>
              <w:spacing w:after="0" w:line="85" w:lineRule="exact"/>
              <w:rPr>
                <w:sz w:val="20"/>
                <w:szCs w:val="20"/>
                <w:color w:val="auto"/>
              </w:rPr>
            </w:pPr>
            <w:r>
              <w:rPr>
                <w:rFonts w:ascii="Arial" w:cs="Arial" w:eastAsia="Arial" w:hAnsi="Arial"/>
                <w:sz w:val="9"/>
                <w:szCs w:val="9"/>
                <w:color w:val="auto"/>
              </w:rPr>
              <w:t>512,761(4)</w:t>
            </w:r>
          </w:p>
        </w:tc>
        <w:tc>
          <w:tcPr>
            <w:tcW w:w="12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gridSpan w:val="3"/>
            <w:shd w:val="clear" w:color="auto" w:fill="CCEEFF"/>
          </w:tcPr>
          <w:p>
            <w:pPr>
              <w:jc w:val="right"/>
              <w:spacing w:after="0" w:line="85" w:lineRule="exact"/>
              <w:rPr>
                <w:sz w:val="20"/>
                <w:szCs w:val="20"/>
                <w:color w:val="auto"/>
              </w:rPr>
            </w:pPr>
            <w:r>
              <w:rPr>
                <w:rFonts w:ascii="Arial" w:cs="Arial" w:eastAsia="Arial" w:hAnsi="Arial"/>
                <w:sz w:val="9"/>
                <w:szCs w:val="9"/>
                <w:color w:val="auto"/>
              </w:rPr>
              <w:t>$12,052,261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Chief Executive Officer</w:t>
            </w:r>
          </w:p>
        </w:tc>
        <w:tc>
          <w:tcPr>
            <w:tcW w:w="180" w:type="dxa"/>
            <w:vAlign w:val="bottom"/>
          </w:tcPr>
          <w:p>
            <w:pPr>
              <w:spacing w:after="0"/>
              <w:rPr>
                <w:sz w:val="10"/>
                <w:szCs w:val="10"/>
                <w:color w:val="auto"/>
              </w:rPr>
            </w:pPr>
          </w:p>
        </w:tc>
        <w:tc>
          <w:tcPr>
            <w:tcW w:w="400" w:type="dxa"/>
            <w:vAlign w:val="bottom"/>
          </w:tcPr>
          <w:p>
            <w:pPr>
              <w:jc w:val="right"/>
              <w:ind w:right="224"/>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0"/>
                <w:szCs w:val="10"/>
                <w:color w:val="auto"/>
              </w:rPr>
            </w:pPr>
          </w:p>
        </w:tc>
        <w:tc>
          <w:tcPr>
            <w:tcW w:w="200" w:type="dxa"/>
            <w:vAlign w:val="bottom"/>
          </w:tcPr>
          <w:p>
            <w:pPr>
              <w:jc w:val="right"/>
              <w:ind w:right="29"/>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22"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22"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jc w:val="right"/>
              <w:spacing w:after="0" w:line="73" w:lineRule="exact"/>
              <w:rPr>
                <w:sz w:val="20"/>
                <w:szCs w:val="20"/>
                <w:color w:val="auto"/>
              </w:rPr>
            </w:pPr>
            <w:r>
              <w:rPr>
                <w:rFonts w:ascii="Arial" w:cs="Arial" w:eastAsia="Arial" w:hAnsi="Arial"/>
                <w:sz w:val="8"/>
                <w:szCs w:val="8"/>
                <w:color w:val="auto"/>
              </w:rPr>
              <w:t>​2021</w:t>
            </w:r>
          </w:p>
        </w:tc>
        <w:tc>
          <w:tcPr>
            <w:tcW w:w="860" w:type="dxa"/>
            <w:vAlign w:val="bottom"/>
            <w:gridSpan w:val="2"/>
          </w:tcPr>
          <w:p>
            <w:pPr>
              <w:jc w:val="right"/>
              <w:spacing w:after="0" w:line="73" w:lineRule="exact"/>
              <w:rPr>
                <w:sz w:val="20"/>
                <w:szCs w:val="20"/>
                <w:color w:val="auto"/>
              </w:rPr>
            </w:pPr>
            <w:r>
              <w:rPr>
                <w:rFonts w:ascii="Arial" w:cs="Arial" w:eastAsia="Arial" w:hAnsi="Arial"/>
                <w:sz w:val="8"/>
                <w:szCs w:val="8"/>
                <w:color w:val="auto"/>
              </w:rPr>
              <w:t>$1,000,000</w:t>
            </w:r>
          </w:p>
        </w:tc>
        <w:tc>
          <w:tcPr>
            <w:tcW w:w="200" w:type="dxa"/>
            <w:vAlign w:val="bottom"/>
          </w:tcPr>
          <w:p>
            <w:pPr>
              <w:spacing w:after="0"/>
              <w:rPr>
                <w:sz w:val="6"/>
                <w:szCs w:val="6"/>
                <w:color w:val="auto"/>
              </w:rPr>
            </w:pPr>
          </w:p>
        </w:tc>
        <w:tc>
          <w:tcPr>
            <w:tcW w:w="240" w:type="dxa"/>
            <w:vAlign w:val="bottom"/>
          </w:tcPr>
          <w:p>
            <w:pPr>
              <w:ind w:left="100"/>
              <w:spacing w:after="0" w:line="73" w:lineRule="exact"/>
              <w:rPr>
                <w:sz w:val="20"/>
                <w:szCs w:val="20"/>
                <w:color w:val="auto"/>
              </w:rPr>
            </w:pPr>
            <w:r>
              <w:rPr>
                <w:rFonts w:ascii="Arial" w:cs="Arial" w:eastAsia="Arial" w:hAnsi="Arial"/>
                <w:sz w:val="8"/>
                <w:szCs w:val="8"/>
                <w:color w:val="auto"/>
              </w:rPr>
              <w:t>$</w:t>
            </w: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tcPr>
          <w:p>
            <w:pPr>
              <w:jc w:val="right"/>
              <w:spacing w:after="0" w:line="73" w:lineRule="exact"/>
              <w:rPr>
                <w:sz w:val="20"/>
                <w:szCs w:val="20"/>
                <w:color w:val="auto"/>
              </w:rPr>
            </w:pPr>
            <w:r>
              <w:rPr>
                <w:rFonts w:ascii="Arial" w:cs="Arial" w:eastAsia="Arial" w:hAnsi="Arial"/>
                <w:sz w:val="8"/>
                <w:szCs w:val="8"/>
                <w:color w:val="auto"/>
              </w:rPr>
              <w:t>$6,590,500(2)</w:t>
            </w:r>
          </w:p>
        </w:tc>
        <w:tc>
          <w:tcPr>
            <w:tcW w:w="80" w:type="dxa"/>
            <w:vAlign w:val="bottom"/>
          </w:tcPr>
          <w:p>
            <w:pPr>
              <w:spacing w:after="0"/>
              <w:rPr>
                <w:sz w:val="6"/>
                <w:szCs w:val="6"/>
                <w:color w:val="auto"/>
              </w:rPr>
            </w:pPr>
          </w:p>
        </w:tc>
        <w:tc>
          <w:tcPr>
            <w:tcW w:w="1200" w:type="dxa"/>
            <w:vAlign w:val="bottom"/>
            <w:gridSpan w:val="3"/>
          </w:tcPr>
          <w:p>
            <w:pPr>
              <w:ind w:left="160"/>
              <w:spacing w:after="0" w:line="73" w:lineRule="exact"/>
              <w:rPr>
                <w:sz w:val="20"/>
                <w:szCs w:val="20"/>
                <w:color w:val="auto"/>
              </w:rPr>
            </w:pPr>
            <w:r>
              <w:rPr>
                <w:rFonts w:ascii="Arial" w:cs="Arial" w:eastAsia="Arial" w:hAnsi="Arial"/>
                <w:sz w:val="8"/>
                <w:szCs w:val="8"/>
                <w:color w:val="auto"/>
              </w:rPr>
              <w:t>$2,000,000(3)</w:t>
            </w: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gridSpan w:val="2"/>
          </w:tcPr>
          <w:p>
            <w:pPr>
              <w:jc w:val="right"/>
              <w:ind w:right="29"/>
              <w:spacing w:after="0" w:line="73" w:lineRule="exact"/>
              <w:rPr>
                <w:sz w:val="20"/>
                <w:szCs w:val="20"/>
                <w:color w:val="auto"/>
              </w:rPr>
            </w:pPr>
            <w:r>
              <w:rPr>
                <w:rFonts w:ascii="Arial" w:cs="Arial" w:eastAsia="Arial" w:hAnsi="Arial"/>
                <w:sz w:val="8"/>
                <w:szCs w:val="8"/>
                <w:color w:val="auto"/>
              </w:rPr>
              <w:t>16,761(4)</w:t>
            </w:r>
          </w:p>
        </w:tc>
        <w:tc>
          <w:tcPr>
            <w:tcW w:w="120" w:type="dxa"/>
            <w:vAlign w:val="bottom"/>
          </w:tcPr>
          <w:p>
            <w:pPr>
              <w:spacing w:after="0"/>
              <w:rPr>
                <w:sz w:val="6"/>
                <w:szCs w:val="6"/>
                <w:color w:val="auto"/>
              </w:rPr>
            </w:pPr>
          </w:p>
        </w:tc>
        <w:tc>
          <w:tcPr>
            <w:tcW w:w="840" w:type="dxa"/>
            <w:vAlign w:val="bottom"/>
            <w:gridSpan w:val="3"/>
          </w:tcPr>
          <w:p>
            <w:pPr>
              <w:jc w:val="right"/>
              <w:spacing w:after="0" w:line="73" w:lineRule="exact"/>
              <w:rPr>
                <w:sz w:val="20"/>
                <w:szCs w:val="20"/>
                <w:color w:val="auto"/>
              </w:rPr>
            </w:pPr>
            <w:r>
              <w:rPr>
                <w:rFonts w:ascii="Arial" w:cs="Arial" w:eastAsia="Arial" w:hAnsi="Arial"/>
                <w:sz w:val="8"/>
                <w:szCs w:val="8"/>
                <w:color w:val="auto"/>
              </w:rPr>
              <w:t>$10,107,261</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24"/>
              <w:spacing w:after="0" w:line="131"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1"/>
                <w:szCs w:val="11"/>
                <w:color w:val="auto"/>
              </w:rPr>
            </w:pPr>
          </w:p>
        </w:tc>
        <w:tc>
          <w:tcPr>
            <w:tcW w:w="200" w:type="dxa"/>
            <w:vAlign w:val="bottom"/>
          </w:tcPr>
          <w:p>
            <w:pPr>
              <w:jc w:val="right"/>
              <w:ind w:right="29"/>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31"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31"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31"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31"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1"/>
                <w:szCs w:val="11"/>
                <w:color w:val="auto"/>
              </w:rPr>
            </w:pPr>
          </w:p>
        </w:tc>
        <w:tc>
          <w:tcPr>
            <w:tcW w:w="2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31"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1"/>
                <w:szCs w:val="11"/>
                <w:color w:val="auto"/>
              </w:rPr>
            </w:pPr>
          </w:p>
        </w:tc>
        <w:tc>
          <w:tcPr>
            <w:tcW w:w="22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080" w:type="dxa"/>
            <w:vAlign w:val="bottom"/>
            <w:tcBorders>
              <w:bottom w:val="single" w:sz="8" w:color="00C08A"/>
            </w:tcBorders>
          </w:tcPr>
          <w:p>
            <w:pPr>
              <w:spacing w:after="0"/>
              <w:rPr>
                <w:sz w:val="7"/>
                <w:szCs w:val="7"/>
                <w:color w:val="auto"/>
              </w:rPr>
            </w:pPr>
          </w:p>
        </w:tc>
        <w:tc>
          <w:tcPr>
            <w:tcW w:w="180" w:type="dxa"/>
            <w:vAlign w:val="bottom"/>
            <w:tcBorders>
              <w:bottom w:val="single" w:sz="8" w:color="00C08A"/>
            </w:tcBorders>
          </w:tcPr>
          <w:p>
            <w:pPr>
              <w:spacing w:after="0"/>
              <w:rPr>
                <w:sz w:val="7"/>
                <w:szCs w:val="7"/>
                <w:color w:val="auto"/>
              </w:rPr>
            </w:pPr>
          </w:p>
        </w:tc>
        <w:tc>
          <w:tcPr>
            <w:tcW w:w="40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​2020</w:t>
            </w:r>
          </w:p>
        </w:tc>
        <w:tc>
          <w:tcPr>
            <w:tcW w:w="86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$1,000,000</w:t>
            </w: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ind w:left="10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108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$8,759,525(2)</w:t>
            </w:r>
          </w:p>
        </w:tc>
        <w:tc>
          <w:tcPr>
            <w:tcW w:w="80" w:type="dxa"/>
            <w:vAlign w:val="bottom"/>
            <w:tcBorders>
              <w:bottom w:val="single" w:sz="8" w:color="00C08A"/>
            </w:tcBorders>
          </w:tcPr>
          <w:p>
            <w:pPr>
              <w:spacing w:after="0"/>
              <w:rPr>
                <w:sz w:val="7"/>
                <w:szCs w:val="7"/>
                <w:color w:val="auto"/>
              </w:rPr>
            </w:pPr>
          </w:p>
        </w:tc>
        <w:tc>
          <w:tcPr>
            <w:tcW w:w="1200" w:type="dxa"/>
            <w:vAlign w:val="bottom"/>
            <w:tcBorders>
              <w:bottom w:val="single" w:sz="8" w:color="00C08A"/>
            </w:tcBorders>
            <w:gridSpan w:val="3"/>
          </w:tcPr>
          <w:p>
            <w:pPr>
              <w:ind w:left="160"/>
              <w:spacing w:after="0" w:line="81" w:lineRule="exact"/>
              <w:rPr>
                <w:sz w:val="20"/>
                <w:szCs w:val="20"/>
                <w:color w:val="auto"/>
              </w:rPr>
            </w:pPr>
            <w:r>
              <w:rPr>
                <w:rFonts w:ascii="Arial" w:cs="Arial" w:eastAsia="Arial" w:hAnsi="Arial"/>
                <w:sz w:val="9"/>
                <w:szCs w:val="9"/>
                <w:color w:val="auto"/>
              </w:rPr>
              <w:t>$2,000,000(3)</w:t>
            </w:r>
          </w:p>
        </w:tc>
        <w:tc>
          <w:tcPr>
            <w:tcW w:w="100" w:type="dxa"/>
            <w:vAlign w:val="bottom"/>
            <w:tcBorders>
              <w:bottom w:val="single" w:sz="8" w:color="00C08A"/>
            </w:tcBorders>
          </w:tcPr>
          <w:p>
            <w:pPr>
              <w:spacing w:after="0"/>
              <w:rPr>
                <w:sz w:val="7"/>
                <w:szCs w:val="7"/>
                <w:color w:val="auto"/>
              </w:rPr>
            </w:pPr>
          </w:p>
        </w:tc>
        <w:tc>
          <w:tcPr>
            <w:tcW w:w="180" w:type="dxa"/>
            <w:vAlign w:val="bottom"/>
            <w:tcBorders>
              <w:bottom w:val="single" w:sz="8" w:color="00C08A"/>
            </w:tcBorders>
            <w:vMerge w:val="continue"/>
          </w:tcPr>
          <w:p>
            <w:pPr>
              <w:spacing w:after="0"/>
              <w:rPr>
                <w:sz w:val="7"/>
                <w:szCs w:val="7"/>
                <w:color w:val="auto"/>
              </w:rPr>
            </w:pPr>
          </w:p>
        </w:tc>
        <w:tc>
          <w:tcPr>
            <w:tcW w:w="860" w:type="dxa"/>
            <w:vAlign w:val="bottom"/>
            <w:tcBorders>
              <w:bottom w:val="single" w:sz="8" w:color="00C08A"/>
            </w:tcBorders>
            <w:gridSpan w:val="2"/>
          </w:tcPr>
          <w:p>
            <w:pPr>
              <w:jc w:val="right"/>
              <w:ind w:right="29"/>
              <w:spacing w:after="0" w:line="81" w:lineRule="exact"/>
              <w:rPr>
                <w:sz w:val="20"/>
                <w:szCs w:val="20"/>
                <w:color w:val="auto"/>
              </w:rPr>
            </w:pPr>
            <w:r>
              <w:rPr>
                <w:rFonts w:ascii="Arial" w:cs="Arial" w:eastAsia="Arial" w:hAnsi="Arial"/>
                <w:sz w:val="9"/>
                <w:szCs w:val="9"/>
                <w:color w:val="auto"/>
              </w:rPr>
              <w:t>4,270(4)</w:t>
            </w:r>
          </w:p>
        </w:tc>
        <w:tc>
          <w:tcPr>
            <w:tcW w:w="120" w:type="dxa"/>
            <w:vAlign w:val="bottom"/>
            <w:tcBorders>
              <w:bottom w:val="single" w:sz="8" w:color="00C08A"/>
            </w:tcBorders>
          </w:tcPr>
          <w:p>
            <w:pPr>
              <w:spacing w:after="0"/>
              <w:rPr>
                <w:sz w:val="7"/>
                <w:szCs w:val="7"/>
                <w:color w:val="auto"/>
              </w:rPr>
            </w:pPr>
          </w:p>
        </w:tc>
        <w:tc>
          <w:tcPr>
            <w:tcW w:w="840" w:type="dxa"/>
            <w:vAlign w:val="bottom"/>
            <w:tcBorders>
              <w:bottom w:val="single" w:sz="8" w:color="00C08A"/>
            </w:tcBorders>
            <w:gridSpan w:val="3"/>
          </w:tcPr>
          <w:p>
            <w:pPr>
              <w:jc w:val="right"/>
              <w:spacing w:after="0" w:line="81" w:lineRule="exact"/>
              <w:rPr>
                <w:sz w:val="20"/>
                <w:szCs w:val="20"/>
                <w:color w:val="auto"/>
              </w:rPr>
            </w:pPr>
            <w:r>
              <w:rPr>
                <w:rFonts w:ascii="Arial" w:cs="Arial" w:eastAsia="Arial" w:hAnsi="Arial"/>
                <w:sz w:val="9"/>
                <w:szCs w:val="9"/>
                <w:color w:val="auto"/>
              </w:rPr>
              <w:t>$12,263,795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Joseph Molluso</w:t>
            </w:r>
          </w:p>
        </w:tc>
        <w:tc>
          <w:tcPr>
            <w:tcW w:w="580" w:type="dxa"/>
            <w:vAlign w:val="bottom"/>
            <w:gridSpan w:val="2"/>
          </w:tcPr>
          <w:p>
            <w:pPr>
              <w:jc w:val="right"/>
              <w:ind w:right="224"/>
              <w:spacing w:after="0" w:line="11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508,333</w:t>
            </w:r>
          </w:p>
        </w:tc>
        <w:tc>
          <w:tcPr>
            <w:tcW w:w="200" w:type="dxa"/>
            <w:vAlign w:val="bottom"/>
          </w:tcPr>
          <w:p>
            <w:pPr>
              <w:jc w:val="right"/>
              <w:ind w:right="29"/>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20"/>
              <w:spacing w:after="0" w:line="115" w:lineRule="exact"/>
              <w:rPr>
                <w:sz w:val="20"/>
                <w:szCs w:val="20"/>
                <w:color w:val="auto"/>
              </w:rPr>
            </w:pPr>
            <w:r>
              <w:rPr>
                <w:rFonts w:ascii="Arial" w:cs="Arial" w:eastAsia="Arial" w:hAnsi="Arial"/>
                <w:sz w:val="13"/>
                <w:szCs w:val="13"/>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562,500</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60"/>
              <w:spacing w:after="0" w:line="115" w:lineRule="exact"/>
              <w:rPr>
                <w:sz w:val="20"/>
                <w:szCs w:val="20"/>
                <w:color w:val="auto"/>
              </w:rPr>
            </w:pPr>
            <w:r>
              <w:rPr>
                <w:rFonts w:ascii="Arial" w:cs="Arial" w:eastAsia="Arial" w:hAnsi="Arial"/>
                <w:sz w:val="13"/>
                <w:szCs w:val="13"/>
                <w:color w:val="auto"/>
              </w:rPr>
              <w:t>​ ​</w:t>
            </w:r>
          </w:p>
        </w:tc>
        <w:tc>
          <w:tcPr>
            <w:tcW w:w="840" w:type="dxa"/>
            <w:vAlign w:val="bottom"/>
          </w:tcPr>
          <w:p>
            <w:pPr>
              <w:jc w:val="right"/>
              <w:ind w:right="31"/>
              <w:spacing w:after="0" w:line="115" w:lineRule="exact"/>
              <w:rPr>
                <w:sz w:val="20"/>
                <w:szCs w:val="20"/>
                <w:color w:val="auto"/>
              </w:rPr>
            </w:pPr>
            <w:r>
              <w:rPr>
                <w:rFonts w:ascii="Arial" w:cs="Arial" w:eastAsia="Arial" w:hAnsi="Arial"/>
                <w:sz w:val="13"/>
                <w:szCs w:val="13"/>
                <w:color w:val="auto"/>
              </w:rPr>
              <w:t>​ ​</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300" w:type="dxa"/>
            <w:vAlign w:val="bottom"/>
          </w:tcPr>
          <w:p>
            <w:pPr>
              <w:ind w:left="160"/>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ind w:left="40"/>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15" w:lineRule="exact"/>
              <w:rPr>
                <w:sz w:val="20"/>
                <w:szCs w:val="20"/>
                <w:color w:val="auto"/>
              </w:rPr>
            </w:pPr>
            <w:r>
              <w:rPr>
                <w:rFonts w:ascii="Arial" w:cs="Arial" w:eastAsia="Arial" w:hAnsi="Arial"/>
                <w:sz w:val="13"/>
                <w:szCs w:val="13"/>
                <w:color w:val="auto"/>
              </w:rPr>
              <w:t>​ ​</w:t>
            </w:r>
          </w:p>
        </w:tc>
        <w:tc>
          <w:tcPr>
            <w:tcW w:w="120" w:type="dxa"/>
            <w:vAlign w:val="bottom"/>
          </w:tcPr>
          <w:p>
            <w:pPr>
              <w:ind w:left="60"/>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3,926,500</w:t>
            </w: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2"/>
        </w:trPr>
        <w:tc>
          <w:tcPr>
            <w:tcW w:w="20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jc w:val="right"/>
              <w:spacing w:after="0" w:line="72" w:lineRule="exact"/>
              <w:rPr>
                <w:sz w:val="20"/>
                <w:szCs w:val="20"/>
                <w:color w:val="auto"/>
              </w:rPr>
            </w:pPr>
            <w:r>
              <w:rPr>
                <w:rFonts w:ascii="Arial" w:cs="Arial" w:eastAsia="Arial" w:hAnsi="Arial"/>
                <w:sz w:val="8"/>
                <w:szCs w:val="8"/>
                <w:color w:val="auto"/>
              </w:rPr>
              <w:t>​2022</w:t>
            </w:r>
          </w:p>
        </w:tc>
        <w:tc>
          <w:tcPr>
            <w:tcW w:w="240" w:type="dxa"/>
            <w:vAlign w:val="bottom"/>
          </w:tcPr>
          <w:p>
            <w:pPr>
              <w:ind w:left="120"/>
              <w:spacing w:after="0" w:line="72" w:lineRule="exact"/>
              <w:rPr>
                <w:sz w:val="20"/>
                <w:szCs w:val="20"/>
                <w:color w:val="auto"/>
              </w:rPr>
            </w:pPr>
            <w:r>
              <w:rPr>
                <w:rFonts w:ascii="Arial" w:cs="Arial" w:eastAsia="Arial" w:hAnsi="Arial"/>
                <w:sz w:val="8"/>
                <w:szCs w:val="8"/>
                <w:color w:val="auto"/>
              </w:rPr>
              <w:t>$</w:t>
            </w: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ind w:left="100"/>
              <w:spacing w:after="0" w:line="72" w:lineRule="exact"/>
              <w:rPr>
                <w:sz w:val="20"/>
                <w:szCs w:val="20"/>
                <w:color w:val="auto"/>
              </w:rPr>
            </w:pPr>
            <w:r>
              <w:rPr>
                <w:rFonts w:ascii="Arial" w:cs="Arial" w:eastAsia="Arial" w:hAnsi="Arial"/>
                <w:sz w:val="8"/>
                <w:szCs w:val="8"/>
                <w:color w:val="auto"/>
              </w:rPr>
              <w:t>$</w:t>
            </w: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tcPr>
          <w:p>
            <w:pPr>
              <w:jc w:val="right"/>
              <w:spacing w:after="0" w:line="72" w:lineRule="exact"/>
              <w:rPr>
                <w:sz w:val="20"/>
                <w:szCs w:val="20"/>
                <w:color w:val="auto"/>
              </w:rPr>
            </w:pPr>
            <w:r>
              <w:rPr>
                <w:rFonts w:ascii="Arial" w:cs="Arial" w:eastAsia="Arial" w:hAnsi="Arial"/>
                <w:sz w:val="8"/>
                <w:szCs w:val="8"/>
                <w:color w:val="auto"/>
              </w:rPr>
              <w:t>$2,293,500(6)</w:t>
            </w:r>
          </w:p>
        </w:tc>
        <w:tc>
          <w:tcPr>
            <w:tcW w:w="80" w:type="dxa"/>
            <w:vAlign w:val="bottom"/>
          </w:tcPr>
          <w:p>
            <w:pPr>
              <w:spacing w:after="0"/>
              <w:rPr>
                <w:sz w:val="6"/>
                <w:szCs w:val="6"/>
                <w:color w:val="auto"/>
              </w:rPr>
            </w:pPr>
          </w:p>
        </w:tc>
        <w:tc>
          <w:tcPr>
            <w:tcW w:w="300" w:type="dxa"/>
            <w:vAlign w:val="bottom"/>
          </w:tcPr>
          <w:p>
            <w:pPr>
              <w:ind w:left="160"/>
              <w:spacing w:after="0" w:line="72"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ind w:right="69"/>
              <w:spacing w:after="0" w:line="72" w:lineRule="exact"/>
              <w:rPr>
                <w:sz w:val="20"/>
                <w:szCs w:val="20"/>
                <w:color w:val="auto"/>
              </w:rPr>
            </w:pPr>
            <w:r>
              <w:rPr>
                <w:rFonts w:ascii="Arial" w:cs="Arial" w:eastAsia="Arial" w:hAnsi="Arial"/>
                <w:sz w:val="8"/>
                <w:szCs w:val="8"/>
                <w:color w:val="auto"/>
              </w:rPr>
              <w:t>562,500(7)</w:t>
            </w: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ind w:left="40"/>
              <w:spacing w:after="0" w:line="72"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80" w:type="dxa"/>
            <w:vAlign w:val="bottom"/>
          </w:tcPr>
          <w:p>
            <w:pPr>
              <w:ind w:left="140"/>
              <w:spacing w:after="0" w:line="158" w:lineRule="exact"/>
              <w:rPr>
                <w:sz w:val="20"/>
                <w:szCs w:val="20"/>
                <w:color w:val="auto"/>
              </w:rPr>
            </w:pPr>
            <w:r>
              <w:rPr>
                <w:rFonts w:ascii="Arial" w:cs="Arial" w:eastAsia="Arial" w:hAnsi="Arial"/>
                <w:sz w:val="14"/>
                <w:szCs w:val="14"/>
                <w:i w:val="1"/>
                <w:iCs w:val="1"/>
                <w:color w:val="auto"/>
              </w:rPr>
              <w:t>Co-President and Co-Chief</w:t>
            </w:r>
          </w:p>
        </w:tc>
        <w:tc>
          <w:tcPr>
            <w:tcW w:w="180" w:type="dxa"/>
            <w:vAlign w:val="bottom"/>
          </w:tcPr>
          <w:p>
            <w:pPr>
              <w:spacing w:after="0"/>
              <w:rPr>
                <w:sz w:val="13"/>
                <w:szCs w:val="13"/>
                <w:color w:val="auto"/>
              </w:rPr>
            </w:pPr>
          </w:p>
        </w:tc>
        <w:tc>
          <w:tcPr>
            <w:tcW w:w="400" w:type="dxa"/>
            <w:vAlign w:val="bottom"/>
          </w:tcPr>
          <w:p>
            <w:pPr>
              <w:jc w:val="right"/>
              <w:ind w:right="224"/>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29"/>
              <w:spacing w:after="0" w:line="158"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jc w:val="right"/>
              <w:spacing w:after="0" w:line="158"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58"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58"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58"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58"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4,168,500</w:t>
            </w:r>
          </w:p>
        </w:tc>
        <w:tc>
          <w:tcPr>
            <w:tcW w:w="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08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Operating Officer</w:t>
            </w:r>
          </w:p>
        </w:tc>
        <w:tc>
          <w:tcPr>
            <w:tcW w:w="180" w:type="dxa"/>
            <w:vAlign w:val="bottom"/>
          </w:tcPr>
          <w:p>
            <w:pPr>
              <w:spacing w:after="0"/>
              <w:rPr>
                <w:sz w:val="6"/>
                <w:szCs w:val="6"/>
                <w:color w:val="auto"/>
              </w:rPr>
            </w:pPr>
          </w:p>
        </w:tc>
        <w:tc>
          <w:tcPr>
            <w:tcW w:w="400" w:type="dxa"/>
            <w:vAlign w:val="bottom"/>
          </w:tcPr>
          <w:p>
            <w:pPr>
              <w:jc w:val="right"/>
              <w:spacing w:after="0" w:line="73" w:lineRule="exact"/>
              <w:rPr>
                <w:sz w:val="20"/>
                <w:szCs w:val="20"/>
                <w:color w:val="auto"/>
              </w:rPr>
            </w:pPr>
            <w:r>
              <w:rPr>
                <w:rFonts w:ascii="Arial" w:cs="Arial" w:eastAsia="Arial" w:hAnsi="Arial"/>
                <w:sz w:val="8"/>
                <w:szCs w:val="8"/>
                <w:color w:val="auto"/>
              </w:rPr>
              <w:t>​2021</w:t>
            </w:r>
          </w:p>
        </w:tc>
        <w:tc>
          <w:tcPr>
            <w:tcW w:w="240" w:type="dxa"/>
            <w:vAlign w:val="bottom"/>
          </w:tcPr>
          <w:p>
            <w:pPr>
              <w:ind w:left="120"/>
              <w:spacing w:after="0" w:line="73" w:lineRule="exact"/>
              <w:rPr>
                <w:sz w:val="20"/>
                <w:szCs w:val="20"/>
                <w:color w:val="auto"/>
              </w:rPr>
            </w:pPr>
            <w:r>
              <w:rPr>
                <w:rFonts w:ascii="Arial" w:cs="Arial" w:eastAsia="Arial" w:hAnsi="Arial"/>
                <w:sz w:val="8"/>
                <w:szCs w:val="8"/>
                <w:color w:val="auto"/>
              </w:rPr>
              <w:t>$</w:t>
            </w: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ind w:left="100"/>
              <w:spacing w:after="0" w:line="73" w:lineRule="exact"/>
              <w:rPr>
                <w:sz w:val="20"/>
                <w:szCs w:val="20"/>
                <w:color w:val="auto"/>
              </w:rPr>
            </w:pPr>
            <w:r>
              <w:rPr>
                <w:rFonts w:ascii="Arial" w:cs="Arial" w:eastAsia="Arial" w:hAnsi="Arial"/>
                <w:sz w:val="8"/>
                <w:szCs w:val="8"/>
                <w:color w:val="auto"/>
              </w:rPr>
              <w:t>$</w:t>
            </w: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tcPr>
          <w:p>
            <w:pPr>
              <w:jc w:val="right"/>
              <w:spacing w:after="0" w:line="73" w:lineRule="exact"/>
              <w:rPr>
                <w:sz w:val="20"/>
                <w:szCs w:val="20"/>
                <w:color w:val="auto"/>
              </w:rPr>
            </w:pPr>
            <w:r>
              <w:rPr>
                <w:rFonts w:ascii="Arial" w:cs="Arial" w:eastAsia="Arial" w:hAnsi="Arial"/>
                <w:sz w:val="8"/>
                <w:szCs w:val="8"/>
                <w:color w:val="auto"/>
              </w:rPr>
              <w:t>$2,418,500(6)</w:t>
            </w:r>
          </w:p>
        </w:tc>
        <w:tc>
          <w:tcPr>
            <w:tcW w:w="80" w:type="dxa"/>
            <w:vAlign w:val="bottom"/>
          </w:tcPr>
          <w:p>
            <w:pPr>
              <w:spacing w:after="0"/>
              <w:rPr>
                <w:sz w:val="6"/>
                <w:szCs w:val="6"/>
                <w:color w:val="auto"/>
              </w:rPr>
            </w:pPr>
          </w:p>
        </w:tc>
        <w:tc>
          <w:tcPr>
            <w:tcW w:w="1200" w:type="dxa"/>
            <w:vAlign w:val="bottom"/>
            <w:gridSpan w:val="3"/>
          </w:tcPr>
          <w:p>
            <w:pPr>
              <w:ind w:left="160"/>
              <w:spacing w:after="0" w:line="73" w:lineRule="exact"/>
              <w:rPr>
                <w:sz w:val="20"/>
                <w:szCs w:val="20"/>
                <w:color w:val="auto"/>
              </w:rPr>
            </w:pPr>
            <w:r>
              <w:rPr>
                <w:rFonts w:ascii="Arial" w:cs="Arial" w:eastAsia="Arial" w:hAnsi="Arial"/>
                <w:sz w:val="8"/>
                <w:szCs w:val="8"/>
                <w:color w:val="auto"/>
              </w:rPr>
              <w:t>$1,000,000(7)</w:t>
            </w: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ind w:left="40"/>
              <w:spacing w:after="0" w:line="73"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24"/>
              <w:spacing w:after="0" w:line="131"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1"/>
                <w:szCs w:val="11"/>
                <w:color w:val="auto"/>
              </w:rPr>
            </w:pPr>
          </w:p>
        </w:tc>
        <w:tc>
          <w:tcPr>
            <w:tcW w:w="200" w:type="dxa"/>
            <w:vAlign w:val="bottom"/>
          </w:tcPr>
          <w:p>
            <w:pPr>
              <w:jc w:val="right"/>
              <w:ind w:right="29"/>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31" w:lineRule="exact"/>
              <w:rPr>
                <w:sz w:val="20"/>
                <w:szCs w:val="20"/>
                <w:color w:val="auto"/>
              </w:rPr>
            </w:pPr>
            <w:r>
              <w:rPr>
                <w:rFonts w:ascii="Arial" w:cs="Arial" w:eastAsia="Arial" w:hAnsi="Arial"/>
                <w:sz w:val="14"/>
                <w:szCs w:val="14"/>
                <w:color w:val="auto"/>
              </w:rPr>
              <w:t>​ ​</w:t>
            </w:r>
          </w:p>
        </w:tc>
        <w:tc>
          <w:tcPr>
            <w:tcW w:w="600" w:type="dxa"/>
            <w:vAlign w:val="bottom"/>
          </w:tcPr>
          <w:p>
            <w:pPr>
              <w:spacing w:after="0"/>
              <w:rPr>
                <w:sz w:val="11"/>
                <w:szCs w:val="11"/>
                <w:color w:val="auto"/>
              </w:rPr>
            </w:pPr>
          </w:p>
        </w:tc>
        <w:tc>
          <w:tcPr>
            <w:tcW w:w="16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31"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31"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31" w:lineRule="exact"/>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63"/>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31"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080" w:type="dxa"/>
            <w:vAlign w:val="bottom"/>
            <w:tcBorders>
              <w:bottom w:val="single" w:sz="8" w:color="00C08A"/>
            </w:tcBorders>
          </w:tcPr>
          <w:p>
            <w:pPr>
              <w:spacing w:after="0"/>
              <w:rPr>
                <w:sz w:val="7"/>
                <w:szCs w:val="7"/>
                <w:color w:val="auto"/>
              </w:rPr>
            </w:pPr>
          </w:p>
        </w:tc>
        <w:tc>
          <w:tcPr>
            <w:tcW w:w="180" w:type="dxa"/>
            <w:vAlign w:val="bottom"/>
            <w:tcBorders>
              <w:bottom w:val="single" w:sz="8" w:color="00C08A"/>
            </w:tcBorders>
          </w:tcPr>
          <w:p>
            <w:pPr>
              <w:spacing w:after="0"/>
              <w:rPr>
                <w:sz w:val="7"/>
                <w:szCs w:val="7"/>
                <w:color w:val="auto"/>
              </w:rPr>
            </w:pPr>
          </w:p>
        </w:tc>
        <w:tc>
          <w:tcPr>
            <w:tcW w:w="40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​2020</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8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273,973(5)</w:t>
            </w:r>
          </w:p>
        </w:tc>
        <w:tc>
          <w:tcPr>
            <w:tcW w:w="84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$3,750,000</w:t>
            </w:r>
          </w:p>
        </w:tc>
        <w:tc>
          <w:tcPr>
            <w:tcW w:w="160" w:type="dxa"/>
            <w:vAlign w:val="bottom"/>
            <w:tcBorders>
              <w:bottom w:val="single" w:sz="8" w:color="00C08A"/>
            </w:tcBorders>
          </w:tcPr>
          <w:p>
            <w:pPr>
              <w:spacing w:after="0"/>
              <w:rPr>
                <w:sz w:val="7"/>
                <w:szCs w:val="7"/>
                <w:color w:val="auto"/>
              </w:rPr>
            </w:pPr>
          </w:p>
        </w:tc>
        <w:tc>
          <w:tcPr>
            <w:tcW w:w="108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$7,138,500(6)</w:t>
            </w:r>
          </w:p>
        </w:tc>
        <w:tc>
          <w:tcPr>
            <w:tcW w:w="80" w:type="dxa"/>
            <w:vAlign w:val="bottom"/>
            <w:tcBorders>
              <w:bottom w:val="single" w:sz="8" w:color="00C08A"/>
            </w:tcBorders>
          </w:tcPr>
          <w:p>
            <w:pPr>
              <w:spacing w:after="0"/>
              <w:rPr>
                <w:sz w:val="7"/>
                <w:szCs w:val="7"/>
                <w:color w:val="auto"/>
              </w:rPr>
            </w:pPr>
          </w:p>
        </w:tc>
        <w:tc>
          <w:tcPr>
            <w:tcW w:w="300" w:type="dxa"/>
            <w:vAlign w:val="bottom"/>
            <w:tcBorders>
              <w:bottom w:val="single" w:sz="8" w:color="00C08A"/>
            </w:tcBorders>
          </w:tcPr>
          <w:p>
            <w:pPr>
              <w:ind w:left="160"/>
              <w:spacing w:after="0" w:line="81" w:lineRule="exact"/>
              <w:rPr>
                <w:sz w:val="20"/>
                <w:szCs w:val="20"/>
                <w:color w:val="auto"/>
              </w:rPr>
            </w:pPr>
            <w:r>
              <w:rPr>
                <w:rFonts w:ascii="Arial" w:cs="Arial" w:eastAsia="Arial" w:hAnsi="Arial"/>
                <w:sz w:val="9"/>
                <w:szCs w:val="9"/>
                <w:color w:val="auto"/>
              </w:rPr>
              <w:t>$</w:t>
            </w:r>
          </w:p>
        </w:tc>
        <w:tc>
          <w:tcPr>
            <w:tcW w:w="700" w:type="dxa"/>
            <w:vAlign w:val="bottom"/>
            <w:tcBorders>
              <w:bottom w:val="single" w:sz="8" w:color="00C08A"/>
            </w:tcBorders>
            <w:vMerge w:val="continue"/>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100" w:type="dxa"/>
            <w:vAlign w:val="bottom"/>
            <w:tcBorders>
              <w:bottom w:val="single" w:sz="8" w:color="00C08A"/>
            </w:tcBorders>
          </w:tcPr>
          <w:p>
            <w:pPr>
              <w:spacing w:after="0"/>
              <w:rPr>
                <w:sz w:val="7"/>
                <w:szCs w:val="7"/>
                <w:color w:val="auto"/>
              </w:rPr>
            </w:pPr>
          </w:p>
        </w:tc>
        <w:tc>
          <w:tcPr>
            <w:tcW w:w="180" w:type="dxa"/>
            <w:vAlign w:val="bottom"/>
            <w:tcBorders>
              <w:bottom w:val="single" w:sz="8" w:color="00C08A"/>
            </w:tcBorders>
            <w:vMerge w:val="continue"/>
          </w:tcPr>
          <w:p>
            <w:pPr>
              <w:spacing w:after="0"/>
              <w:rPr>
                <w:sz w:val="7"/>
                <w:szCs w:val="7"/>
                <w:color w:val="auto"/>
              </w:rPr>
            </w:pPr>
          </w:p>
        </w:tc>
        <w:tc>
          <w:tcPr>
            <w:tcW w:w="640" w:type="dxa"/>
            <w:vAlign w:val="bottom"/>
            <w:tcBorders>
              <w:bottom w:val="single" w:sz="8" w:color="00C08A"/>
            </w:tcBorders>
            <w:vMerge w:val="continue"/>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840" w:type="dxa"/>
            <w:vAlign w:val="bottom"/>
            <w:tcBorders>
              <w:bottom w:val="single" w:sz="8" w:color="00C08A"/>
            </w:tcBorders>
            <w:gridSpan w:val="3"/>
          </w:tcPr>
          <w:p>
            <w:pPr>
              <w:jc w:val="right"/>
              <w:spacing w:after="0" w:line="81" w:lineRule="exact"/>
              <w:rPr>
                <w:sz w:val="20"/>
                <w:szCs w:val="20"/>
                <w:color w:val="auto"/>
              </w:rPr>
            </w:pPr>
            <w:r>
              <w:rPr>
                <w:rFonts w:ascii="Arial" w:cs="Arial" w:eastAsia="Arial" w:hAnsi="Arial"/>
                <w:sz w:val="9"/>
                <w:szCs w:val="9"/>
                <w:color w:val="auto"/>
              </w:rPr>
              <w:t>$11,162,473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Brett Fairclough</w:t>
            </w:r>
          </w:p>
        </w:tc>
        <w:tc>
          <w:tcPr>
            <w:tcW w:w="180" w:type="dxa"/>
            <w:vAlign w:val="bottom"/>
          </w:tcPr>
          <w:p>
            <w:pPr>
              <w:spacing w:after="0"/>
              <w:rPr>
                <w:sz w:val="11"/>
                <w:szCs w:val="11"/>
                <w:color w:val="auto"/>
              </w:rPr>
            </w:pPr>
          </w:p>
        </w:tc>
        <w:tc>
          <w:tcPr>
            <w:tcW w:w="400" w:type="dxa"/>
            <w:vAlign w:val="bottom"/>
            <w:shd w:val="clear" w:color="auto" w:fill="CCEEFF"/>
          </w:tcPr>
          <w:p>
            <w:pPr>
              <w:jc w:val="right"/>
              <w:ind w:right="224"/>
              <w:spacing w:after="0" w:line="12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508,333</w:t>
            </w:r>
          </w:p>
        </w:tc>
        <w:tc>
          <w:tcPr>
            <w:tcW w:w="200" w:type="dxa"/>
            <w:vAlign w:val="bottom"/>
            <w:shd w:val="clear" w:color="auto" w:fill="CCEEFF"/>
          </w:tcPr>
          <w:p>
            <w:pPr>
              <w:jc w:val="right"/>
              <w:ind w:right="29"/>
              <w:spacing w:after="0" w:line="129" w:lineRule="exact"/>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562,500</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ind w:left="60"/>
              <w:spacing w:after="0" w:line="129" w:lineRule="exact"/>
              <w:rPr>
                <w:sz w:val="20"/>
                <w:szCs w:val="20"/>
                <w:color w:val="auto"/>
              </w:rPr>
            </w:pPr>
            <w:r>
              <w:rPr>
                <w:rFonts w:ascii="Arial" w:cs="Arial" w:eastAsia="Arial" w:hAnsi="Arial"/>
                <w:sz w:val="14"/>
                <w:szCs w:val="14"/>
                <w:color w:val="auto"/>
              </w:rPr>
              <w:t>​ ​</w:t>
            </w:r>
          </w:p>
        </w:tc>
        <w:tc>
          <w:tcPr>
            <w:tcW w:w="840" w:type="dxa"/>
            <w:vAlign w:val="bottom"/>
            <w:shd w:val="clear" w:color="auto" w:fill="CCEEFF"/>
          </w:tcPr>
          <w:p>
            <w:pPr>
              <w:jc w:val="right"/>
              <w:ind w:right="31"/>
              <w:spacing w:after="0" w:line="129" w:lineRule="exact"/>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2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line="12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ind w:left="60"/>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4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20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Borders>
              <w:bottom w:val="single" w:sz="8" w:color="CCEEFF"/>
            </w:tcBorders>
            <w:shd w:val="clear" w:color="auto" w:fill="CCEEFF"/>
          </w:tcPr>
          <w:p>
            <w:pPr>
              <w:jc w:val="right"/>
              <w:spacing w:after="0" w:line="59" w:lineRule="exact"/>
              <w:rPr>
                <w:sz w:val="20"/>
                <w:szCs w:val="20"/>
                <w:color w:val="auto"/>
              </w:rPr>
            </w:pPr>
            <w:r>
              <w:rPr>
                <w:rFonts w:ascii="Arial" w:cs="Arial" w:eastAsia="Arial" w:hAnsi="Arial"/>
                <w:sz w:val="6"/>
                <w:szCs w:val="6"/>
                <w:color w:val="auto"/>
              </w:rPr>
              <w:t>​2022</w:t>
            </w:r>
          </w:p>
        </w:tc>
        <w:tc>
          <w:tcPr>
            <w:tcW w:w="240" w:type="dxa"/>
            <w:vAlign w:val="bottom"/>
            <w:tcBorders>
              <w:bottom w:val="single" w:sz="8" w:color="CCEEFF"/>
            </w:tcBorders>
            <w:shd w:val="clear" w:color="auto" w:fill="CCEEFF"/>
          </w:tcPr>
          <w:p>
            <w:pPr>
              <w:ind w:left="120"/>
              <w:spacing w:after="0" w:line="59"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ind w:left="100"/>
              <w:spacing w:after="0" w:line="59"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gridSpan w:val="2"/>
            <w:shd w:val="clear" w:color="auto" w:fill="CCEEFF"/>
          </w:tcPr>
          <w:p>
            <w:pPr>
              <w:jc w:val="right"/>
              <w:spacing w:after="0" w:line="59" w:lineRule="exact"/>
              <w:rPr>
                <w:sz w:val="20"/>
                <w:szCs w:val="20"/>
                <w:color w:val="auto"/>
              </w:rPr>
            </w:pPr>
            <w:r>
              <w:rPr>
                <w:rFonts w:ascii="Arial" w:cs="Arial" w:eastAsia="Arial" w:hAnsi="Arial"/>
                <w:sz w:val="6"/>
                <w:szCs w:val="6"/>
                <w:color w:val="auto"/>
              </w:rPr>
              <w:t>$2,059,500(8)</w:t>
            </w:r>
          </w:p>
        </w:tc>
        <w:tc>
          <w:tcPr>
            <w:tcW w:w="8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ind w:left="160"/>
              <w:spacing w:after="0" w:line="59" w:lineRule="exact"/>
              <w:rPr>
                <w:sz w:val="20"/>
                <w:szCs w:val="20"/>
                <w:color w:val="auto"/>
              </w:rPr>
            </w:pPr>
            <w:r>
              <w:rPr>
                <w:rFonts w:ascii="Arial" w:cs="Arial" w:eastAsia="Arial" w:hAnsi="Arial"/>
                <w:sz w:val="6"/>
                <w:szCs w:val="6"/>
                <w:color w:val="auto"/>
              </w:rPr>
              <w:t>$</w:t>
            </w:r>
          </w:p>
        </w:tc>
        <w:tc>
          <w:tcPr>
            <w:tcW w:w="900" w:type="dxa"/>
            <w:vAlign w:val="bottom"/>
            <w:tcBorders>
              <w:bottom w:val="single" w:sz="8" w:color="CCEEFF"/>
            </w:tcBorders>
            <w:gridSpan w:val="2"/>
            <w:shd w:val="clear" w:color="auto" w:fill="CCEEFF"/>
          </w:tcPr>
          <w:p>
            <w:pPr>
              <w:jc w:val="right"/>
              <w:ind w:right="69"/>
              <w:spacing w:after="0" w:line="59" w:lineRule="exact"/>
              <w:rPr>
                <w:sz w:val="20"/>
                <w:szCs w:val="20"/>
                <w:color w:val="auto"/>
              </w:rPr>
            </w:pPr>
            <w:r>
              <w:rPr>
                <w:rFonts w:ascii="Arial" w:cs="Arial" w:eastAsia="Arial" w:hAnsi="Arial"/>
                <w:sz w:val="6"/>
                <w:szCs w:val="6"/>
                <w:color w:val="auto"/>
              </w:rPr>
              <w:t>562,500(9)</w:t>
            </w:r>
          </w:p>
        </w:tc>
        <w:tc>
          <w:tcPr>
            <w:tcW w:w="920" w:type="dxa"/>
            <w:vAlign w:val="bottom"/>
            <w:tcBorders>
              <w:bottom w:val="single" w:sz="8" w:color="CCEEFF"/>
            </w:tcBorders>
            <w:gridSpan w:val="3"/>
            <w:shd w:val="clear" w:color="auto" w:fill="CCEEFF"/>
          </w:tcPr>
          <w:p>
            <w:pPr>
              <w:ind w:left="60"/>
              <w:spacing w:after="0" w:line="59" w:lineRule="exact"/>
              <w:rPr>
                <w:sz w:val="20"/>
                <w:szCs w:val="20"/>
                <w:color w:val="auto"/>
              </w:rPr>
            </w:pPr>
            <w:r>
              <w:rPr>
                <w:rFonts w:ascii="Arial" w:cs="Arial" w:eastAsia="Arial" w:hAnsi="Arial"/>
                <w:sz w:val="6"/>
                <w:szCs w:val="6"/>
                <w:color w:val="auto"/>
              </w:rPr>
              <w:t>$$3,692,833</w:t>
            </w:r>
          </w:p>
        </w:tc>
        <w:tc>
          <w:tcPr>
            <w:tcW w:w="2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Co-President and Co-Chief</w:t>
            </w:r>
          </w:p>
        </w:tc>
        <w:tc>
          <w:tcPr>
            <w:tcW w:w="180" w:type="dxa"/>
            <w:vAlign w:val="bottom"/>
          </w:tcPr>
          <w:p>
            <w:pPr>
              <w:spacing w:after="0"/>
              <w:rPr>
                <w:sz w:val="10"/>
                <w:szCs w:val="10"/>
                <w:color w:val="auto"/>
              </w:rPr>
            </w:pPr>
          </w:p>
        </w:tc>
        <w:tc>
          <w:tcPr>
            <w:tcW w:w="400" w:type="dxa"/>
            <w:vAlign w:val="bottom"/>
          </w:tcPr>
          <w:p>
            <w:pPr>
              <w:jc w:val="right"/>
              <w:ind w:right="224"/>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29"/>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22"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22"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08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Operating Officer</w:t>
            </w:r>
          </w:p>
        </w:tc>
        <w:tc>
          <w:tcPr>
            <w:tcW w:w="180" w:type="dxa"/>
            <w:vAlign w:val="bottom"/>
          </w:tcPr>
          <w:p>
            <w:pPr>
              <w:spacing w:after="0"/>
              <w:rPr>
                <w:sz w:val="6"/>
                <w:szCs w:val="6"/>
                <w:color w:val="auto"/>
              </w:rPr>
            </w:pPr>
          </w:p>
        </w:tc>
        <w:tc>
          <w:tcPr>
            <w:tcW w:w="400" w:type="dxa"/>
            <w:vAlign w:val="bottom"/>
          </w:tcPr>
          <w:p>
            <w:pPr>
              <w:jc w:val="right"/>
              <w:spacing w:after="0" w:line="73" w:lineRule="exact"/>
              <w:rPr>
                <w:sz w:val="20"/>
                <w:szCs w:val="20"/>
                <w:color w:val="auto"/>
              </w:rPr>
            </w:pPr>
            <w:r>
              <w:rPr>
                <w:rFonts w:ascii="Arial" w:cs="Arial" w:eastAsia="Arial" w:hAnsi="Arial"/>
                <w:sz w:val="8"/>
                <w:szCs w:val="8"/>
                <w:color w:val="auto"/>
              </w:rPr>
              <w:t>​2021</w:t>
            </w:r>
          </w:p>
        </w:tc>
        <w:tc>
          <w:tcPr>
            <w:tcW w:w="240" w:type="dxa"/>
            <w:vAlign w:val="bottom"/>
          </w:tcPr>
          <w:p>
            <w:pPr>
              <w:ind w:left="120"/>
              <w:spacing w:after="0" w:line="73" w:lineRule="exact"/>
              <w:rPr>
                <w:sz w:val="20"/>
                <w:szCs w:val="20"/>
                <w:color w:val="auto"/>
              </w:rPr>
            </w:pPr>
            <w:r>
              <w:rPr>
                <w:rFonts w:ascii="Arial" w:cs="Arial" w:eastAsia="Arial" w:hAnsi="Arial"/>
                <w:sz w:val="8"/>
                <w:szCs w:val="8"/>
                <w:color w:val="auto"/>
              </w:rPr>
              <w:t>$</w:t>
            </w: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ind w:left="100"/>
              <w:spacing w:after="0" w:line="73" w:lineRule="exact"/>
              <w:rPr>
                <w:sz w:val="20"/>
                <w:szCs w:val="20"/>
                <w:color w:val="auto"/>
              </w:rPr>
            </w:pPr>
            <w:r>
              <w:rPr>
                <w:rFonts w:ascii="Arial" w:cs="Arial" w:eastAsia="Arial" w:hAnsi="Arial"/>
                <w:sz w:val="8"/>
                <w:szCs w:val="8"/>
                <w:color w:val="auto"/>
              </w:rPr>
              <w:t>$</w:t>
            </w: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tcPr>
          <w:p>
            <w:pPr>
              <w:jc w:val="right"/>
              <w:spacing w:after="0" w:line="73" w:lineRule="exact"/>
              <w:rPr>
                <w:sz w:val="20"/>
                <w:szCs w:val="20"/>
                <w:color w:val="auto"/>
              </w:rPr>
            </w:pPr>
            <w:r>
              <w:rPr>
                <w:rFonts w:ascii="Arial" w:cs="Arial" w:eastAsia="Arial" w:hAnsi="Arial"/>
                <w:sz w:val="8"/>
                <w:szCs w:val="8"/>
                <w:color w:val="auto"/>
              </w:rPr>
              <w:t>$2,184,500(8)</w:t>
            </w:r>
          </w:p>
        </w:tc>
        <w:tc>
          <w:tcPr>
            <w:tcW w:w="80" w:type="dxa"/>
            <w:vAlign w:val="bottom"/>
          </w:tcPr>
          <w:p>
            <w:pPr>
              <w:spacing w:after="0"/>
              <w:rPr>
                <w:sz w:val="6"/>
                <w:szCs w:val="6"/>
                <w:color w:val="auto"/>
              </w:rPr>
            </w:pPr>
          </w:p>
        </w:tc>
        <w:tc>
          <w:tcPr>
            <w:tcW w:w="1200" w:type="dxa"/>
            <w:vAlign w:val="bottom"/>
            <w:gridSpan w:val="3"/>
          </w:tcPr>
          <w:p>
            <w:pPr>
              <w:ind w:left="160"/>
              <w:spacing w:after="0" w:line="73" w:lineRule="exact"/>
              <w:rPr>
                <w:sz w:val="20"/>
                <w:szCs w:val="20"/>
                <w:color w:val="auto"/>
              </w:rPr>
            </w:pPr>
            <w:r>
              <w:rPr>
                <w:rFonts w:ascii="Arial" w:cs="Arial" w:eastAsia="Arial" w:hAnsi="Arial"/>
                <w:sz w:val="8"/>
                <w:szCs w:val="8"/>
                <w:color w:val="auto"/>
              </w:rPr>
              <w:t>$1,000,000(9)</w:t>
            </w:r>
          </w:p>
        </w:tc>
        <w:tc>
          <w:tcPr>
            <w:tcW w:w="920" w:type="dxa"/>
            <w:vAlign w:val="bottom"/>
            <w:gridSpan w:val="3"/>
          </w:tcPr>
          <w:p>
            <w:pPr>
              <w:ind w:left="60"/>
              <w:spacing w:after="0" w:line="73" w:lineRule="exact"/>
              <w:rPr>
                <w:sz w:val="20"/>
                <w:szCs w:val="20"/>
                <w:color w:val="auto"/>
              </w:rPr>
            </w:pPr>
            <w:r>
              <w:rPr>
                <w:rFonts w:ascii="Arial" w:cs="Arial" w:eastAsia="Arial" w:hAnsi="Arial"/>
                <w:sz w:val="8"/>
                <w:szCs w:val="8"/>
                <w:color w:val="auto"/>
              </w:rPr>
              <w:t>$$3,934,500</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24"/>
              <w:spacing w:after="0" w:line="131"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29"/>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31"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31"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31"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31"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1"/>
                <w:szCs w:val="11"/>
                <w:color w:val="auto"/>
              </w:rPr>
            </w:pPr>
          </w:p>
        </w:tc>
        <w:tc>
          <w:tcPr>
            <w:tcW w:w="2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31"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3,934,500</w:t>
            </w:r>
          </w:p>
        </w:tc>
        <w:tc>
          <w:tcPr>
            <w:tcW w:w="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080" w:type="dxa"/>
            <w:vAlign w:val="bottom"/>
            <w:tcBorders>
              <w:bottom w:val="single" w:sz="8" w:color="00C08A"/>
            </w:tcBorders>
          </w:tcPr>
          <w:p>
            <w:pPr>
              <w:spacing w:after="0"/>
              <w:rPr>
                <w:sz w:val="7"/>
                <w:szCs w:val="7"/>
                <w:color w:val="auto"/>
              </w:rPr>
            </w:pPr>
          </w:p>
        </w:tc>
        <w:tc>
          <w:tcPr>
            <w:tcW w:w="180" w:type="dxa"/>
            <w:vAlign w:val="bottom"/>
            <w:tcBorders>
              <w:bottom w:val="single" w:sz="8" w:color="00C08A"/>
            </w:tcBorders>
          </w:tcPr>
          <w:p>
            <w:pPr>
              <w:spacing w:after="0"/>
              <w:rPr>
                <w:sz w:val="7"/>
                <w:szCs w:val="7"/>
                <w:color w:val="auto"/>
              </w:rPr>
            </w:pPr>
          </w:p>
        </w:tc>
        <w:tc>
          <w:tcPr>
            <w:tcW w:w="40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​2020</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00C08A"/>
            </w:tcBorders>
            <w:vMerge w:val="continue"/>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ind w:left="10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108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$2,109,500(8)</w:t>
            </w:r>
          </w:p>
        </w:tc>
        <w:tc>
          <w:tcPr>
            <w:tcW w:w="80" w:type="dxa"/>
            <w:vAlign w:val="bottom"/>
            <w:tcBorders>
              <w:bottom w:val="single" w:sz="8" w:color="00C08A"/>
            </w:tcBorders>
          </w:tcPr>
          <w:p>
            <w:pPr>
              <w:spacing w:after="0"/>
              <w:rPr>
                <w:sz w:val="7"/>
                <w:szCs w:val="7"/>
                <w:color w:val="auto"/>
              </w:rPr>
            </w:pPr>
          </w:p>
        </w:tc>
        <w:tc>
          <w:tcPr>
            <w:tcW w:w="1200" w:type="dxa"/>
            <w:vAlign w:val="bottom"/>
            <w:tcBorders>
              <w:bottom w:val="single" w:sz="8" w:color="00C08A"/>
            </w:tcBorders>
            <w:gridSpan w:val="3"/>
          </w:tcPr>
          <w:p>
            <w:pPr>
              <w:ind w:left="160"/>
              <w:spacing w:after="0" w:line="81" w:lineRule="exact"/>
              <w:rPr>
                <w:sz w:val="20"/>
                <w:szCs w:val="20"/>
                <w:color w:val="auto"/>
              </w:rPr>
            </w:pPr>
            <w:r>
              <w:rPr>
                <w:rFonts w:ascii="Arial" w:cs="Arial" w:eastAsia="Arial" w:hAnsi="Arial"/>
                <w:sz w:val="9"/>
                <w:szCs w:val="9"/>
                <w:color w:val="auto"/>
              </w:rPr>
              <w:t>$1,075,000(9)</w:t>
            </w:r>
          </w:p>
        </w:tc>
        <w:tc>
          <w:tcPr>
            <w:tcW w:w="100" w:type="dxa"/>
            <w:vAlign w:val="bottom"/>
            <w:tcBorders>
              <w:bottom w:val="single" w:sz="8" w:color="00C08A"/>
            </w:tcBorders>
          </w:tcPr>
          <w:p>
            <w:pPr>
              <w:spacing w:after="0"/>
              <w:rPr>
                <w:sz w:val="7"/>
                <w:szCs w:val="7"/>
                <w:color w:val="auto"/>
              </w:rPr>
            </w:pPr>
          </w:p>
        </w:tc>
        <w:tc>
          <w:tcPr>
            <w:tcW w:w="180" w:type="dxa"/>
            <w:vAlign w:val="bottom"/>
            <w:tcBorders>
              <w:bottom w:val="single" w:sz="8" w:color="00C08A"/>
            </w:tcBorders>
            <w:vMerge w:val="continue"/>
          </w:tcPr>
          <w:p>
            <w:pPr>
              <w:spacing w:after="0"/>
              <w:rPr>
                <w:sz w:val="7"/>
                <w:szCs w:val="7"/>
                <w:color w:val="auto"/>
              </w:rPr>
            </w:pPr>
          </w:p>
        </w:tc>
        <w:tc>
          <w:tcPr>
            <w:tcW w:w="640" w:type="dxa"/>
            <w:vAlign w:val="bottom"/>
            <w:tcBorders>
              <w:bottom w:val="single" w:sz="8" w:color="00C08A"/>
            </w:tcBorders>
            <w:vMerge w:val="continue"/>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120" w:type="dxa"/>
            <w:vAlign w:val="bottom"/>
            <w:tcBorders>
              <w:bottom w:val="single" w:sz="8" w:color="00C08A"/>
            </w:tcBorders>
          </w:tcPr>
          <w:p>
            <w:pPr>
              <w:ind w:left="40"/>
              <w:spacing w:after="0" w:line="81"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00C08A"/>
            </w:tcBorders>
          </w:tcPr>
          <w:p>
            <w:pPr>
              <w:spacing w:after="0"/>
              <w:rPr>
                <w:sz w:val="7"/>
                <w:szCs w:val="7"/>
                <w:color w:val="auto"/>
              </w:rPr>
            </w:pPr>
          </w:p>
        </w:tc>
        <w:tc>
          <w:tcPr>
            <w:tcW w:w="660" w:type="dxa"/>
            <w:vAlign w:val="bottom"/>
            <w:tcBorders>
              <w:bottom w:val="single" w:sz="8" w:color="00C08A"/>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Stephen Cavoli</w:t>
            </w:r>
          </w:p>
        </w:tc>
        <w:tc>
          <w:tcPr>
            <w:tcW w:w="580" w:type="dxa"/>
            <w:vAlign w:val="bottom"/>
            <w:gridSpan w:val="2"/>
          </w:tcPr>
          <w:p>
            <w:pPr>
              <w:jc w:val="right"/>
              <w:ind w:right="224"/>
              <w:spacing w:after="0" w:line="11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508,333</w:t>
            </w:r>
          </w:p>
        </w:tc>
        <w:tc>
          <w:tcPr>
            <w:tcW w:w="200" w:type="dxa"/>
            <w:vAlign w:val="bottom"/>
          </w:tcPr>
          <w:p>
            <w:pPr>
              <w:jc w:val="right"/>
              <w:ind w:right="29"/>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20"/>
              <w:spacing w:after="0" w:line="115" w:lineRule="exact"/>
              <w:rPr>
                <w:sz w:val="20"/>
                <w:szCs w:val="20"/>
                <w:color w:val="auto"/>
              </w:rPr>
            </w:pPr>
            <w:r>
              <w:rPr>
                <w:rFonts w:ascii="Arial" w:cs="Arial" w:eastAsia="Arial" w:hAnsi="Arial"/>
                <w:sz w:val="13"/>
                <w:szCs w:val="13"/>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562,000</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60"/>
              <w:spacing w:after="0" w:line="115" w:lineRule="exact"/>
              <w:rPr>
                <w:sz w:val="20"/>
                <w:szCs w:val="20"/>
                <w:color w:val="auto"/>
              </w:rPr>
            </w:pPr>
            <w:r>
              <w:rPr>
                <w:rFonts w:ascii="Arial" w:cs="Arial" w:eastAsia="Arial" w:hAnsi="Arial"/>
                <w:sz w:val="13"/>
                <w:szCs w:val="13"/>
                <w:color w:val="auto"/>
              </w:rPr>
              <w:t>​ ​</w:t>
            </w:r>
          </w:p>
        </w:tc>
        <w:tc>
          <w:tcPr>
            <w:tcW w:w="840" w:type="dxa"/>
            <w:vAlign w:val="bottom"/>
          </w:tcPr>
          <w:p>
            <w:pPr>
              <w:jc w:val="right"/>
              <w:ind w:right="31"/>
              <w:spacing w:after="0" w:line="115" w:lineRule="exact"/>
              <w:rPr>
                <w:sz w:val="20"/>
                <w:szCs w:val="20"/>
                <w:color w:val="auto"/>
              </w:rPr>
            </w:pPr>
            <w:r>
              <w:rPr>
                <w:rFonts w:ascii="Arial" w:cs="Arial" w:eastAsia="Arial" w:hAnsi="Arial"/>
                <w:sz w:val="13"/>
                <w:szCs w:val="13"/>
                <w:color w:val="auto"/>
              </w:rPr>
              <w:t>​ ​</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300" w:type="dxa"/>
            <w:vAlign w:val="bottom"/>
          </w:tcPr>
          <w:p>
            <w:pPr>
              <w:ind w:left="160"/>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ind w:left="40"/>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15" w:lineRule="exact"/>
              <w:rPr>
                <w:sz w:val="20"/>
                <w:szCs w:val="20"/>
                <w:color w:val="auto"/>
              </w:rPr>
            </w:pPr>
            <w:r>
              <w:rPr>
                <w:rFonts w:ascii="Arial" w:cs="Arial" w:eastAsia="Arial" w:hAnsi="Arial"/>
                <w:sz w:val="13"/>
                <w:szCs w:val="13"/>
                <w:color w:val="auto"/>
              </w:rPr>
              <w:t>​ ​</w:t>
            </w:r>
          </w:p>
        </w:tc>
        <w:tc>
          <w:tcPr>
            <w:tcW w:w="120" w:type="dxa"/>
            <w:vAlign w:val="bottom"/>
          </w:tcPr>
          <w:p>
            <w:pPr>
              <w:ind w:left="60"/>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3,692,833</w:t>
            </w: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2"/>
        </w:trPr>
        <w:tc>
          <w:tcPr>
            <w:tcW w:w="20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jc w:val="right"/>
              <w:spacing w:after="0" w:line="72" w:lineRule="exact"/>
              <w:rPr>
                <w:sz w:val="20"/>
                <w:szCs w:val="20"/>
                <w:color w:val="auto"/>
              </w:rPr>
            </w:pPr>
            <w:r>
              <w:rPr>
                <w:rFonts w:ascii="Arial" w:cs="Arial" w:eastAsia="Arial" w:hAnsi="Arial"/>
                <w:sz w:val="8"/>
                <w:szCs w:val="8"/>
                <w:color w:val="auto"/>
              </w:rPr>
              <w:t>​2022</w:t>
            </w:r>
          </w:p>
        </w:tc>
        <w:tc>
          <w:tcPr>
            <w:tcW w:w="240" w:type="dxa"/>
            <w:vAlign w:val="bottom"/>
          </w:tcPr>
          <w:p>
            <w:pPr>
              <w:ind w:left="120"/>
              <w:spacing w:after="0" w:line="72" w:lineRule="exact"/>
              <w:rPr>
                <w:sz w:val="20"/>
                <w:szCs w:val="20"/>
                <w:color w:val="auto"/>
              </w:rPr>
            </w:pPr>
            <w:r>
              <w:rPr>
                <w:rFonts w:ascii="Arial" w:cs="Arial" w:eastAsia="Arial" w:hAnsi="Arial"/>
                <w:sz w:val="8"/>
                <w:szCs w:val="8"/>
                <w:color w:val="auto"/>
              </w:rPr>
              <w:t>$</w:t>
            </w: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ind w:left="100"/>
              <w:spacing w:after="0" w:line="72" w:lineRule="exact"/>
              <w:rPr>
                <w:sz w:val="20"/>
                <w:szCs w:val="20"/>
                <w:color w:val="auto"/>
              </w:rPr>
            </w:pPr>
            <w:r>
              <w:rPr>
                <w:rFonts w:ascii="Arial" w:cs="Arial" w:eastAsia="Arial" w:hAnsi="Arial"/>
                <w:sz w:val="8"/>
                <w:szCs w:val="8"/>
                <w:color w:val="auto"/>
              </w:rPr>
              <w:t>$</w:t>
            </w: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3"/>
          </w:tcPr>
          <w:p>
            <w:pPr>
              <w:jc w:val="right"/>
              <w:spacing w:after="0" w:line="72" w:lineRule="exact"/>
              <w:rPr>
                <w:sz w:val="20"/>
                <w:szCs w:val="20"/>
                <w:color w:val="auto"/>
              </w:rPr>
            </w:pPr>
            <w:r>
              <w:rPr>
                <w:rFonts w:ascii="Arial" w:cs="Arial" w:eastAsia="Arial" w:hAnsi="Arial"/>
                <w:sz w:val="8"/>
                <w:szCs w:val="8"/>
                <w:color w:val="auto"/>
              </w:rPr>
              <w:t>$2,059,500(10)</w:t>
            </w:r>
          </w:p>
        </w:tc>
        <w:tc>
          <w:tcPr>
            <w:tcW w:w="300" w:type="dxa"/>
            <w:vAlign w:val="bottom"/>
          </w:tcPr>
          <w:p>
            <w:pPr>
              <w:ind w:left="160"/>
              <w:spacing w:after="0" w:line="72"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spacing w:after="0" w:line="72" w:lineRule="exact"/>
              <w:rPr>
                <w:sz w:val="20"/>
                <w:szCs w:val="20"/>
                <w:color w:val="auto"/>
              </w:rPr>
            </w:pPr>
            <w:r>
              <w:rPr>
                <w:rFonts w:ascii="Arial" w:cs="Arial" w:eastAsia="Arial" w:hAnsi="Arial"/>
                <w:sz w:val="8"/>
                <w:szCs w:val="8"/>
                <w:color w:val="auto"/>
              </w:rPr>
              <w:t>562,500(10)</w:t>
            </w: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ind w:left="40"/>
              <w:spacing w:after="0" w:line="72"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80" w:type="dxa"/>
            <w:vAlign w:val="bottom"/>
          </w:tcPr>
          <w:p>
            <w:pPr>
              <w:ind w:left="140"/>
              <w:spacing w:after="0" w:line="158" w:lineRule="exact"/>
              <w:rPr>
                <w:sz w:val="20"/>
                <w:szCs w:val="20"/>
                <w:color w:val="auto"/>
              </w:rPr>
            </w:pPr>
            <w:r>
              <w:rPr>
                <w:rFonts w:ascii="Arial" w:cs="Arial" w:eastAsia="Arial" w:hAnsi="Arial"/>
                <w:sz w:val="14"/>
                <w:szCs w:val="14"/>
                <w:i w:val="1"/>
                <w:iCs w:val="1"/>
                <w:color w:val="auto"/>
              </w:rPr>
              <w:t>Executive Vice President,</w:t>
            </w:r>
          </w:p>
        </w:tc>
        <w:tc>
          <w:tcPr>
            <w:tcW w:w="180" w:type="dxa"/>
            <w:vAlign w:val="bottom"/>
          </w:tcPr>
          <w:p>
            <w:pPr>
              <w:spacing w:after="0"/>
              <w:rPr>
                <w:sz w:val="13"/>
                <w:szCs w:val="13"/>
                <w:color w:val="auto"/>
              </w:rPr>
            </w:pPr>
          </w:p>
        </w:tc>
        <w:tc>
          <w:tcPr>
            <w:tcW w:w="400" w:type="dxa"/>
            <w:vAlign w:val="bottom"/>
          </w:tcPr>
          <w:p>
            <w:pPr>
              <w:jc w:val="right"/>
              <w:ind w:right="224"/>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29"/>
              <w:spacing w:after="0" w:line="158"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jc w:val="right"/>
              <w:spacing w:after="0" w:line="158"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58"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58"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58"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58"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3,934,500</w:t>
            </w:r>
          </w:p>
        </w:tc>
        <w:tc>
          <w:tcPr>
            <w:tcW w:w="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08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Markets</w:t>
            </w:r>
          </w:p>
        </w:tc>
        <w:tc>
          <w:tcPr>
            <w:tcW w:w="180" w:type="dxa"/>
            <w:vAlign w:val="bottom"/>
          </w:tcPr>
          <w:p>
            <w:pPr>
              <w:spacing w:after="0"/>
              <w:rPr>
                <w:sz w:val="6"/>
                <w:szCs w:val="6"/>
                <w:color w:val="auto"/>
              </w:rPr>
            </w:pPr>
          </w:p>
        </w:tc>
        <w:tc>
          <w:tcPr>
            <w:tcW w:w="400" w:type="dxa"/>
            <w:vAlign w:val="bottom"/>
          </w:tcPr>
          <w:p>
            <w:pPr>
              <w:jc w:val="right"/>
              <w:spacing w:after="0" w:line="73" w:lineRule="exact"/>
              <w:rPr>
                <w:sz w:val="20"/>
                <w:szCs w:val="20"/>
                <w:color w:val="auto"/>
              </w:rPr>
            </w:pPr>
            <w:r>
              <w:rPr>
                <w:rFonts w:ascii="Arial" w:cs="Arial" w:eastAsia="Arial" w:hAnsi="Arial"/>
                <w:sz w:val="8"/>
                <w:szCs w:val="8"/>
                <w:color w:val="auto"/>
              </w:rPr>
              <w:t>​2021</w:t>
            </w:r>
          </w:p>
        </w:tc>
        <w:tc>
          <w:tcPr>
            <w:tcW w:w="240" w:type="dxa"/>
            <w:vAlign w:val="bottom"/>
          </w:tcPr>
          <w:p>
            <w:pPr>
              <w:ind w:left="120"/>
              <w:spacing w:after="0" w:line="73" w:lineRule="exact"/>
              <w:rPr>
                <w:sz w:val="20"/>
                <w:szCs w:val="20"/>
                <w:color w:val="auto"/>
              </w:rPr>
            </w:pPr>
            <w:r>
              <w:rPr>
                <w:rFonts w:ascii="Arial" w:cs="Arial" w:eastAsia="Arial" w:hAnsi="Arial"/>
                <w:sz w:val="8"/>
                <w:szCs w:val="8"/>
                <w:color w:val="auto"/>
              </w:rPr>
              <w:t>$</w:t>
            </w: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ind w:left="100"/>
              <w:spacing w:after="0" w:line="73" w:lineRule="exact"/>
              <w:rPr>
                <w:sz w:val="20"/>
                <w:szCs w:val="20"/>
                <w:color w:val="auto"/>
              </w:rPr>
            </w:pPr>
            <w:r>
              <w:rPr>
                <w:rFonts w:ascii="Arial" w:cs="Arial" w:eastAsia="Arial" w:hAnsi="Arial"/>
                <w:sz w:val="8"/>
                <w:szCs w:val="8"/>
                <w:color w:val="auto"/>
              </w:rPr>
              <w:t>$</w:t>
            </w: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3"/>
          </w:tcPr>
          <w:p>
            <w:pPr>
              <w:jc w:val="right"/>
              <w:spacing w:after="0" w:line="73" w:lineRule="exact"/>
              <w:rPr>
                <w:sz w:val="20"/>
                <w:szCs w:val="20"/>
                <w:color w:val="auto"/>
              </w:rPr>
            </w:pPr>
            <w:r>
              <w:rPr>
                <w:rFonts w:ascii="Arial" w:cs="Arial" w:eastAsia="Arial" w:hAnsi="Arial"/>
                <w:sz w:val="8"/>
                <w:szCs w:val="8"/>
                <w:color w:val="auto"/>
              </w:rPr>
              <w:t>$2,184,500(10)</w:t>
            </w:r>
          </w:p>
        </w:tc>
        <w:tc>
          <w:tcPr>
            <w:tcW w:w="1200" w:type="dxa"/>
            <w:vAlign w:val="bottom"/>
            <w:gridSpan w:val="3"/>
          </w:tcPr>
          <w:p>
            <w:pPr>
              <w:ind w:left="160"/>
              <w:spacing w:after="0" w:line="73" w:lineRule="exact"/>
              <w:rPr>
                <w:sz w:val="20"/>
                <w:szCs w:val="20"/>
                <w:color w:val="auto"/>
              </w:rPr>
            </w:pPr>
            <w:r>
              <w:rPr>
                <w:rFonts w:ascii="Arial" w:cs="Arial" w:eastAsia="Arial" w:hAnsi="Arial"/>
                <w:sz w:val="8"/>
                <w:szCs w:val="8"/>
                <w:color w:val="auto"/>
              </w:rPr>
              <w:t>$1,000,000(10)</w:t>
            </w: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ind w:left="40"/>
              <w:spacing w:after="0" w:line="73"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24"/>
              <w:spacing w:after="0" w:line="131"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29"/>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31"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31"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31"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31"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1"/>
                <w:szCs w:val="11"/>
                <w:color w:val="auto"/>
              </w:rPr>
            </w:pPr>
          </w:p>
        </w:tc>
        <w:tc>
          <w:tcPr>
            <w:tcW w:w="2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31"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3,934,500</w:t>
            </w:r>
          </w:p>
        </w:tc>
        <w:tc>
          <w:tcPr>
            <w:tcW w:w="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080" w:type="dxa"/>
            <w:vAlign w:val="bottom"/>
            <w:tcBorders>
              <w:bottom w:val="single" w:sz="8" w:color="00C08A"/>
            </w:tcBorders>
          </w:tcPr>
          <w:p>
            <w:pPr>
              <w:spacing w:after="0"/>
              <w:rPr>
                <w:sz w:val="7"/>
                <w:szCs w:val="7"/>
                <w:color w:val="auto"/>
              </w:rPr>
            </w:pPr>
          </w:p>
        </w:tc>
        <w:tc>
          <w:tcPr>
            <w:tcW w:w="180" w:type="dxa"/>
            <w:vAlign w:val="bottom"/>
            <w:tcBorders>
              <w:bottom w:val="single" w:sz="8" w:color="00C08A"/>
            </w:tcBorders>
          </w:tcPr>
          <w:p>
            <w:pPr>
              <w:spacing w:after="0"/>
              <w:rPr>
                <w:sz w:val="7"/>
                <w:szCs w:val="7"/>
                <w:color w:val="auto"/>
              </w:rPr>
            </w:pPr>
          </w:p>
        </w:tc>
        <w:tc>
          <w:tcPr>
            <w:tcW w:w="40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​2020</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00C08A"/>
            </w:tcBorders>
            <w:vMerge w:val="continue"/>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ind w:left="10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1160" w:type="dxa"/>
            <w:vAlign w:val="bottom"/>
            <w:tcBorders>
              <w:bottom w:val="single" w:sz="8" w:color="00C08A"/>
            </w:tcBorders>
            <w:gridSpan w:val="3"/>
          </w:tcPr>
          <w:p>
            <w:pPr>
              <w:jc w:val="right"/>
              <w:spacing w:after="0" w:line="81" w:lineRule="exact"/>
              <w:rPr>
                <w:sz w:val="20"/>
                <w:szCs w:val="20"/>
                <w:color w:val="auto"/>
              </w:rPr>
            </w:pPr>
            <w:r>
              <w:rPr>
                <w:rFonts w:ascii="Arial" w:cs="Arial" w:eastAsia="Arial" w:hAnsi="Arial"/>
                <w:sz w:val="9"/>
                <w:szCs w:val="9"/>
                <w:color w:val="auto"/>
              </w:rPr>
              <w:t>$2,109,500(02)</w:t>
            </w:r>
          </w:p>
        </w:tc>
        <w:tc>
          <w:tcPr>
            <w:tcW w:w="1200" w:type="dxa"/>
            <w:vAlign w:val="bottom"/>
            <w:tcBorders>
              <w:bottom w:val="single" w:sz="8" w:color="00C08A"/>
            </w:tcBorders>
            <w:gridSpan w:val="3"/>
          </w:tcPr>
          <w:p>
            <w:pPr>
              <w:ind w:left="160"/>
              <w:spacing w:after="0" w:line="81" w:lineRule="exact"/>
              <w:rPr>
                <w:sz w:val="20"/>
                <w:szCs w:val="20"/>
                <w:color w:val="auto"/>
              </w:rPr>
            </w:pPr>
            <w:r>
              <w:rPr>
                <w:rFonts w:ascii="Arial" w:cs="Arial" w:eastAsia="Arial" w:hAnsi="Arial"/>
                <w:sz w:val="9"/>
                <w:szCs w:val="9"/>
                <w:color w:val="auto"/>
              </w:rPr>
              <w:t>$1,075,000(10)</w:t>
            </w:r>
          </w:p>
        </w:tc>
        <w:tc>
          <w:tcPr>
            <w:tcW w:w="100" w:type="dxa"/>
            <w:vAlign w:val="bottom"/>
            <w:tcBorders>
              <w:bottom w:val="single" w:sz="8" w:color="00C08A"/>
            </w:tcBorders>
          </w:tcPr>
          <w:p>
            <w:pPr>
              <w:spacing w:after="0"/>
              <w:rPr>
                <w:sz w:val="7"/>
                <w:szCs w:val="7"/>
                <w:color w:val="auto"/>
              </w:rPr>
            </w:pPr>
          </w:p>
        </w:tc>
        <w:tc>
          <w:tcPr>
            <w:tcW w:w="180" w:type="dxa"/>
            <w:vAlign w:val="bottom"/>
            <w:tcBorders>
              <w:bottom w:val="single" w:sz="8" w:color="00C08A"/>
            </w:tcBorders>
            <w:vMerge w:val="continue"/>
          </w:tcPr>
          <w:p>
            <w:pPr>
              <w:spacing w:after="0"/>
              <w:rPr>
                <w:sz w:val="7"/>
                <w:szCs w:val="7"/>
                <w:color w:val="auto"/>
              </w:rPr>
            </w:pPr>
          </w:p>
        </w:tc>
        <w:tc>
          <w:tcPr>
            <w:tcW w:w="640" w:type="dxa"/>
            <w:vAlign w:val="bottom"/>
            <w:tcBorders>
              <w:bottom w:val="single" w:sz="8" w:color="00C08A"/>
            </w:tcBorders>
            <w:vMerge w:val="continue"/>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120" w:type="dxa"/>
            <w:vAlign w:val="bottom"/>
            <w:tcBorders>
              <w:bottom w:val="single" w:sz="8" w:color="00C08A"/>
            </w:tcBorders>
          </w:tcPr>
          <w:p>
            <w:pPr>
              <w:ind w:left="40"/>
              <w:spacing w:after="0" w:line="81"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00C08A"/>
            </w:tcBorders>
          </w:tcPr>
          <w:p>
            <w:pPr>
              <w:spacing w:after="0"/>
              <w:rPr>
                <w:sz w:val="7"/>
                <w:szCs w:val="7"/>
                <w:color w:val="auto"/>
              </w:rPr>
            </w:pPr>
          </w:p>
        </w:tc>
        <w:tc>
          <w:tcPr>
            <w:tcW w:w="660" w:type="dxa"/>
            <w:vAlign w:val="bottom"/>
            <w:tcBorders>
              <w:bottom w:val="single" w:sz="8" w:color="00C08A"/>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Sean P. Galvin</w:t>
            </w:r>
          </w:p>
        </w:tc>
        <w:tc>
          <w:tcPr>
            <w:tcW w:w="180" w:type="dxa"/>
            <w:vAlign w:val="bottom"/>
          </w:tcPr>
          <w:p>
            <w:pPr>
              <w:spacing w:after="0"/>
              <w:rPr>
                <w:sz w:val="10"/>
                <w:szCs w:val="10"/>
                <w:color w:val="auto"/>
              </w:rPr>
            </w:pPr>
          </w:p>
        </w:tc>
        <w:tc>
          <w:tcPr>
            <w:tcW w:w="400" w:type="dxa"/>
            <w:vAlign w:val="bottom"/>
            <w:shd w:val="clear" w:color="auto" w:fill="CCEEFF"/>
          </w:tcPr>
          <w:p>
            <w:pPr>
              <w:jc w:val="right"/>
              <w:ind w:right="224"/>
              <w:spacing w:after="0" w:line="11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00" w:type="dxa"/>
            <w:vAlign w:val="bottom"/>
            <w:shd w:val="clear" w:color="auto" w:fill="CCEEFF"/>
          </w:tcPr>
          <w:p>
            <w:pPr>
              <w:jc w:val="right"/>
              <w:ind w:right="29"/>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480,000</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 ​</w:t>
            </w:r>
          </w:p>
        </w:tc>
        <w:tc>
          <w:tcPr>
            <w:tcW w:w="840" w:type="dxa"/>
            <w:vAlign w:val="bottom"/>
            <w:shd w:val="clear" w:color="auto" w:fill="CCEEFF"/>
          </w:tcPr>
          <w:p>
            <w:pPr>
              <w:jc w:val="right"/>
              <w:ind w:right="31"/>
              <w:spacing w:after="0" w:line="115" w:lineRule="exact"/>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160"/>
              <w:spacing w:after="0" w:line="115" w:lineRule="exact"/>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63"/>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2,496,350</w:t>
            </w: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8"/>
        </w:trPr>
        <w:tc>
          <w:tcPr>
            <w:tcW w:w="2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Borders>
              <w:bottom w:val="single" w:sz="8" w:color="CCEEFF"/>
            </w:tcBorders>
            <w:shd w:val="clear" w:color="auto" w:fill="CCEEFF"/>
          </w:tcPr>
          <w:p>
            <w:pPr>
              <w:jc w:val="right"/>
              <w:spacing w:after="0" w:line="72" w:lineRule="exact"/>
              <w:rPr>
                <w:sz w:val="20"/>
                <w:szCs w:val="20"/>
                <w:color w:val="auto"/>
              </w:rPr>
            </w:pPr>
            <w:r>
              <w:rPr>
                <w:rFonts w:ascii="Arial" w:cs="Arial" w:eastAsia="Arial" w:hAnsi="Arial"/>
                <w:sz w:val="8"/>
                <w:szCs w:val="8"/>
                <w:color w:val="auto"/>
              </w:rPr>
              <w:t>​2022</w:t>
            </w:r>
          </w:p>
        </w:tc>
        <w:tc>
          <w:tcPr>
            <w:tcW w:w="240" w:type="dxa"/>
            <w:vAlign w:val="bottom"/>
            <w:tcBorders>
              <w:bottom w:val="single" w:sz="8" w:color="CCEEFF"/>
            </w:tcBorders>
            <w:shd w:val="clear" w:color="auto" w:fill="CCEEFF"/>
          </w:tcPr>
          <w:p>
            <w:pPr>
              <w:ind w:left="120"/>
              <w:spacing w:after="0" w:line="72" w:lineRule="exact"/>
              <w:rPr>
                <w:sz w:val="20"/>
                <w:szCs w:val="20"/>
                <w:color w:val="auto"/>
              </w:rPr>
            </w:pPr>
            <w:r>
              <w:rPr>
                <w:rFonts w:ascii="Arial" w:cs="Arial" w:eastAsia="Arial" w:hAnsi="Arial"/>
                <w:sz w:val="8"/>
                <w:szCs w:val="8"/>
                <w:color w:val="auto"/>
              </w:rPr>
              <w:t>$</w:t>
            </w:r>
          </w:p>
        </w:tc>
        <w:tc>
          <w:tcPr>
            <w:tcW w:w="620" w:type="dxa"/>
            <w:vAlign w:val="bottom"/>
            <w:tcBorders>
              <w:bottom w:val="single" w:sz="8" w:color="CCEEFF"/>
            </w:tcBorders>
            <w:vMerge w:val="continue"/>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ind w:left="100"/>
              <w:spacing w:after="0" w:line="72" w:lineRule="exact"/>
              <w:rPr>
                <w:sz w:val="20"/>
                <w:szCs w:val="20"/>
                <w:color w:val="auto"/>
              </w:rPr>
            </w:pPr>
            <w:r>
              <w:rPr>
                <w:rFonts w:ascii="Arial" w:cs="Arial" w:eastAsia="Arial" w:hAnsi="Arial"/>
                <w:sz w:val="8"/>
                <w:szCs w:val="8"/>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gridSpan w:val="3"/>
            <w:shd w:val="clear" w:color="auto" w:fill="CCEEFF"/>
          </w:tcPr>
          <w:p>
            <w:pPr>
              <w:jc w:val="right"/>
              <w:spacing w:after="0" w:line="72" w:lineRule="exact"/>
              <w:rPr>
                <w:sz w:val="20"/>
                <w:szCs w:val="20"/>
                <w:color w:val="auto"/>
              </w:rPr>
            </w:pPr>
            <w:r>
              <w:rPr>
                <w:rFonts w:ascii="Arial" w:cs="Arial" w:eastAsia="Arial" w:hAnsi="Arial"/>
                <w:sz w:val="8"/>
                <w:szCs w:val="8"/>
                <w:color w:val="auto"/>
              </w:rPr>
              <w:t>$1,716,350(13)</w:t>
            </w:r>
          </w:p>
        </w:tc>
        <w:tc>
          <w:tcPr>
            <w:tcW w:w="300" w:type="dxa"/>
            <w:vAlign w:val="bottom"/>
            <w:tcBorders>
              <w:bottom w:val="single" w:sz="8" w:color="CCEEFF"/>
            </w:tcBorders>
            <w:shd w:val="clear" w:color="auto" w:fill="CCEEFF"/>
          </w:tcPr>
          <w:p>
            <w:pPr>
              <w:ind w:left="160"/>
              <w:spacing w:after="0" w:line="72" w:lineRule="exact"/>
              <w:rPr>
                <w:sz w:val="20"/>
                <w:szCs w:val="20"/>
                <w:color w:val="auto"/>
              </w:rPr>
            </w:pPr>
            <w:r>
              <w:rPr>
                <w:rFonts w:ascii="Arial" w:cs="Arial" w:eastAsia="Arial" w:hAnsi="Arial"/>
                <w:sz w:val="8"/>
                <w:szCs w:val="8"/>
                <w:color w:val="auto"/>
              </w:rPr>
              <w:t>$</w:t>
            </w:r>
          </w:p>
        </w:tc>
        <w:tc>
          <w:tcPr>
            <w:tcW w:w="700" w:type="dxa"/>
            <w:vAlign w:val="bottom"/>
            <w:tcBorders>
              <w:bottom w:val="single" w:sz="8" w:color="CCEEFF"/>
            </w:tcBorders>
            <w:vMerge w:val="continue"/>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64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ind w:left="40"/>
              <w:spacing w:after="0" w:line="72" w:lineRule="exact"/>
              <w:rPr>
                <w:sz w:val="20"/>
                <w:szCs w:val="20"/>
                <w:color w:val="auto"/>
              </w:rPr>
            </w:pPr>
            <w:r>
              <w:rPr>
                <w:rFonts w:ascii="Arial" w:cs="Arial" w:eastAsia="Arial" w:hAnsi="Arial"/>
                <w:sz w:val="8"/>
                <w:szCs w:val="8"/>
                <w:color w:val="auto"/>
              </w:rPr>
              <w:t>$</w:t>
            </w:r>
          </w:p>
        </w:tc>
        <w:tc>
          <w:tcPr>
            <w:tcW w:w="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Chief Financial Officer</w:t>
            </w:r>
          </w:p>
        </w:tc>
        <w:tc>
          <w:tcPr>
            <w:tcW w:w="180" w:type="dxa"/>
            <w:vAlign w:val="bottom"/>
          </w:tcPr>
          <w:p>
            <w:pPr>
              <w:spacing w:after="0"/>
              <w:rPr>
                <w:sz w:val="10"/>
                <w:szCs w:val="10"/>
                <w:color w:val="auto"/>
              </w:rPr>
            </w:pPr>
          </w:p>
        </w:tc>
        <w:tc>
          <w:tcPr>
            <w:tcW w:w="400" w:type="dxa"/>
            <w:vAlign w:val="bottom"/>
          </w:tcPr>
          <w:p>
            <w:pPr>
              <w:jc w:val="right"/>
              <w:ind w:right="224"/>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200" w:type="dxa"/>
            <w:vAlign w:val="bottom"/>
          </w:tcPr>
          <w:p>
            <w:pPr>
              <w:jc w:val="right"/>
              <w:ind w:right="29"/>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540,000</w:t>
            </w:r>
          </w:p>
        </w:tc>
        <w:tc>
          <w:tcPr>
            <w:tcW w:w="16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22"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22"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63"/>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1,200,000</w:t>
            </w: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2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jc w:val="right"/>
              <w:spacing w:after="0" w:line="73" w:lineRule="exact"/>
              <w:rPr>
                <w:sz w:val="20"/>
                <w:szCs w:val="20"/>
                <w:color w:val="auto"/>
              </w:rPr>
            </w:pPr>
            <w:r>
              <w:rPr>
                <w:rFonts w:ascii="Arial" w:cs="Arial" w:eastAsia="Arial" w:hAnsi="Arial"/>
                <w:sz w:val="8"/>
                <w:szCs w:val="8"/>
                <w:color w:val="auto"/>
              </w:rPr>
              <w:t>​2021</w:t>
            </w:r>
          </w:p>
        </w:tc>
        <w:tc>
          <w:tcPr>
            <w:tcW w:w="240" w:type="dxa"/>
            <w:vAlign w:val="bottom"/>
          </w:tcPr>
          <w:p>
            <w:pPr>
              <w:ind w:left="120"/>
              <w:spacing w:after="0" w:line="73" w:lineRule="exact"/>
              <w:rPr>
                <w:sz w:val="20"/>
                <w:szCs w:val="20"/>
                <w:color w:val="auto"/>
              </w:rPr>
            </w:pPr>
            <w:r>
              <w:rPr>
                <w:rFonts w:ascii="Arial" w:cs="Arial" w:eastAsia="Arial" w:hAnsi="Arial"/>
                <w:sz w:val="8"/>
                <w:szCs w:val="8"/>
                <w:color w:val="auto"/>
              </w:rPr>
              <w:t>$</w:t>
            </w: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ind w:left="100"/>
              <w:spacing w:after="0" w:line="73" w:lineRule="exact"/>
              <w:rPr>
                <w:sz w:val="20"/>
                <w:szCs w:val="20"/>
                <w:color w:val="auto"/>
              </w:rPr>
            </w:pPr>
            <w:r>
              <w:rPr>
                <w:rFonts w:ascii="Arial" w:cs="Arial" w:eastAsia="Arial" w:hAnsi="Arial"/>
                <w:sz w:val="8"/>
                <w:szCs w:val="8"/>
                <w:color w:val="auto"/>
              </w:rPr>
              <w:t>$</w:t>
            </w: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ind w:left="140"/>
              <w:spacing w:after="0" w:line="73" w:lineRule="exact"/>
              <w:rPr>
                <w:sz w:val="20"/>
                <w:szCs w:val="20"/>
                <w:color w:val="auto"/>
              </w:rPr>
            </w:pPr>
            <w:r>
              <w:rPr>
                <w:rFonts w:ascii="Arial" w:cs="Arial" w:eastAsia="Arial" w:hAnsi="Arial"/>
                <w:sz w:val="8"/>
                <w:szCs w:val="8"/>
                <w:color w:val="auto"/>
              </w:rPr>
              <w:t>$</w:t>
            </w:r>
          </w:p>
        </w:tc>
        <w:tc>
          <w:tcPr>
            <w:tcW w:w="920" w:type="dxa"/>
            <w:vAlign w:val="bottom"/>
            <w:gridSpan w:val="2"/>
          </w:tcPr>
          <w:p>
            <w:pPr>
              <w:jc w:val="right"/>
              <w:spacing w:after="0" w:line="73" w:lineRule="exact"/>
              <w:rPr>
                <w:sz w:val="20"/>
                <w:szCs w:val="20"/>
                <w:color w:val="auto"/>
              </w:rPr>
            </w:pPr>
            <w:r>
              <w:rPr>
                <w:rFonts w:ascii="Arial" w:cs="Arial" w:eastAsia="Arial" w:hAnsi="Arial"/>
                <w:sz w:val="8"/>
                <w:szCs w:val="8"/>
                <w:color w:val="auto"/>
              </w:rPr>
              <w:t>505,345(13)</w:t>
            </w:r>
          </w:p>
        </w:tc>
        <w:tc>
          <w:tcPr>
            <w:tcW w:w="300" w:type="dxa"/>
            <w:vAlign w:val="bottom"/>
          </w:tcPr>
          <w:p>
            <w:pPr>
              <w:ind w:left="160"/>
              <w:spacing w:after="0" w:line="73" w:lineRule="exact"/>
              <w:rPr>
                <w:sz w:val="20"/>
                <w:szCs w:val="20"/>
                <w:color w:val="auto"/>
              </w:rPr>
            </w:pPr>
            <w:r>
              <w:rPr>
                <w:rFonts w:ascii="Arial" w:cs="Arial" w:eastAsia="Arial" w:hAnsi="Arial"/>
                <w:sz w:val="8"/>
                <w:szCs w:val="8"/>
                <w:color w:val="auto"/>
              </w:rPr>
              <w:t>$</w:t>
            </w:r>
          </w:p>
        </w:tc>
        <w:tc>
          <w:tcPr>
            <w:tcW w:w="7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ind w:left="40"/>
              <w:spacing w:after="0" w:line="73"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224"/>
              <w:spacing w:after="0" w:line="131"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1"/>
                <w:szCs w:val="11"/>
                <w:color w:val="auto"/>
              </w:rPr>
            </w:pPr>
          </w:p>
        </w:tc>
        <w:tc>
          <w:tcPr>
            <w:tcW w:w="200" w:type="dxa"/>
            <w:vAlign w:val="bottom"/>
          </w:tcPr>
          <w:p>
            <w:pPr>
              <w:jc w:val="right"/>
              <w:ind w:right="29"/>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31"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450,000</w:t>
            </w:r>
          </w:p>
        </w:tc>
        <w:tc>
          <w:tcPr>
            <w:tcW w:w="16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240" w:type="dxa"/>
            <w:vAlign w:val="bottom"/>
          </w:tcPr>
          <w:p>
            <w:pPr>
              <w:ind w:left="60"/>
              <w:spacing w:after="0" w:line="131" w:lineRule="exact"/>
              <w:rPr>
                <w:sz w:val="20"/>
                <w:szCs w:val="20"/>
                <w:color w:val="auto"/>
              </w:rPr>
            </w:pPr>
            <w:r>
              <w:rPr>
                <w:rFonts w:ascii="Arial" w:cs="Arial" w:eastAsia="Arial" w:hAnsi="Arial"/>
                <w:sz w:val="14"/>
                <w:szCs w:val="14"/>
                <w:color w:val="auto"/>
              </w:rPr>
              <w:t>​ ​</w:t>
            </w:r>
          </w:p>
        </w:tc>
        <w:tc>
          <w:tcPr>
            <w:tcW w:w="840" w:type="dxa"/>
            <w:vAlign w:val="bottom"/>
          </w:tcPr>
          <w:p>
            <w:pPr>
              <w:jc w:val="right"/>
              <w:ind w:right="31"/>
              <w:spacing w:after="0" w:line="131"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31" w:lineRule="exact"/>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63"/>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31"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31"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848,630</w:t>
            </w:r>
          </w:p>
        </w:tc>
        <w:tc>
          <w:tcPr>
            <w:tcW w:w="4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80" w:type="dxa"/>
            <w:vAlign w:val="bottom"/>
            <w:tcBorders>
              <w:bottom w:val="single" w:sz="8" w:color="00C08A"/>
            </w:tcBorders>
          </w:tcPr>
          <w:p>
            <w:pPr>
              <w:spacing w:after="0"/>
              <w:rPr>
                <w:sz w:val="9"/>
                <w:szCs w:val="9"/>
                <w:color w:val="auto"/>
              </w:rPr>
            </w:pPr>
          </w:p>
        </w:tc>
        <w:tc>
          <w:tcPr>
            <w:tcW w:w="180" w:type="dxa"/>
            <w:vAlign w:val="bottom"/>
            <w:tcBorders>
              <w:bottom w:val="single" w:sz="8" w:color="00C08A"/>
            </w:tcBorders>
          </w:tcPr>
          <w:p>
            <w:pPr>
              <w:spacing w:after="0"/>
              <w:rPr>
                <w:sz w:val="9"/>
                <w:szCs w:val="9"/>
                <w:color w:val="auto"/>
              </w:rPr>
            </w:pPr>
          </w:p>
        </w:tc>
        <w:tc>
          <w:tcPr>
            <w:tcW w:w="400" w:type="dxa"/>
            <w:vAlign w:val="bottom"/>
            <w:tcBorders>
              <w:bottom w:val="single" w:sz="8" w:color="00C08A"/>
            </w:tcBorders>
          </w:tcPr>
          <w:p>
            <w:pPr>
              <w:jc w:val="right"/>
              <w:spacing w:after="0" w:line="108" w:lineRule="exact"/>
              <w:rPr>
                <w:sz w:val="20"/>
                <w:szCs w:val="20"/>
                <w:color w:val="auto"/>
              </w:rPr>
            </w:pPr>
            <w:r>
              <w:rPr>
                <w:rFonts w:ascii="Arial" w:cs="Arial" w:eastAsia="Arial" w:hAnsi="Arial"/>
                <w:sz w:val="12"/>
                <w:szCs w:val="12"/>
                <w:color w:val="auto"/>
              </w:rPr>
              <w:t>​2020</w:t>
            </w:r>
          </w:p>
        </w:tc>
        <w:tc>
          <w:tcPr>
            <w:tcW w:w="240" w:type="dxa"/>
            <w:vAlign w:val="bottom"/>
            <w:tcBorders>
              <w:bottom w:val="single" w:sz="8" w:color="00C08A"/>
            </w:tcBorders>
          </w:tcPr>
          <w:p>
            <w:pPr>
              <w:ind w:left="120"/>
              <w:spacing w:after="0" w:line="108"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00C08A"/>
            </w:tcBorders>
            <w:gridSpan w:val="3"/>
          </w:tcPr>
          <w:p>
            <w:pPr>
              <w:jc w:val="right"/>
              <w:ind w:right="3"/>
              <w:spacing w:after="0" w:line="108" w:lineRule="exact"/>
              <w:rPr>
                <w:sz w:val="20"/>
                <w:szCs w:val="20"/>
                <w:color w:val="auto"/>
              </w:rPr>
            </w:pPr>
            <w:r>
              <w:rPr>
                <w:rFonts w:ascii="Arial" w:cs="Arial" w:eastAsia="Arial" w:hAnsi="Arial"/>
                <w:sz w:val="12"/>
                <w:szCs w:val="12"/>
                <w:color w:val="auto"/>
              </w:rPr>
              <w:t>98,630(11) $</w:t>
            </w:r>
          </w:p>
        </w:tc>
        <w:tc>
          <w:tcPr>
            <w:tcW w:w="600" w:type="dxa"/>
            <w:vAlign w:val="bottom"/>
            <w:tcBorders>
              <w:bottom w:val="single" w:sz="8" w:color="00C08A"/>
            </w:tcBorders>
            <w:vMerge w:val="continue"/>
          </w:tcPr>
          <w:p>
            <w:pPr>
              <w:spacing w:after="0"/>
              <w:rPr>
                <w:sz w:val="9"/>
                <w:szCs w:val="9"/>
                <w:color w:val="auto"/>
              </w:rPr>
            </w:pPr>
          </w:p>
        </w:tc>
        <w:tc>
          <w:tcPr>
            <w:tcW w:w="160" w:type="dxa"/>
            <w:vAlign w:val="bottom"/>
            <w:tcBorders>
              <w:bottom w:val="single" w:sz="8" w:color="00C08A"/>
            </w:tcBorders>
          </w:tcPr>
          <w:p>
            <w:pPr>
              <w:spacing w:after="0"/>
              <w:rPr>
                <w:sz w:val="9"/>
                <w:szCs w:val="9"/>
                <w:color w:val="auto"/>
              </w:rPr>
            </w:pPr>
          </w:p>
        </w:tc>
        <w:tc>
          <w:tcPr>
            <w:tcW w:w="240" w:type="dxa"/>
            <w:vAlign w:val="bottom"/>
            <w:tcBorders>
              <w:bottom w:val="single" w:sz="8" w:color="00C08A"/>
            </w:tcBorders>
          </w:tcPr>
          <w:p>
            <w:pPr>
              <w:ind w:left="140"/>
              <w:spacing w:after="0" w:line="108"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00C08A"/>
            </w:tcBorders>
            <w:gridSpan w:val="2"/>
          </w:tcPr>
          <w:p>
            <w:pPr>
              <w:jc w:val="right"/>
              <w:spacing w:after="0" w:line="108" w:lineRule="exact"/>
              <w:rPr>
                <w:sz w:val="20"/>
                <w:szCs w:val="20"/>
                <w:color w:val="auto"/>
              </w:rPr>
            </w:pPr>
            <w:r>
              <w:rPr>
                <w:rFonts w:ascii="Arial" w:cs="Arial" w:eastAsia="Arial" w:hAnsi="Arial"/>
                <w:sz w:val="12"/>
                <w:szCs w:val="12"/>
                <w:color w:val="auto"/>
              </w:rPr>
              <w:t>300,000(13)</w:t>
            </w:r>
          </w:p>
        </w:tc>
        <w:tc>
          <w:tcPr>
            <w:tcW w:w="300" w:type="dxa"/>
            <w:vAlign w:val="bottom"/>
            <w:tcBorders>
              <w:bottom w:val="single" w:sz="8" w:color="00C08A"/>
            </w:tcBorders>
          </w:tcPr>
          <w:p>
            <w:pPr>
              <w:ind w:left="160"/>
              <w:spacing w:after="0" w:line="108" w:lineRule="exact"/>
              <w:rPr>
                <w:sz w:val="20"/>
                <w:szCs w:val="20"/>
                <w:color w:val="auto"/>
              </w:rPr>
            </w:pPr>
            <w:r>
              <w:rPr>
                <w:rFonts w:ascii="Arial" w:cs="Arial" w:eastAsia="Arial" w:hAnsi="Arial"/>
                <w:sz w:val="12"/>
                <w:szCs w:val="12"/>
                <w:color w:val="auto"/>
              </w:rPr>
              <w:t>$</w:t>
            </w:r>
          </w:p>
        </w:tc>
        <w:tc>
          <w:tcPr>
            <w:tcW w:w="700" w:type="dxa"/>
            <w:vAlign w:val="bottom"/>
            <w:tcBorders>
              <w:bottom w:val="single" w:sz="8" w:color="00C08A"/>
            </w:tcBorders>
            <w:vMerge w:val="continue"/>
          </w:tcPr>
          <w:p>
            <w:pPr>
              <w:spacing w:after="0"/>
              <w:rPr>
                <w:sz w:val="9"/>
                <w:szCs w:val="9"/>
                <w:color w:val="auto"/>
              </w:rPr>
            </w:pPr>
          </w:p>
        </w:tc>
        <w:tc>
          <w:tcPr>
            <w:tcW w:w="200" w:type="dxa"/>
            <w:vAlign w:val="bottom"/>
            <w:tcBorders>
              <w:bottom w:val="single" w:sz="8" w:color="00C08A"/>
            </w:tcBorders>
          </w:tcPr>
          <w:p>
            <w:pPr>
              <w:spacing w:after="0"/>
              <w:rPr>
                <w:sz w:val="9"/>
                <w:szCs w:val="9"/>
                <w:color w:val="auto"/>
              </w:rPr>
            </w:pPr>
          </w:p>
        </w:tc>
        <w:tc>
          <w:tcPr>
            <w:tcW w:w="100" w:type="dxa"/>
            <w:vAlign w:val="bottom"/>
            <w:tcBorders>
              <w:bottom w:val="single" w:sz="8" w:color="00C08A"/>
            </w:tcBorders>
          </w:tcPr>
          <w:p>
            <w:pPr>
              <w:spacing w:after="0"/>
              <w:rPr>
                <w:sz w:val="9"/>
                <w:szCs w:val="9"/>
                <w:color w:val="auto"/>
              </w:rPr>
            </w:pPr>
          </w:p>
        </w:tc>
        <w:tc>
          <w:tcPr>
            <w:tcW w:w="180" w:type="dxa"/>
            <w:vAlign w:val="bottom"/>
            <w:tcBorders>
              <w:bottom w:val="single" w:sz="8" w:color="00C08A"/>
            </w:tcBorders>
            <w:vMerge w:val="continue"/>
          </w:tcPr>
          <w:p>
            <w:pPr>
              <w:spacing w:after="0"/>
              <w:rPr>
                <w:sz w:val="9"/>
                <w:szCs w:val="9"/>
                <w:color w:val="auto"/>
              </w:rPr>
            </w:pPr>
          </w:p>
        </w:tc>
        <w:tc>
          <w:tcPr>
            <w:tcW w:w="640" w:type="dxa"/>
            <w:vAlign w:val="bottom"/>
            <w:tcBorders>
              <w:bottom w:val="single" w:sz="8" w:color="00C08A"/>
            </w:tcBorders>
            <w:vMerge w:val="continue"/>
          </w:tcPr>
          <w:p>
            <w:pPr>
              <w:spacing w:after="0"/>
              <w:rPr>
                <w:sz w:val="9"/>
                <w:szCs w:val="9"/>
                <w:color w:val="auto"/>
              </w:rPr>
            </w:pPr>
          </w:p>
        </w:tc>
        <w:tc>
          <w:tcPr>
            <w:tcW w:w="220" w:type="dxa"/>
            <w:vAlign w:val="bottom"/>
            <w:tcBorders>
              <w:bottom w:val="single" w:sz="8" w:color="00C08A"/>
            </w:tcBorders>
          </w:tcPr>
          <w:p>
            <w:pPr>
              <w:spacing w:after="0"/>
              <w:rPr>
                <w:sz w:val="9"/>
                <w:szCs w:val="9"/>
                <w:color w:val="auto"/>
              </w:rPr>
            </w:pPr>
          </w:p>
        </w:tc>
        <w:tc>
          <w:tcPr>
            <w:tcW w:w="120" w:type="dxa"/>
            <w:vAlign w:val="bottom"/>
            <w:tcBorders>
              <w:bottom w:val="single" w:sz="8" w:color="00C08A"/>
            </w:tcBorders>
          </w:tcPr>
          <w:p>
            <w:pPr>
              <w:spacing w:after="0"/>
              <w:rPr>
                <w:sz w:val="9"/>
                <w:szCs w:val="9"/>
                <w:color w:val="auto"/>
              </w:rPr>
            </w:pPr>
          </w:p>
        </w:tc>
        <w:tc>
          <w:tcPr>
            <w:tcW w:w="120" w:type="dxa"/>
            <w:vAlign w:val="bottom"/>
            <w:tcBorders>
              <w:bottom w:val="single" w:sz="8" w:color="00C08A"/>
            </w:tcBorders>
          </w:tcPr>
          <w:p>
            <w:pPr>
              <w:ind w:left="40"/>
              <w:spacing w:after="0" w:line="108" w:lineRule="exact"/>
              <w:rPr>
                <w:sz w:val="20"/>
                <w:szCs w:val="20"/>
                <w:color w:val="auto"/>
              </w:rPr>
            </w:pPr>
            <w:r>
              <w:rPr>
                <w:rFonts w:ascii="Arial" w:cs="Arial" w:eastAsia="Arial" w:hAnsi="Arial"/>
                <w:sz w:val="12"/>
                <w:szCs w:val="12"/>
                <w:color w:val="auto"/>
                <w:w w:val="89"/>
              </w:rPr>
              <w:t>$</w:t>
            </w:r>
          </w:p>
        </w:tc>
        <w:tc>
          <w:tcPr>
            <w:tcW w:w="60" w:type="dxa"/>
            <w:vAlign w:val="bottom"/>
            <w:tcBorders>
              <w:bottom w:val="single" w:sz="8" w:color="00C08A"/>
            </w:tcBorders>
          </w:tcPr>
          <w:p>
            <w:pPr>
              <w:spacing w:after="0"/>
              <w:rPr>
                <w:sz w:val="9"/>
                <w:szCs w:val="9"/>
                <w:color w:val="auto"/>
              </w:rPr>
            </w:pPr>
          </w:p>
        </w:tc>
        <w:tc>
          <w:tcPr>
            <w:tcW w:w="660" w:type="dxa"/>
            <w:vAlign w:val="bottom"/>
            <w:tcBorders>
              <w:bottom w:val="single" w:sz="8" w:color="00C08A"/>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-2091055</wp:posOffset>
            </wp:positionV>
            <wp:extent cx="5829300" cy="420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29300" cy="4203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-1259205</wp:posOffset>
            </wp:positionV>
            <wp:extent cx="5829300" cy="411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0" cy="41148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-436245</wp:posOffset>
            </wp:positionV>
            <wp:extent cx="5829300" cy="428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428625"/>
                    </a:xfrm>
                    <a:prstGeom prst="rect">
                      <a:avLst/>
                    </a:prstGeom>
                    <a:noFill/>
                  </pic:spPr>
                </pic:pic>
              </a:graphicData>
            </a:graphic>
          </wp:anchor>
        </w:drawing>
      </w:r>
    </w:p>
    <w:p>
      <w:pPr>
        <w:spacing w:after="0" w:line="52" w:lineRule="exact"/>
        <w:rPr>
          <w:sz w:val="20"/>
          <w:szCs w:val="20"/>
          <w:color w:val="auto"/>
        </w:rPr>
      </w:pPr>
    </w:p>
    <w:p>
      <w:pPr>
        <w:ind w:left="1080" w:right="180" w:hanging="318"/>
        <w:spacing w:after="0" w:line="268" w:lineRule="auto"/>
        <w:tabs>
          <w:tab w:leader="none" w:pos="10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Each amount represents the cash component of the portion of each named executive officer’s annual bonus that was based on the achievement of qualitative goals. For Mr. Cifu, the cash component of his annual bonus was 50% for fiscal years 2022, 2021 and 2020, for Mr. Molluso this was 50% for fiscal years 2022, 2021 and 2020, for Mr. Fairclough this was 50% for 2022 and 2021 and 53% for fiscal year</w:t>
      </w:r>
    </w:p>
    <w:p>
      <w:pPr>
        <w:ind w:left="1080" w:right="100"/>
        <w:spacing w:after="0" w:line="268" w:lineRule="auto"/>
        <w:rPr>
          <w:rFonts w:ascii="Arial" w:cs="Arial" w:eastAsia="Arial" w:hAnsi="Arial"/>
          <w:sz w:val="14"/>
          <w:szCs w:val="14"/>
          <w:color w:val="auto"/>
        </w:rPr>
      </w:pPr>
      <w:r>
        <w:rPr>
          <w:rFonts w:ascii="Arial" w:cs="Arial" w:eastAsia="Arial" w:hAnsi="Arial"/>
          <w:sz w:val="14"/>
          <w:szCs w:val="14"/>
          <w:color w:val="auto"/>
        </w:rPr>
        <w:t>2020, for Mr. Cavoli, this was 50% for 2022 and 2021 and 53% for fiscal year 2020, and for Mr. Galvin this was 60% for 202 and 2021 and 100% for fiscal year 2020. The remainder in each year was paid in the form of restricted stock units and fully vested shares of our Class A common stock which are reflected in the “Stock Awards” column in the table above. In addition, the amounts reported in this column include</w:t>
      </w:r>
    </w:p>
    <w:p>
      <w:pPr>
        <w:ind w:left="1080" w:right="300"/>
        <w:spacing w:after="0" w:line="278" w:lineRule="auto"/>
        <w:rPr>
          <w:rFonts w:ascii="Arial" w:cs="Arial" w:eastAsia="Arial" w:hAnsi="Arial"/>
          <w:sz w:val="14"/>
          <w:szCs w:val="14"/>
          <w:color w:val="auto"/>
        </w:rPr>
      </w:pPr>
      <w:r>
        <w:rPr>
          <w:rFonts w:ascii="Arial" w:cs="Arial" w:eastAsia="Arial" w:hAnsi="Arial"/>
          <w:sz w:val="14"/>
          <w:szCs w:val="14"/>
          <w:color w:val="auto"/>
        </w:rPr>
        <w:t>the 100% cash component of Mr. Molluso’s 2020 sign on bonus award in the amount of $2,500,000, described further below under “Employment Agreement with Mr. Molluso” and the 50% cash component of Mr. Molluso’s guaranteed annual bonus for fiscal year 2020.</w:t>
      </w:r>
    </w:p>
    <w:p>
      <w:pPr>
        <w:spacing w:after="0" w:line="27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31" w:lineRule="exact"/>
        <w:rPr>
          <w:sz w:val="20"/>
          <w:szCs w:val="20"/>
          <w:color w:val="auto"/>
        </w:rPr>
      </w:pPr>
    </w:p>
    <w:p>
      <w:pPr>
        <w:ind w:left="1080" w:right="100" w:hanging="318"/>
        <w:spacing w:after="0" w:line="271"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w:t>
      </w:r>
    </w:p>
    <w:p>
      <w:pPr>
        <w:ind w:left="1080" w:right="180"/>
        <w:spacing w:after="0" w:line="268" w:lineRule="auto"/>
        <w:rPr>
          <w:rFonts w:ascii="Arial" w:cs="Arial" w:eastAsia="Arial" w:hAnsi="Arial"/>
          <w:sz w:val="14"/>
          <w:szCs w:val="14"/>
          <w:color w:val="auto"/>
        </w:rPr>
      </w:pPr>
      <w:r>
        <w:rPr>
          <w:rFonts w:ascii="Arial" w:cs="Arial" w:eastAsia="Arial" w:hAnsi="Arial"/>
          <w:sz w:val="14"/>
          <w:szCs w:val="14"/>
          <w:color w:val="auto"/>
        </w:rPr>
        <w:t>amounts are described in Note 19 of the Company’s audited financial statements for the fiscal years ended December 31, 2022, December 31, 2021, and December 31, 2020, included in our Annual Report on Form 10-K for the fiscal years ended December 31, 2022, December 31, 2021, and December 31, 2020, respectively. The grant of restricted stock units and fully vested shares of our Class A</w:t>
      </w:r>
    </w:p>
    <w:p>
      <w:pPr>
        <w:ind w:left="1080" w:right="220"/>
        <w:spacing w:after="0" w:line="278" w:lineRule="auto"/>
        <w:rPr>
          <w:rFonts w:ascii="Arial" w:cs="Arial" w:eastAsia="Arial" w:hAnsi="Arial"/>
          <w:sz w:val="14"/>
          <w:szCs w:val="14"/>
          <w:color w:val="auto"/>
        </w:rPr>
      </w:pPr>
      <w:r>
        <w:rPr>
          <w:rFonts w:ascii="Arial" w:cs="Arial" w:eastAsia="Arial" w:hAnsi="Arial"/>
          <w:sz w:val="14"/>
          <w:szCs w:val="14"/>
          <w:color w:val="auto"/>
        </w:rPr>
        <w:t>common stock relate to the settlement of Mr. Cifu’s 2022 annual bonus, 2021 annual bonus and 2020 annual bonus, however, the awards were actually granted in fiscal years 2023, 2022 and 2021, respectively.</w:t>
      </w:r>
    </w:p>
    <w:p>
      <w:pPr>
        <w:spacing w:after="0" w:line="99" w:lineRule="exact"/>
        <w:rPr>
          <w:rFonts w:ascii="Arial" w:cs="Arial" w:eastAsia="Arial" w:hAnsi="Arial"/>
          <w:sz w:val="14"/>
          <w:szCs w:val="14"/>
          <w:color w:val="auto"/>
        </w:rPr>
      </w:pPr>
    </w:p>
    <w:p>
      <w:pPr>
        <w:ind w:left="1080" w:right="220" w:hanging="318"/>
        <w:spacing w:after="0" w:line="280"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Cifu’s annual bonus that was based on achievement of performance goals, which was 50% for fiscal years 2022, 2021 and 2020. The remainder in each year was paid in the form of restricted stock units and fully vested shares of our Class A common stock which are reflected in the “Stock Awards” column in the table above.</w:t>
      </w:r>
    </w:p>
    <w:p>
      <w:pPr>
        <w:spacing w:after="0" w:line="98" w:lineRule="exact"/>
        <w:rPr>
          <w:rFonts w:ascii="Arial" w:cs="Arial" w:eastAsia="Arial" w:hAnsi="Arial"/>
          <w:sz w:val="14"/>
          <w:szCs w:val="14"/>
          <w:color w:val="auto"/>
        </w:rPr>
      </w:pPr>
    </w:p>
    <w:p>
      <w:pPr>
        <w:ind w:left="1080" w:right="280" w:hanging="318"/>
        <w:spacing w:after="0" w:line="280"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cost of providing transportation services to Mr. Cifu for fiscal years 2022, 2021 and 2020, as well as certain amounts paid to Mr. Cifu pursuant to the indemnification provisions of the Virtu Financial LLC operating agreement in connection with the settlement of a partnership tax audit related to prior periods.</w:t>
      </w:r>
    </w:p>
    <w:p>
      <w:pPr>
        <w:spacing w:after="0" w:line="98" w:lineRule="exact"/>
        <w:rPr>
          <w:rFonts w:ascii="Arial" w:cs="Arial" w:eastAsia="Arial" w:hAnsi="Arial"/>
          <w:sz w:val="14"/>
          <w:szCs w:val="14"/>
          <w:color w:val="auto"/>
        </w:rPr>
      </w:pPr>
    </w:p>
    <w:p>
      <w:pPr>
        <w:ind w:left="1080" w:right="80" w:hanging="318"/>
        <w:spacing w:after="0" w:line="278"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Molluso’s employment with the Company commenced on June 22, 2020, and as a result the amount reported is a prorated portion of his $500,000 annualized base salary for the year ended December 31, 2022.</w:t>
      </w:r>
    </w:p>
    <w:p>
      <w:pPr>
        <w:spacing w:after="0" w:line="99" w:lineRule="exact"/>
        <w:rPr>
          <w:rFonts w:ascii="Arial" w:cs="Arial" w:eastAsia="Arial" w:hAnsi="Arial"/>
          <w:sz w:val="14"/>
          <w:szCs w:val="14"/>
          <w:color w:val="auto"/>
        </w:rPr>
      </w:pPr>
    </w:p>
    <w:p>
      <w:pPr>
        <w:ind w:left="1080" w:right="380" w:hanging="318"/>
        <w:spacing w:after="0" w:line="271"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The amount includes Mr. Molluso’s</w:t>
      </w:r>
    </w:p>
    <w:p>
      <w:pPr>
        <w:ind w:left="1080" w:right="80"/>
        <w:spacing w:after="0" w:line="268" w:lineRule="auto"/>
        <w:rPr>
          <w:rFonts w:ascii="Arial" w:cs="Arial" w:eastAsia="Arial" w:hAnsi="Arial"/>
          <w:sz w:val="14"/>
          <w:szCs w:val="14"/>
          <w:color w:val="auto"/>
        </w:rPr>
      </w:pPr>
      <w:r>
        <w:rPr>
          <w:rFonts w:ascii="Arial" w:cs="Arial" w:eastAsia="Arial" w:hAnsi="Arial"/>
          <w:sz w:val="14"/>
          <w:szCs w:val="14"/>
          <w:color w:val="auto"/>
        </w:rPr>
        <w:t>sign-on equity award of 200,000 RSUs in fiscal year 2020 with a grant date fair value of $4,720,000, which was granted as compensation for the forfeiture of equity interests associated with his resignation from a prior employer. Assumptions used in calculating these amounts are described in Note 19 of the Company’s audited financial statements for the fiscal years ended December 31, 2022, December 31, 2021,</w:t>
      </w:r>
    </w:p>
    <w:p>
      <w:pPr>
        <w:ind w:left="1080" w:right="140"/>
        <w:spacing w:after="0" w:line="273" w:lineRule="auto"/>
        <w:rPr>
          <w:rFonts w:ascii="Arial" w:cs="Arial" w:eastAsia="Arial" w:hAnsi="Arial"/>
          <w:sz w:val="14"/>
          <w:szCs w:val="14"/>
          <w:color w:val="auto"/>
        </w:rPr>
      </w:pPr>
      <w:r>
        <w:rPr>
          <w:rFonts w:ascii="Arial" w:cs="Arial" w:eastAsia="Arial" w:hAnsi="Arial"/>
          <w:sz w:val="14"/>
          <w:szCs w:val="14"/>
          <w:color w:val="auto"/>
        </w:rPr>
        <w:t>and December 31, 2020, included in our Annual Report on Form 10-K for the fiscal years ended December 31, 2022, December 31, 2021, and December 31, 2020. The grant of restricted stock units and fully vested shares of our Class A common stock relate to the settlement of Mr. Molluso’s 2022 annual bonus, 2021 annual bonus and 2020 annual bonus, however, the awards were actually granted in the beginning of fiscal years 2023, 2022 and 2021, respectively</w:t>
      </w:r>
    </w:p>
    <w:p>
      <w:pPr>
        <w:spacing w:after="0" w:line="104" w:lineRule="exact"/>
        <w:rPr>
          <w:rFonts w:ascii="Arial" w:cs="Arial" w:eastAsia="Arial" w:hAnsi="Arial"/>
          <w:sz w:val="14"/>
          <w:szCs w:val="14"/>
          <w:color w:val="auto"/>
        </w:rPr>
      </w:pPr>
    </w:p>
    <w:p>
      <w:pPr>
        <w:ind w:left="1080" w:right="220" w:hanging="318"/>
        <w:spacing w:after="0" w:line="280"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Molluso’s annual bonus that was based on achievement of performance goals, which was 50% for fiscal years 2022 and 2021 and 0% for fiscal year 2020. The remainder was paid in the form of restricted stock units and fully vested shares of our Class A common stock which are reflected in the “Stock Awards” column in the table above.</w:t>
      </w:r>
    </w:p>
    <w:p>
      <w:pPr>
        <w:spacing w:after="0" w:line="98" w:lineRule="exact"/>
        <w:rPr>
          <w:rFonts w:ascii="Arial" w:cs="Arial" w:eastAsia="Arial" w:hAnsi="Arial"/>
          <w:sz w:val="14"/>
          <w:szCs w:val="14"/>
          <w:color w:val="auto"/>
        </w:rPr>
      </w:pPr>
    </w:p>
    <w:p>
      <w:pPr>
        <w:ind w:left="1080" w:right="140" w:hanging="318"/>
        <w:spacing w:after="0" w:line="268"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19 of the Company’s audited financial statements for the fiscal years ended December 31, 2022,</w:t>
      </w:r>
    </w:p>
    <w:p>
      <w:pPr>
        <w:ind w:left="1080" w:right="180"/>
        <w:spacing w:after="0" w:line="273" w:lineRule="auto"/>
        <w:rPr>
          <w:rFonts w:ascii="Arial" w:cs="Arial" w:eastAsia="Arial" w:hAnsi="Arial"/>
          <w:sz w:val="14"/>
          <w:szCs w:val="14"/>
          <w:color w:val="auto"/>
        </w:rPr>
      </w:pPr>
      <w:r>
        <w:rPr>
          <w:rFonts w:ascii="Arial" w:cs="Arial" w:eastAsia="Arial" w:hAnsi="Arial"/>
          <w:sz w:val="14"/>
          <w:szCs w:val="14"/>
          <w:color w:val="auto"/>
        </w:rPr>
        <w:t>December 31, 2021, and December 31, 2020, included in our Annual Report on Form 10-K for the fiscal years ended December 31, 2022, December 31, 2021, and December 31, 2020, respectively. The grant of restricted stock units and fully vested shares of our Class A common stock relate to the settlement of Mr. Fairclough’s 2022 annual bonus, 2021 annual bonus and 2020 annual bonus, however, the awards were actually granted in fiscal years 2023, 2022 and 2021, respectively.</w:t>
      </w:r>
    </w:p>
    <w:p>
      <w:pPr>
        <w:spacing w:after="0" w:line="104" w:lineRule="exact"/>
        <w:rPr>
          <w:rFonts w:ascii="Arial" w:cs="Arial" w:eastAsia="Arial" w:hAnsi="Arial"/>
          <w:sz w:val="14"/>
          <w:szCs w:val="14"/>
          <w:color w:val="auto"/>
        </w:rPr>
      </w:pPr>
    </w:p>
    <w:p>
      <w:pPr>
        <w:ind w:left="1080" w:right="340" w:hanging="318"/>
        <w:spacing w:after="0" w:line="273"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Fairclough’s annual bonus that was based on achievement of performance goals, which was 50% for fiscal years 2022 and 2021 and 53% for fiscal year 2020. The remainder was paid in the form of restricted stock units and fully vested shares of our Class A common stock which are reflected in the “Stock Awards” column in the table above.</w:t>
      </w:r>
    </w:p>
    <w:p>
      <w:pPr>
        <w:spacing w:after="0" w:line="104" w:lineRule="exact"/>
        <w:rPr>
          <w:rFonts w:ascii="Arial" w:cs="Arial" w:eastAsia="Arial" w:hAnsi="Arial"/>
          <w:sz w:val="14"/>
          <w:szCs w:val="14"/>
          <w:color w:val="auto"/>
        </w:rPr>
      </w:pPr>
    </w:p>
    <w:p>
      <w:pPr>
        <w:ind w:left="1080" w:right="140" w:hanging="318"/>
        <w:spacing w:after="0" w:line="271"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w:t>
      </w:r>
    </w:p>
    <w:p>
      <w:pPr>
        <w:ind w:left="1080" w:right="180"/>
        <w:spacing w:after="0" w:line="268" w:lineRule="auto"/>
        <w:rPr>
          <w:rFonts w:ascii="Arial" w:cs="Arial" w:eastAsia="Arial" w:hAnsi="Arial"/>
          <w:sz w:val="14"/>
          <w:szCs w:val="14"/>
          <w:color w:val="auto"/>
        </w:rPr>
      </w:pPr>
      <w:r>
        <w:rPr>
          <w:rFonts w:ascii="Arial" w:cs="Arial" w:eastAsia="Arial" w:hAnsi="Arial"/>
          <w:sz w:val="14"/>
          <w:szCs w:val="14"/>
          <w:color w:val="auto"/>
        </w:rPr>
        <w:t>amounts are described in Note 19 of the Company’s audited financial statements for the fiscal years ended December 31, 2022, December 31, 2021, and December 31, 2020, included in our Annual Report on Form 10-K for the fiscal years ended December 31, 2022, December 31, 2021, and December 31, 2020, respectively. The grant of restricted stock units and fully vested shares of our Class A</w:t>
      </w:r>
    </w:p>
    <w:p>
      <w:pPr>
        <w:ind w:left="1080" w:right="180"/>
        <w:spacing w:after="0" w:line="278" w:lineRule="auto"/>
        <w:rPr>
          <w:rFonts w:ascii="Arial" w:cs="Arial" w:eastAsia="Arial" w:hAnsi="Arial"/>
          <w:sz w:val="14"/>
          <w:szCs w:val="14"/>
          <w:color w:val="auto"/>
        </w:rPr>
      </w:pPr>
      <w:r>
        <w:rPr>
          <w:rFonts w:ascii="Arial" w:cs="Arial" w:eastAsia="Arial" w:hAnsi="Arial"/>
          <w:sz w:val="14"/>
          <w:szCs w:val="14"/>
          <w:color w:val="auto"/>
        </w:rPr>
        <w:t>common stock relate to the settlement of Mr. Cavoli’s 2022, 2021 and 2020 annual bonuses, however, the awards were actually granted in the beginning of fiscal years 2023, 2022 and 2021, respectively.</w:t>
      </w:r>
    </w:p>
    <w:p>
      <w:pPr>
        <w:spacing w:after="0" w:line="99" w:lineRule="exact"/>
        <w:rPr>
          <w:rFonts w:ascii="Arial" w:cs="Arial" w:eastAsia="Arial" w:hAnsi="Arial"/>
          <w:sz w:val="14"/>
          <w:szCs w:val="14"/>
          <w:color w:val="auto"/>
        </w:rPr>
      </w:pPr>
    </w:p>
    <w:p>
      <w:pPr>
        <w:ind w:left="1080" w:hanging="318"/>
        <w:spacing w:after="0"/>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Cavoli’s annual bonus that was based on achievement of performance</w:t>
      </w:r>
    </w:p>
    <w:p>
      <w:pPr>
        <w:spacing w:after="0" w:line="28" w:lineRule="exact"/>
        <w:rPr>
          <w:rFonts w:ascii="Arial" w:cs="Arial" w:eastAsia="Arial" w:hAnsi="Arial"/>
          <w:sz w:val="14"/>
          <w:szCs w:val="14"/>
          <w:color w:val="auto"/>
        </w:rPr>
      </w:pPr>
    </w:p>
    <w:p>
      <w:pPr>
        <w:ind w:left="1080" w:right="500"/>
        <w:spacing w:after="0" w:line="278" w:lineRule="auto"/>
        <w:rPr>
          <w:rFonts w:ascii="Arial" w:cs="Arial" w:eastAsia="Arial" w:hAnsi="Arial"/>
          <w:sz w:val="14"/>
          <w:szCs w:val="14"/>
          <w:color w:val="auto"/>
        </w:rPr>
      </w:pPr>
      <w:r>
        <w:rPr>
          <w:rFonts w:ascii="Arial" w:cs="Arial" w:eastAsia="Arial" w:hAnsi="Arial"/>
          <w:sz w:val="14"/>
          <w:szCs w:val="14"/>
          <w:color w:val="auto"/>
        </w:rPr>
        <w:t>goals, which was 50% for fiscal years 2022 and 2021 and 53% for fiscal year 2020. The remainder was paid in the form of restricted stock units and fully vested shares of our Class A common stock which are reflected in the “Stock Awards” column in the table above.</w:t>
      </w:r>
    </w:p>
    <w:p>
      <w:pPr>
        <w:spacing w:after="0" w:line="99" w:lineRule="exact"/>
        <w:rPr>
          <w:rFonts w:ascii="Arial" w:cs="Arial" w:eastAsia="Arial" w:hAnsi="Arial"/>
          <w:sz w:val="14"/>
          <w:szCs w:val="14"/>
          <w:color w:val="auto"/>
        </w:rPr>
      </w:pPr>
    </w:p>
    <w:p>
      <w:pPr>
        <w:ind w:left="1080" w:right="240" w:hanging="318"/>
        <w:spacing w:after="0" w:line="298"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Galvin’s employment with the Company commenced on August 10, 2020, and as a result the amount reported is a prorated portion of his $250,000 annualized base salary for the year ended December 31, 2020.</w:t>
      </w:r>
    </w:p>
    <w:p>
      <w:pPr>
        <w:spacing w:after="0" w:line="86" w:lineRule="exact"/>
        <w:rPr>
          <w:rFonts w:ascii="Arial" w:cs="Arial" w:eastAsia="Arial" w:hAnsi="Arial"/>
          <w:sz w:val="14"/>
          <w:szCs w:val="14"/>
          <w:color w:val="auto"/>
        </w:rPr>
      </w:pPr>
    </w:p>
    <w:p>
      <w:pPr>
        <w:ind w:left="1080" w:right="320" w:hanging="318"/>
        <w:spacing w:after="0" w:line="268"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19 of the Company’s audited financial statements for the fiscal years ended December 31, 2022, December 31, 2021,</w:t>
      </w:r>
    </w:p>
    <w:p>
      <w:pPr>
        <w:ind w:left="1080" w:right="160"/>
        <w:spacing w:after="0" w:line="273" w:lineRule="auto"/>
        <w:rPr>
          <w:rFonts w:ascii="Arial" w:cs="Arial" w:eastAsia="Arial" w:hAnsi="Arial"/>
          <w:sz w:val="14"/>
          <w:szCs w:val="14"/>
          <w:color w:val="auto"/>
        </w:rPr>
      </w:pPr>
      <w:r>
        <w:rPr>
          <w:rFonts w:ascii="Arial" w:cs="Arial" w:eastAsia="Arial" w:hAnsi="Arial"/>
          <w:sz w:val="14"/>
          <w:szCs w:val="14"/>
          <w:color w:val="auto"/>
        </w:rPr>
        <w:t>and December 31, 2020, included in our Annual Report on Form 10-K for the fiscal years ended December 31, 2022, and December 31, 2021, and December 31, 2020. The grant of restricted stock units and fully vested shares of our Class A common stock relate to the settlement of Mr. Galvin’s 2022 and 2021 annual bonuses, however, the awards were actually granted in the beginning of fiscal years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191770</wp:posOffset>
            </wp:positionV>
            <wp:extent cx="754380" cy="240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2" w:lineRule="exact"/>
        <w:rPr>
          <w:sz w:val="20"/>
          <w:szCs w:val="20"/>
          <w:color w:val="auto"/>
        </w:rPr>
      </w:pPr>
    </w:p>
    <w:p>
      <w:pPr>
        <w:ind w:left="1400"/>
        <w:spacing w:after="0"/>
        <w:rPr>
          <w:sz w:val="20"/>
          <w:szCs w:val="20"/>
          <w:color w:val="auto"/>
        </w:rPr>
      </w:pPr>
      <w:r>
        <w:rPr>
          <w:rFonts w:ascii="Arial" w:cs="Arial" w:eastAsia="Arial" w:hAnsi="Arial"/>
          <w:sz w:val="29"/>
          <w:szCs w:val="29"/>
          <w:color w:val="00C08A"/>
        </w:rPr>
        <w:t>GRANTS OF PLAN-BASED AWARDS IN FISCAL YEAR 2022</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information with respect to each award made to our named executive officers in 2022.</w:t>
      </w:r>
    </w:p>
    <w:p>
      <w:pPr>
        <w:sectPr>
          <w:pgSz w:w="11900" w:h="16838" w:orient="portrait"/>
          <w:cols w:equalWidth="0" w:num="1">
            <w:col w:w="10000"/>
          </w:cols>
          <w:pgMar w:left="580" w:top="131" w:right="1319" w:bottom="1440" w:gutter="0" w:footer="0" w:header="0"/>
        </w:sectPr>
      </w:pPr>
    </w:p>
    <w:p>
      <w:pPr>
        <w:spacing w:after="0" w:line="338" w:lineRule="exact"/>
        <w:rPr>
          <w:sz w:val="20"/>
          <w:szCs w:val="20"/>
          <w:color w:val="auto"/>
        </w:rPr>
      </w:pPr>
    </w:p>
    <w:p>
      <w:pPr>
        <w:jc w:val="center"/>
        <w:ind w:left="3520"/>
        <w:spacing w:after="0"/>
        <w:rPr>
          <w:sz w:val="20"/>
          <w:szCs w:val="20"/>
          <w:color w:val="auto"/>
        </w:rPr>
      </w:pPr>
      <w:r>
        <w:rPr>
          <w:rFonts w:ascii="Arial" w:cs="Arial" w:eastAsia="Arial" w:hAnsi="Arial"/>
          <w:sz w:val="14"/>
          <w:szCs w:val="14"/>
          <w:b w:val="1"/>
          <w:bCs w:val="1"/>
          <w:color w:val="002453"/>
        </w:rPr>
        <w:t>Estimated Possible Payouts</w:t>
      </w:r>
    </w:p>
    <w:p>
      <w:pPr>
        <w:jc w:val="center"/>
        <w:ind w:left="3520"/>
        <w:spacing w:after="0" w:line="221" w:lineRule="auto"/>
        <w:rPr>
          <w:sz w:val="20"/>
          <w:szCs w:val="20"/>
          <w:color w:val="auto"/>
        </w:rPr>
      </w:pPr>
      <w:r>
        <w:rPr>
          <w:rFonts w:ascii="Arial" w:cs="Arial" w:eastAsia="Arial" w:hAnsi="Arial"/>
          <w:sz w:val="14"/>
          <w:szCs w:val="14"/>
          <w:b w:val="1"/>
          <w:bCs w:val="1"/>
          <w:color w:val="002453"/>
        </w:rPr>
        <w:t>Under Non-Equity</w:t>
      </w:r>
    </w:p>
    <w:p>
      <w:pPr>
        <w:ind w:left="760"/>
        <w:spacing w:after="0"/>
        <w:tabs>
          <w:tab w:leader="none" w:pos="2540" w:val="left"/>
          <w:tab w:leader="none" w:pos="3260" w:val="left"/>
          <w:tab w:leader="none" w:pos="3720" w:val="left"/>
        </w:tabs>
        <w:rPr>
          <w:sz w:val="20"/>
          <w:szCs w:val="20"/>
          <w:color w:val="auto"/>
        </w:rPr>
      </w:pPr>
      <w:r>
        <w:rPr>
          <w:rFonts w:ascii="Arial" w:cs="Arial" w:eastAsia="Arial" w:hAnsi="Arial"/>
          <w:sz w:val="23"/>
          <w:szCs w:val="23"/>
          <w:b w:val="1"/>
          <w:bCs w:val="1"/>
          <w:color w:val="002453"/>
          <w:vertAlign w:val="subscript"/>
        </w:rPr>
        <w:t>​</w:t>
      </w:r>
      <w:r>
        <w:rPr>
          <w:sz w:val="20"/>
          <w:szCs w:val="20"/>
          <w:color w:val="auto"/>
        </w:rPr>
        <w:tab/>
      </w:r>
      <w:r>
        <w:rPr>
          <w:rFonts w:ascii="Arial" w:cs="Arial" w:eastAsia="Arial" w:hAnsi="Arial"/>
          <w:sz w:val="22"/>
          <w:szCs w:val="22"/>
          <w:b w:val="1"/>
          <w:bCs w:val="1"/>
          <w:color w:val="002453"/>
          <w:vertAlign w:val="subscript"/>
        </w:rPr>
        <w:t>​​​</w:t>
      </w:r>
      <w:r>
        <w:rPr>
          <w:sz w:val="20"/>
          <w:szCs w:val="20"/>
          <w:color w:val="auto"/>
        </w:rPr>
        <w:tab/>
      </w:r>
      <w:r>
        <w:rPr>
          <w:rFonts w:ascii="Arial" w:cs="Arial" w:eastAsia="Arial" w:hAnsi="Arial"/>
          <w:sz w:val="23"/>
          <w:szCs w:val="23"/>
          <w:b w:val="1"/>
          <w:bCs w:val="1"/>
          <w:color w:val="002453"/>
          <w:vertAlign w:val="subscript"/>
        </w:rPr>
        <w:t>​​​</w:t>
      </w:r>
      <w:r>
        <w:rPr>
          <w:sz w:val="20"/>
          <w:szCs w:val="20"/>
          <w:color w:val="auto"/>
        </w:rPr>
        <w:tab/>
      </w:r>
      <w:r>
        <w:rPr>
          <w:rFonts w:ascii="Arial" w:cs="Arial" w:eastAsia="Arial" w:hAnsi="Arial"/>
          <w:sz w:val="14"/>
          <w:szCs w:val="14"/>
          <w:b w:val="1"/>
          <w:bCs w:val="1"/>
          <w:color w:val="002453"/>
        </w:rPr>
        <w:t>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-8890</wp:posOffset>
            </wp:positionV>
            <wp:extent cx="1440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2453"/>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Stock</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Estimated Possible Payouts</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2453"/>
              </w:rPr>
              <w:t>Awards:</w:t>
            </w:r>
          </w:p>
        </w:tc>
        <w:tc>
          <w:tcPr>
            <w:tcW w:w="820" w:type="dxa"/>
            <w:vAlign w:val="bottom"/>
          </w:tcPr>
          <w:p>
            <w:pPr>
              <w:jc w:val="center"/>
              <w:ind w:left="13"/>
              <w:spacing w:after="0"/>
              <w:rPr>
                <w:sz w:val="20"/>
                <w:szCs w:val="20"/>
                <w:color w:val="auto"/>
              </w:rPr>
            </w:pPr>
            <w:r>
              <w:rPr>
                <w:rFonts w:ascii="Arial" w:cs="Arial" w:eastAsia="Arial" w:hAnsi="Arial"/>
                <w:sz w:val="14"/>
                <w:szCs w:val="14"/>
                <w:b w:val="1"/>
                <w:bCs w:val="1"/>
                <w:color w:val="002453"/>
              </w:rPr>
              <w:t>Grant Date</w:t>
            </w:r>
          </w:p>
        </w:tc>
        <w:tc>
          <w:tcPr>
            <w:tcW w:w="0" w:type="dxa"/>
            <w:vAlign w:val="bottom"/>
          </w:tcPr>
          <w:p>
            <w:pPr>
              <w:spacing w:after="0"/>
              <w:rPr>
                <w:sz w:val="1"/>
                <w:szCs w:val="1"/>
                <w:color w:val="auto"/>
              </w:rPr>
            </w:pPr>
          </w:p>
        </w:tc>
      </w:tr>
      <w:tr>
        <w:trPr>
          <w:trHeight w:val="54"/>
        </w:trPr>
        <w:tc>
          <w:tcPr>
            <w:tcW w:w="2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Number of</w:t>
            </w:r>
          </w:p>
        </w:tc>
        <w:tc>
          <w:tcPr>
            <w:tcW w:w="82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002453"/>
                <w:w w:val="98"/>
              </w:rPr>
              <w:t>Fair Value</w:t>
            </w:r>
          </w:p>
        </w:tc>
        <w:tc>
          <w:tcPr>
            <w:tcW w:w="0" w:type="dxa"/>
            <w:vAlign w:val="bottom"/>
          </w:tcPr>
          <w:p>
            <w:pPr>
              <w:spacing w:after="0"/>
              <w:rPr>
                <w:sz w:val="1"/>
                <w:szCs w:val="1"/>
                <w:color w:val="auto"/>
              </w:rPr>
            </w:pPr>
          </w:p>
        </w:tc>
      </w:tr>
      <w:tr>
        <w:trPr>
          <w:trHeight w:val="135"/>
        </w:trPr>
        <w:tc>
          <w:tcPr>
            <w:tcW w:w="2540" w:type="dxa"/>
            <w:vAlign w:val="bottom"/>
          </w:tcPr>
          <w:p>
            <w:pPr>
              <w:jc w:val="center"/>
              <w:ind w:left="7"/>
              <w:spacing w:after="0" w:line="135" w:lineRule="exact"/>
              <w:rPr>
                <w:sz w:val="20"/>
                <w:szCs w:val="20"/>
                <w:color w:val="auto"/>
              </w:rPr>
            </w:pPr>
            <w:r>
              <w:rPr>
                <w:rFonts w:ascii="Arial" w:cs="Arial" w:eastAsia="Arial" w:hAnsi="Arial"/>
                <w:sz w:val="14"/>
                <w:szCs w:val="14"/>
                <w:b w:val="1"/>
                <w:bCs w:val="1"/>
                <w:color w:val="002453"/>
              </w:rPr>
              <w:t>Under Equity Incentive Plan Awards</w:t>
            </w: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40" w:type="dxa"/>
            <w:vAlign w:val="bottom"/>
            <w:tcBorders>
              <w:bottom w:val="single" w:sz="8" w:color="00C08A"/>
            </w:tcBorders>
          </w:tcPr>
          <w:p>
            <w:pPr>
              <w:spacing w:after="0"/>
              <w:rPr>
                <w:sz w:val="20"/>
                <w:szCs w:val="20"/>
                <w:color w:val="auto"/>
              </w:rPr>
            </w:pPr>
            <w:r>
              <w:rPr>
                <w:rFonts w:ascii="Arial" w:cs="Arial" w:eastAsia="Arial" w:hAnsi="Arial"/>
                <w:sz w:val="3"/>
                <w:szCs w:val="3"/>
                <w:b w:val="1"/>
                <w:bCs w:val="1"/>
                <w:color w:val="002453"/>
              </w:rPr>
              <w:t>​​</w:t>
            </w:r>
          </w:p>
        </w:tc>
        <w:tc>
          <w:tcPr>
            <w:tcW w:w="80" w:type="dxa"/>
            <w:vAlign w:val="bottom"/>
            <w:vMerge w:val="restart"/>
          </w:tcPr>
          <w:p>
            <w:pPr>
              <w:spacing w:after="0" w:line="100" w:lineRule="exact"/>
              <w:rPr>
                <w:sz w:val="20"/>
                <w:szCs w:val="20"/>
                <w:color w:val="auto"/>
              </w:rPr>
            </w:pPr>
            <w:r>
              <w:rPr>
                <w:rFonts w:ascii="Arial" w:cs="Arial" w:eastAsia="Arial" w:hAnsi="Arial"/>
                <w:sz w:val="11"/>
                <w:szCs w:val="11"/>
                <w:b w:val="1"/>
                <w:bCs w:val="1"/>
                <w:color w:val="002453"/>
              </w:rPr>
              <w:t>​</w:t>
            </w:r>
          </w:p>
        </w:tc>
        <w:tc>
          <w:tcPr>
            <w:tcW w:w="820" w:type="dxa"/>
            <w:vAlign w:val="bottom"/>
            <w:vMerge w:val="restart"/>
          </w:tcPr>
          <w:p>
            <w:pPr>
              <w:jc w:val="center"/>
              <w:spacing w:after="0" w:line="100" w:lineRule="exact"/>
              <w:rPr>
                <w:sz w:val="20"/>
                <w:szCs w:val="20"/>
                <w:color w:val="auto"/>
              </w:rPr>
            </w:pPr>
            <w:r>
              <w:rPr>
                <w:rFonts w:ascii="Arial" w:cs="Arial" w:eastAsia="Arial" w:hAnsi="Arial"/>
                <w:sz w:val="11"/>
                <w:szCs w:val="11"/>
                <w:b w:val="1"/>
                <w:bCs w:val="1"/>
                <w:color w:val="002453"/>
              </w:rPr>
              <w:t>Shares of</w:t>
            </w:r>
          </w:p>
        </w:tc>
        <w:tc>
          <w:tcPr>
            <w:tcW w:w="820" w:type="dxa"/>
            <w:vAlign w:val="bottom"/>
            <w:vMerge w:val="restart"/>
          </w:tcPr>
          <w:p>
            <w:pPr>
              <w:jc w:val="center"/>
              <w:ind w:left="13"/>
              <w:spacing w:after="0" w:line="100" w:lineRule="exact"/>
              <w:rPr>
                <w:sz w:val="20"/>
                <w:szCs w:val="20"/>
                <w:color w:val="auto"/>
              </w:rPr>
            </w:pPr>
            <w:r>
              <w:rPr>
                <w:rFonts w:ascii="Arial" w:cs="Arial" w:eastAsia="Arial" w:hAnsi="Arial"/>
                <w:sz w:val="11"/>
                <w:szCs w:val="11"/>
                <w:b w:val="1"/>
                <w:bCs w:val="1"/>
                <w:color w:val="002453"/>
              </w:rPr>
              <w:t>of Stock</w:t>
            </w: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5420" w:space="220"/>
            <w:col w:w="4360"/>
          </w:cols>
          <w:pgMar w:left="580" w:top="131" w:right="1319" w:bottom="1440" w:gutter="0" w:footer="0" w:header="0"/>
          <w:type w:val="continuous"/>
        </w:sectPr>
      </w:pPr>
    </w:p>
    <w:tbl>
      <w:tblPr>
        <w:tblLayout w:type="fixed"/>
        <w:tblInd w:w="76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60"/>
              <w:spacing w:after="0" w:line="144" w:lineRule="exact"/>
              <w:rPr>
                <w:sz w:val="20"/>
                <w:szCs w:val="20"/>
                <w:color w:val="auto"/>
              </w:rPr>
            </w:pPr>
            <w:r>
              <w:rPr>
                <w:rFonts w:ascii="Arial" w:cs="Arial" w:eastAsia="Arial" w:hAnsi="Arial"/>
                <w:sz w:val="14"/>
                <w:szCs w:val="14"/>
                <w:b w:val="1"/>
                <w:bCs w:val="1"/>
                <w:color w:val="002453"/>
              </w:rPr>
              <w:t>Grant</w:t>
            </w:r>
          </w:p>
        </w:tc>
        <w:tc>
          <w:tcPr>
            <w:tcW w:w="800" w:type="dxa"/>
            <w:vAlign w:val="bottom"/>
            <w:gridSpan w:val="2"/>
          </w:tcPr>
          <w:p>
            <w:pPr>
              <w:ind w:left="80"/>
              <w:spacing w:after="0" w:line="144" w:lineRule="exact"/>
              <w:rPr>
                <w:sz w:val="20"/>
                <w:szCs w:val="20"/>
                <w:color w:val="auto"/>
              </w:rPr>
            </w:pPr>
            <w:r>
              <w:rPr>
                <w:rFonts w:ascii="Arial" w:cs="Arial" w:eastAsia="Arial" w:hAnsi="Arial"/>
                <w:sz w:val="14"/>
                <w:szCs w:val="14"/>
                <w:b w:val="1"/>
                <w:bCs w:val="1"/>
                <w:color w:val="002453"/>
              </w:rPr>
              <w:t>Threshold</w:t>
            </w:r>
          </w:p>
        </w:tc>
        <w:tc>
          <w:tcPr>
            <w:tcW w:w="700" w:type="dxa"/>
            <w:vAlign w:val="bottom"/>
          </w:tcPr>
          <w:p>
            <w:pPr>
              <w:jc w:val="right"/>
              <w:ind w:right="12"/>
              <w:spacing w:after="0" w:line="144" w:lineRule="exact"/>
              <w:rPr>
                <w:sz w:val="20"/>
                <w:szCs w:val="20"/>
                <w:color w:val="auto"/>
              </w:rPr>
            </w:pPr>
            <w:r>
              <w:rPr>
                <w:rFonts w:ascii="Arial" w:cs="Arial" w:eastAsia="Arial" w:hAnsi="Arial"/>
                <w:sz w:val="14"/>
                <w:szCs w:val="14"/>
                <w:b w:val="1"/>
                <w:bCs w:val="1"/>
                <w:color w:val="002453"/>
              </w:rPr>
              <w:t>Target</w:t>
            </w:r>
          </w:p>
        </w:tc>
        <w:tc>
          <w:tcPr>
            <w:tcW w:w="800" w:type="dxa"/>
            <w:vAlign w:val="bottom"/>
            <w:gridSpan w:val="2"/>
          </w:tcPr>
          <w:p>
            <w:pPr>
              <w:jc w:val="right"/>
              <w:spacing w:after="0" w:line="144" w:lineRule="exact"/>
              <w:rPr>
                <w:sz w:val="20"/>
                <w:szCs w:val="20"/>
                <w:color w:val="auto"/>
              </w:rPr>
            </w:pPr>
            <w:r>
              <w:rPr>
                <w:rFonts w:ascii="Arial" w:cs="Arial" w:eastAsia="Arial" w:hAnsi="Arial"/>
                <w:sz w:val="14"/>
                <w:szCs w:val="14"/>
                <w:b w:val="1"/>
                <w:bCs w:val="1"/>
                <w:color w:val="002453"/>
              </w:rPr>
              <w:t>Maximum</w:t>
            </w:r>
          </w:p>
        </w:tc>
        <w:tc>
          <w:tcPr>
            <w:tcW w:w="160" w:type="dxa"/>
            <w:vAlign w:val="bottom"/>
          </w:tcPr>
          <w:p>
            <w:pPr>
              <w:spacing w:after="0"/>
              <w:rPr>
                <w:sz w:val="12"/>
                <w:szCs w:val="12"/>
                <w:color w:val="auto"/>
              </w:rPr>
            </w:pPr>
          </w:p>
        </w:tc>
        <w:tc>
          <w:tcPr>
            <w:tcW w:w="76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002453"/>
              </w:rPr>
              <w:t>Threshold</w:t>
            </w:r>
          </w:p>
        </w:tc>
        <w:tc>
          <w:tcPr>
            <w:tcW w:w="200" w:type="dxa"/>
            <w:vAlign w:val="bottom"/>
          </w:tcPr>
          <w:p>
            <w:pPr>
              <w:spacing w:after="0"/>
              <w:rPr>
                <w:sz w:val="12"/>
                <w:szCs w:val="12"/>
                <w:color w:val="auto"/>
              </w:rPr>
            </w:pPr>
          </w:p>
        </w:tc>
        <w:tc>
          <w:tcPr>
            <w:tcW w:w="500" w:type="dxa"/>
            <w:vAlign w:val="bottom"/>
          </w:tcPr>
          <w:p>
            <w:pPr>
              <w:ind w:left="20"/>
              <w:spacing w:after="0" w:line="144" w:lineRule="exact"/>
              <w:rPr>
                <w:sz w:val="20"/>
                <w:szCs w:val="20"/>
                <w:color w:val="auto"/>
              </w:rPr>
            </w:pPr>
            <w:r>
              <w:rPr>
                <w:rFonts w:ascii="Arial" w:cs="Arial" w:eastAsia="Arial" w:hAnsi="Arial"/>
                <w:sz w:val="14"/>
                <w:szCs w:val="14"/>
                <w:b w:val="1"/>
                <w:bCs w:val="1"/>
                <w:color w:val="002453"/>
              </w:rPr>
              <w:t>Target</w:t>
            </w:r>
          </w:p>
        </w:tc>
        <w:tc>
          <w:tcPr>
            <w:tcW w:w="180" w:type="dxa"/>
            <w:vAlign w:val="bottom"/>
          </w:tcPr>
          <w:p>
            <w:pPr>
              <w:spacing w:after="0"/>
              <w:rPr>
                <w:sz w:val="12"/>
                <w:szCs w:val="12"/>
                <w:color w:val="auto"/>
              </w:rPr>
            </w:pPr>
          </w:p>
        </w:tc>
        <w:tc>
          <w:tcPr>
            <w:tcW w:w="72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002453"/>
              </w:rPr>
              <w:t>Maximum</w:t>
            </w:r>
          </w:p>
        </w:tc>
        <w:tc>
          <w:tcPr>
            <w:tcW w:w="960" w:type="dxa"/>
            <w:vAlign w:val="bottom"/>
            <w:gridSpan w:val="3"/>
          </w:tcPr>
          <w:p>
            <w:pPr>
              <w:ind w:left="140"/>
              <w:spacing w:after="0" w:line="144" w:lineRule="exact"/>
              <w:rPr>
                <w:sz w:val="20"/>
                <w:szCs w:val="20"/>
                <w:color w:val="auto"/>
              </w:rPr>
            </w:pPr>
            <w:r>
              <w:rPr>
                <w:rFonts w:ascii="Arial" w:cs="Arial" w:eastAsia="Arial" w:hAnsi="Arial"/>
                <w:sz w:val="14"/>
                <w:szCs w:val="14"/>
                <w:b w:val="1"/>
                <w:bCs w:val="1"/>
                <w:color w:val="002453"/>
              </w:rPr>
              <w:t>Stock Units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28"/>
              <w:spacing w:after="0" w:line="144" w:lineRule="exact"/>
              <w:rPr>
                <w:sz w:val="20"/>
                <w:szCs w:val="20"/>
                <w:color w:val="auto"/>
              </w:rPr>
            </w:pPr>
            <w:r>
              <w:rPr>
                <w:rFonts w:ascii="Arial" w:cs="Arial" w:eastAsia="Arial" w:hAnsi="Arial"/>
                <w:sz w:val="14"/>
                <w:szCs w:val="14"/>
                <w:b w:val="1"/>
                <w:bCs w:val="1"/>
                <w:color w:val="002453"/>
                <w:w w:val="98"/>
              </w:rPr>
              <w:t>Awards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4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 and Type of Award</w:t>
            </w:r>
          </w:p>
        </w:tc>
        <w:tc>
          <w:tcPr>
            <w:tcW w:w="1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600" w:type="dxa"/>
            <w:vAlign w:val="bottom"/>
            <w:tcBorders>
              <w:bottom w:val="single" w:sz="8" w:color="00C08A"/>
            </w:tcBorders>
          </w:tcPr>
          <w:p>
            <w:pPr>
              <w:ind w:left="100"/>
              <w:spacing w:after="0"/>
              <w:rPr>
                <w:sz w:val="20"/>
                <w:szCs w:val="20"/>
                <w:color w:val="auto"/>
              </w:rPr>
            </w:pPr>
            <w:r>
              <w:rPr>
                <w:rFonts w:ascii="Arial" w:cs="Arial" w:eastAsia="Arial" w:hAnsi="Arial"/>
                <w:sz w:val="14"/>
                <w:szCs w:val="14"/>
                <w:b w:val="1"/>
                <w:bCs w:val="1"/>
                <w:color w:val="002453"/>
              </w:rPr>
              <w:t>Date</w:t>
            </w:r>
          </w:p>
        </w:tc>
        <w:tc>
          <w:tcPr>
            <w:tcW w:w="220" w:type="dxa"/>
            <w:vAlign w:val="bottom"/>
            <w:tcBorders>
              <w:bottom w:val="single" w:sz="8" w:color="00C08A"/>
            </w:tcBorders>
          </w:tcPr>
          <w:p>
            <w:pPr>
              <w:jc w:val="right"/>
              <w:ind w:right="48"/>
              <w:spacing w:after="0"/>
              <w:rPr>
                <w:sz w:val="20"/>
                <w:szCs w:val="20"/>
                <w:color w:val="auto"/>
              </w:rPr>
            </w:pPr>
            <w:r>
              <w:rPr>
                <w:rFonts w:ascii="Arial" w:cs="Arial" w:eastAsia="Arial" w:hAnsi="Arial"/>
                <w:sz w:val="14"/>
                <w:szCs w:val="14"/>
                <w:b w:val="1"/>
                <w:bCs w:val="1"/>
                <w:color w:val="002453"/>
              </w:rPr>
              <w:t>​​</w:t>
            </w:r>
          </w:p>
        </w:tc>
        <w:tc>
          <w:tcPr>
            <w:tcW w:w="580" w:type="dxa"/>
            <w:vAlign w:val="bottom"/>
            <w:tcBorders>
              <w:bottom w:val="single" w:sz="8" w:color="00C08A"/>
            </w:tcBorders>
          </w:tcPr>
          <w:p>
            <w:pPr>
              <w:ind w:left="140"/>
              <w:spacing w:after="0"/>
              <w:rPr>
                <w:sz w:val="20"/>
                <w:szCs w:val="20"/>
                <w:color w:val="auto"/>
              </w:rPr>
            </w:pPr>
            <w:r>
              <w:rPr>
                <w:rFonts w:ascii="Arial" w:cs="Arial" w:eastAsia="Arial" w:hAnsi="Arial"/>
                <w:sz w:val="14"/>
                <w:szCs w:val="14"/>
                <w:b w:val="1"/>
                <w:bCs w:val="1"/>
                <w:color w:val="002453"/>
              </w:rPr>
              <w:t>($)</w:t>
            </w:r>
          </w:p>
        </w:tc>
        <w:tc>
          <w:tcPr>
            <w:tcW w:w="700" w:type="dxa"/>
            <w:vAlign w:val="bottom"/>
            <w:tcBorders>
              <w:bottom w:val="single" w:sz="8" w:color="00C08A"/>
            </w:tcBorders>
          </w:tcPr>
          <w:p>
            <w:pPr>
              <w:jc w:val="right"/>
              <w:ind w:right="112"/>
              <w:spacing w:after="0" w:line="189" w:lineRule="exact"/>
              <w:rPr>
                <w:sz w:val="20"/>
                <w:szCs w:val="20"/>
                <w:color w:val="auto"/>
              </w:rPr>
            </w:pPr>
            <w:r>
              <w:rPr>
                <w:rFonts w:ascii="Arial" w:cs="Arial" w:eastAsia="Arial" w:hAnsi="Arial"/>
                <w:sz w:val="21"/>
                <w:szCs w:val="21"/>
                <w:b w:val="1"/>
                <w:bCs w:val="1"/>
                <w:color w:val="002453"/>
                <w:vertAlign w:val="subscript"/>
              </w:rPr>
              <w:t>​​</w:t>
            </w:r>
            <w:r>
              <w:rPr>
                <w:rFonts w:ascii="Arial" w:cs="Arial" w:eastAsia="Arial" w:hAnsi="Arial"/>
                <w:sz w:val="12"/>
                <w:szCs w:val="12"/>
                <w:b w:val="1"/>
                <w:bCs w:val="1"/>
                <w:color w:val="002453"/>
              </w:rPr>
              <w:t xml:space="preserve">   ($)</w:t>
            </w:r>
          </w:p>
        </w:tc>
        <w:tc>
          <w:tcPr>
            <w:tcW w:w="3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500" w:type="dxa"/>
            <w:vAlign w:val="bottom"/>
            <w:tcBorders>
              <w:bottom w:val="single" w:sz="8" w:color="00C08A"/>
            </w:tcBorders>
          </w:tcPr>
          <w:p>
            <w:pPr>
              <w:jc w:val="right"/>
              <w:ind w:right="148"/>
              <w:spacing w:after="0"/>
              <w:rPr>
                <w:sz w:val="20"/>
                <w:szCs w:val="20"/>
                <w:color w:val="auto"/>
              </w:rPr>
            </w:pPr>
            <w:r>
              <w:rPr>
                <w:rFonts w:ascii="Arial" w:cs="Arial" w:eastAsia="Arial" w:hAnsi="Arial"/>
                <w:sz w:val="14"/>
                <w:szCs w:val="14"/>
                <w:b w:val="1"/>
                <w:bCs w:val="1"/>
                <w:color w:val="002453"/>
              </w:rPr>
              <w:t>($)</w:t>
            </w: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620" w:type="dxa"/>
            <w:vAlign w:val="bottom"/>
            <w:tcBorders>
              <w:bottom w:val="single" w:sz="8" w:color="00C08A"/>
            </w:tcBorders>
          </w:tcPr>
          <w:p>
            <w:pPr>
              <w:ind w:left="300"/>
              <w:spacing w:after="0"/>
              <w:rPr>
                <w:sz w:val="20"/>
                <w:szCs w:val="20"/>
                <w:color w:val="auto"/>
              </w:rPr>
            </w:pPr>
            <w:r>
              <w:rPr>
                <w:rFonts w:ascii="Arial" w:cs="Arial" w:eastAsia="Arial" w:hAnsi="Arial"/>
                <w:sz w:val="14"/>
                <w:szCs w:val="14"/>
                <w:b w:val="1"/>
                <w:bCs w:val="1"/>
                <w:color w:val="002453"/>
              </w:rPr>
              <w:t>(#)</w:t>
            </w:r>
          </w:p>
        </w:tc>
        <w:tc>
          <w:tcPr>
            <w:tcW w:w="140" w:type="dxa"/>
            <w:vAlign w:val="bottom"/>
            <w:tcBorders>
              <w:bottom w:val="single" w:sz="8" w:color="00C08A"/>
            </w:tcBorders>
          </w:tcPr>
          <w:p>
            <w:pPr>
              <w:spacing w:after="0"/>
              <w:rPr>
                <w:sz w:val="16"/>
                <w:szCs w:val="16"/>
                <w:color w:val="auto"/>
              </w:rPr>
            </w:pPr>
          </w:p>
        </w:tc>
        <w:tc>
          <w:tcPr>
            <w:tcW w:w="20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500" w:type="dxa"/>
            <w:vAlign w:val="bottom"/>
            <w:tcBorders>
              <w:bottom w:val="single" w:sz="8" w:color="00C08A"/>
            </w:tcBorders>
          </w:tcPr>
          <w:p>
            <w:pPr>
              <w:ind w:left="160"/>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w:t>
            </w:r>
          </w:p>
        </w:tc>
        <w:tc>
          <w:tcPr>
            <w:tcW w:w="160" w:type="dxa"/>
            <w:vAlign w:val="bottom"/>
            <w:tcBorders>
              <w:bottom w:val="single" w:sz="8" w:color="00C08A"/>
            </w:tcBorders>
          </w:tcPr>
          <w:p>
            <w:pPr>
              <w:spacing w:after="0"/>
              <w:rPr>
                <w:sz w:val="16"/>
                <w:szCs w:val="16"/>
                <w:color w:val="auto"/>
              </w:rPr>
            </w:pPr>
          </w:p>
        </w:tc>
        <w:tc>
          <w:tcPr>
            <w:tcW w:w="560" w:type="dxa"/>
            <w:vAlign w:val="bottom"/>
            <w:tcBorders>
              <w:bottom w:val="single" w:sz="8" w:color="00C08A"/>
            </w:tcBorders>
          </w:tcPr>
          <w:p>
            <w:pPr>
              <w:ind w:left="120"/>
              <w:spacing w:after="0"/>
              <w:rPr>
                <w:sz w:val="20"/>
                <w:szCs w:val="20"/>
                <w:color w:val="auto"/>
              </w:rPr>
            </w:pPr>
            <w:r>
              <w:rPr>
                <w:rFonts w:ascii="Arial" w:cs="Arial" w:eastAsia="Arial" w:hAnsi="Arial"/>
                <w:sz w:val="14"/>
                <w:szCs w:val="14"/>
                <w:b w:val="1"/>
                <w:bCs w:val="1"/>
                <w:color w:val="002453"/>
              </w:rPr>
              <w:t>(#)</w:t>
            </w:r>
          </w:p>
        </w:tc>
        <w:tc>
          <w:tcPr>
            <w:tcW w:w="240" w:type="dxa"/>
            <w:vAlign w:val="bottom"/>
            <w:tcBorders>
              <w:bottom w:val="single" w:sz="8" w:color="00C08A"/>
            </w:tcBorders>
          </w:tcPr>
          <w:p>
            <w:pPr>
              <w:jc w:val="right"/>
              <w:ind w:right="8"/>
              <w:spacing w:after="0"/>
              <w:rPr>
                <w:sz w:val="20"/>
                <w:szCs w:val="20"/>
                <w:color w:val="auto"/>
              </w:rPr>
            </w:pPr>
            <w:r>
              <w:rPr>
                <w:rFonts w:ascii="Arial" w:cs="Arial" w:eastAsia="Arial" w:hAnsi="Arial"/>
                <w:sz w:val="14"/>
                <w:szCs w:val="14"/>
                <w:b w:val="1"/>
                <w:bCs w:val="1"/>
                <w:color w:val="002453"/>
              </w:rPr>
              <w:t>​​</w:t>
            </w:r>
          </w:p>
        </w:tc>
        <w:tc>
          <w:tcPr>
            <w:tcW w:w="540" w:type="dxa"/>
            <w:vAlign w:val="bottom"/>
            <w:tcBorders>
              <w:bottom w:val="single" w:sz="8" w:color="00C08A"/>
            </w:tcBorders>
          </w:tcPr>
          <w:p>
            <w:pPr>
              <w:ind w:left="240"/>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spacing w:after="0"/>
              <w:rPr>
                <w:sz w:val="16"/>
                <w:szCs w:val="16"/>
                <w:color w:val="auto"/>
              </w:rPr>
            </w:pPr>
          </w:p>
        </w:tc>
        <w:tc>
          <w:tcPr>
            <w:tcW w:w="14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w:t>
            </w:r>
          </w:p>
        </w:tc>
        <w:tc>
          <w:tcPr>
            <w:tcW w:w="60" w:type="dxa"/>
            <w:vAlign w:val="bottom"/>
            <w:tcBorders>
              <w:bottom w:val="single" w:sz="8" w:color="00C08A"/>
            </w:tcBorders>
          </w:tcPr>
          <w:p>
            <w:pPr>
              <w:spacing w:after="0"/>
              <w:rPr>
                <w:sz w:val="16"/>
                <w:szCs w:val="16"/>
                <w:color w:val="auto"/>
              </w:rPr>
            </w:pPr>
          </w:p>
        </w:tc>
        <w:tc>
          <w:tcPr>
            <w:tcW w:w="620" w:type="dxa"/>
            <w:vAlign w:val="bottom"/>
            <w:tcBorders>
              <w:bottom w:val="single" w:sz="8" w:color="00C08A"/>
            </w:tcBorders>
          </w:tcPr>
          <w:p>
            <w:pPr>
              <w:jc w:val="right"/>
              <w:ind w:right="88"/>
              <w:spacing w:after="0"/>
              <w:rPr>
                <w:sz w:val="20"/>
                <w:szCs w:val="20"/>
                <w:color w:val="auto"/>
              </w:rPr>
            </w:pPr>
            <w:r>
              <w:rPr>
                <w:rFonts w:ascii="Arial" w:cs="Arial" w:eastAsia="Arial" w:hAnsi="Arial"/>
                <w:sz w:val="14"/>
                <w:szCs w:val="14"/>
                <w:b w:val="1"/>
                <w:bCs w:val="1"/>
                <w:color w:val="002453"/>
              </w:rPr>
              <w:t>($)(2)</w:t>
            </w:r>
          </w:p>
        </w:tc>
        <w:tc>
          <w:tcPr>
            <w:tcW w:w="60" w:type="dxa"/>
            <w:vAlign w:val="bottom"/>
            <w:tcBorders>
              <w:bottom w:val="single" w:sz="8" w:color="00C08A"/>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20"/>
                <w:szCs w:val="20"/>
                <w:color w:val="auto"/>
              </w:rPr>
            </w:pPr>
            <w:r>
              <w:rPr>
                <w:rFonts w:ascii="Arial" w:cs="Arial" w:eastAsia="Arial" w:hAnsi="Arial"/>
                <w:sz w:val="14"/>
                <w:szCs w:val="14"/>
                <w:b w:val="1"/>
                <w:bCs w:val="1"/>
                <w:color w:val="auto"/>
              </w:rPr>
              <w:t>Douglas A. Cifu</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Arial" w:cs="Arial" w:eastAsia="Arial" w:hAnsi="Arial"/>
                <w:sz w:val="14"/>
                <w:szCs w:val="14"/>
                <w:i w:val="1"/>
                <w:iCs w:val="1"/>
                <w:color w:val="auto"/>
              </w:rPr>
              <w:t>Annual Bonus(1)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ind w:left="22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​3,000,000</w:t>
            </w:r>
            <w:r>
              <w:rPr>
                <w:rFonts w:ascii="Arial" w:cs="Arial" w:eastAsia="Arial" w:hAnsi="Arial"/>
                <w:sz w:val="23"/>
                <w:szCs w:val="23"/>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color w:val="auto"/>
              </w:rPr>
              <w:t xml:space="preserve">6,000,000 </w:t>
            </w:r>
            <w:r>
              <w:rPr>
                <w:rFonts w:ascii="Arial" w:cs="Arial" w:eastAsia="Arial" w:hAnsi="Arial"/>
                <w:sz w:val="23"/>
                <w:szCs w:val="23"/>
                <w:color w:val="auto"/>
                <w:vertAlign w:val="subscript"/>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180" w:type="dxa"/>
            <w:vAlign w:val="bottom"/>
            <w:tcBorders>
              <w:bottom w:val="single" w:sz="8" w:color="00C08A"/>
            </w:tcBorders>
            <w:shd w:val="clear" w:color="auto" w:fill="CCEEFF"/>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820" w:type="dxa"/>
            <w:vAlign w:val="bottom"/>
            <w:tcBorders>
              <w:bottom w:val="single" w:sz="8" w:color="00C08A"/>
            </w:tcBorders>
            <w:gridSpan w:val="2"/>
            <w:shd w:val="clear" w:color="auto" w:fill="CCEEFF"/>
          </w:tcPr>
          <w:p>
            <w:pPr>
              <w:jc w:val="right"/>
              <w:ind w:right="48"/>
              <w:spacing w:after="0" w:line="202" w:lineRule="exact"/>
              <w:rPr>
                <w:sz w:val="20"/>
                <w:szCs w:val="20"/>
                <w:color w:val="auto"/>
              </w:rPr>
            </w:pPr>
            <w:r>
              <w:rPr>
                <w:rFonts w:ascii="Arial" w:cs="Arial" w:eastAsia="Arial" w:hAnsi="Arial"/>
                <w:sz w:val="13"/>
                <w:szCs w:val="13"/>
                <w:color w:val="auto"/>
              </w:rPr>
              <w:t>3/1/2022</w:t>
            </w:r>
            <w:r>
              <w:rPr>
                <w:rFonts w:ascii="Arial" w:cs="Arial" w:eastAsia="Arial" w:hAnsi="Arial"/>
                <w:sz w:val="23"/>
                <w:szCs w:val="23"/>
                <w:color w:val="auto"/>
                <w:vertAlign w:val="subscript"/>
              </w:rPr>
              <w:t>​​​</w:t>
            </w:r>
          </w:p>
        </w:tc>
        <w:tc>
          <w:tcPr>
            <w:tcW w:w="580" w:type="dxa"/>
            <w:vAlign w:val="bottom"/>
            <w:tcBorders>
              <w:bottom w:val="single" w:sz="8" w:color="00C08A"/>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C08A"/>
            </w:tcBorders>
            <w:shd w:val="clear" w:color="auto" w:fill="CCEEFF"/>
          </w:tcPr>
          <w:p>
            <w:pPr>
              <w:jc w:val="right"/>
              <w:ind w:right="47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tcBorders>
              <w:bottom w:val="single" w:sz="8" w:color="00C08A"/>
            </w:tcBorders>
            <w:shd w:val="clear" w:color="auto" w:fill="CCEEFF"/>
          </w:tcPr>
          <w:p>
            <w:pPr>
              <w:spacing w:after="0"/>
              <w:rPr>
                <w:sz w:val="17"/>
                <w:szCs w:val="17"/>
                <w:color w:val="auto"/>
              </w:rPr>
            </w:pPr>
          </w:p>
        </w:tc>
        <w:tc>
          <w:tcPr>
            <w:tcW w:w="1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C08A"/>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C08A"/>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150,000</w:t>
            </w:r>
          </w:p>
        </w:tc>
        <w:tc>
          <w:tcPr>
            <w:tcW w:w="240" w:type="dxa"/>
            <w:vAlign w:val="bottom"/>
            <w:tcBorders>
              <w:bottom w:val="single" w:sz="8" w:color="00C08A"/>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C08A"/>
            </w:tcBorders>
            <w:gridSpan w:val="2"/>
            <w:shd w:val="clear" w:color="auto" w:fill="CCEEFF"/>
          </w:tcPr>
          <w:p>
            <w:pPr>
              <w:ind w:left="20"/>
              <w:spacing w:after="0"/>
              <w:rPr>
                <w:sz w:val="20"/>
                <w:szCs w:val="20"/>
                <w:color w:val="auto"/>
              </w:rPr>
            </w:pPr>
            <w:r>
              <w:rPr>
                <w:rFonts w:ascii="Arial" w:cs="Arial" w:eastAsia="Arial" w:hAnsi="Arial"/>
                <w:sz w:val="14"/>
                <w:szCs w:val="14"/>
                <w:color w:val="auto"/>
              </w:rPr>
              <w:t>​5,389,700</w:t>
            </w:r>
          </w:p>
        </w:tc>
        <w:tc>
          <w:tcPr>
            <w:tcW w:w="60" w:type="dxa"/>
            <w:vAlign w:val="bottom"/>
            <w:tcBorders>
              <w:bottom w:val="single" w:sz="8" w:color="00C08A"/>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auto"/>
              </w:rPr>
              <w:t>Joseph Molluso</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Annual Bonus(1)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​2,000,000</w:t>
            </w:r>
            <w:r>
              <w:rPr>
                <w:rFonts w:ascii="Arial" w:cs="Arial" w:eastAsia="Arial" w:hAnsi="Arial"/>
                <w:sz w:val="23"/>
                <w:szCs w:val="23"/>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color w:val="auto"/>
              </w:rPr>
              <w:t xml:space="preserve">3,000,000 </w:t>
            </w:r>
            <w:r>
              <w:rPr>
                <w:rFonts w:ascii="Arial" w:cs="Arial" w:eastAsia="Arial" w:hAnsi="Arial"/>
                <w:sz w:val="23"/>
                <w:szCs w:val="23"/>
                <w:color w:val="auto"/>
                <w:vertAlign w:val="subscript"/>
              </w:rPr>
              <w:t>​​​</w:t>
            </w:r>
          </w:p>
        </w:tc>
        <w:tc>
          <w:tcPr>
            <w:tcW w:w="6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Arial" w:cs="Arial" w:eastAsia="Arial" w:hAnsi="Arial"/>
                <w:sz w:val="14"/>
                <w:szCs w:val="14"/>
                <w:i w:val="1"/>
                <w:iCs w:val="1"/>
                <w:color w:val="auto"/>
              </w:rPr>
              <w:t>Restricted Shares</w:t>
            </w:r>
          </w:p>
        </w:tc>
        <w:tc>
          <w:tcPr>
            <w:tcW w:w="1000" w:type="dxa"/>
            <w:vAlign w:val="bottom"/>
            <w:gridSpan w:val="3"/>
          </w:tcPr>
          <w:p>
            <w:pPr>
              <w:jc w:val="right"/>
              <w:ind w:right="4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​6/22/2020</w:t>
            </w:r>
            <w:r>
              <w:rPr>
                <w:rFonts w:ascii="Arial" w:cs="Arial" w:eastAsia="Arial" w:hAnsi="Arial"/>
                <w:sz w:val="23"/>
                <w:szCs w:val="23"/>
                <w:color w:val="auto"/>
                <w:vertAlign w:val="subscript"/>
              </w:rPr>
              <w:t>​​​</w:t>
            </w:r>
          </w:p>
        </w:tc>
        <w:tc>
          <w:tcPr>
            <w:tcW w:w="580" w:type="dxa"/>
            <w:vAlign w:val="bottom"/>
          </w:tcPr>
          <w:p>
            <w:pPr>
              <w:ind w:lef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7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00" w:type="dxa"/>
            <w:vAlign w:val="bottom"/>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25,000</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0"/>
              <w:spacing w:after="0"/>
              <w:rPr>
                <w:sz w:val="20"/>
                <w:szCs w:val="20"/>
                <w:color w:val="auto"/>
              </w:rPr>
            </w:pPr>
            <w:r>
              <w:rPr>
                <w:rFonts w:ascii="Arial" w:cs="Arial" w:eastAsia="Arial" w:hAnsi="Arial"/>
                <w:sz w:val="14"/>
                <w:szCs w:val="14"/>
                <w:color w:val="auto"/>
              </w:rPr>
              <w:t>50,000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spacing w:after="0" w:line="202" w:lineRule="exact"/>
              <w:rPr>
                <w:sz w:val="20"/>
                <w:szCs w:val="20"/>
                <w:color w:val="auto"/>
              </w:rPr>
            </w:pPr>
            <w:r>
              <w:rPr>
                <w:rFonts w:ascii="Arial" w:cs="Arial" w:eastAsia="Arial" w:hAnsi="Arial"/>
                <w:sz w:val="13"/>
                <w:szCs w:val="13"/>
                <w:color w:val="auto"/>
              </w:rPr>
              <w:t xml:space="preserve">​1,168,500 </w:t>
            </w:r>
            <w:r>
              <w:rPr>
                <w:rFonts w:ascii="Arial" w:cs="Arial" w:eastAsia="Arial" w:hAnsi="Arial"/>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1740" w:type="dxa"/>
            <w:vAlign w:val="bottom"/>
            <w:shd w:val="clear" w:color="auto" w:fill="00C08A"/>
          </w:tcPr>
          <w:p>
            <w:pPr>
              <w:spacing w:after="0" w:line="20" w:lineRule="exact"/>
              <w:rPr>
                <w:sz w:val="1"/>
                <w:szCs w:val="1"/>
                <w:color w:val="auto"/>
              </w:rPr>
            </w:pPr>
          </w:p>
        </w:tc>
        <w:tc>
          <w:tcPr>
            <w:tcW w:w="180" w:type="dxa"/>
            <w:vAlign w:val="bottom"/>
            <w:shd w:val="clear" w:color="auto" w:fill="00C08A"/>
          </w:tcPr>
          <w:p>
            <w:pPr>
              <w:spacing w:after="0" w:line="20" w:lineRule="exact"/>
              <w:rPr>
                <w:sz w:val="1"/>
                <w:szCs w:val="1"/>
                <w:color w:val="auto"/>
              </w:rPr>
            </w:pPr>
          </w:p>
        </w:tc>
        <w:tc>
          <w:tcPr>
            <w:tcW w:w="600" w:type="dxa"/>
            <w:vAlign w:val="bottom"/>
            <w:shd w:val="clear" w:color="auto" w:fill="00C08A"/>
          </w:tcPr>
          <w:p>
            <w:pPr>
              <w:spacing w:after="0" w:line="20" w:lineRule="exact"/>
              <w:rPr>
                <w:sz w:val="1"/>
                <w:szCs w:val="1"/>
                <w:color w:val="auto"/>
              </w:rPr>
            </w:pPr>
          </w:p>
        </w:tc>
        <w:tc>
          <w:tcPr>
            <w:tcW w:w="2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70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620" w:type="dxa"/>
            <w:vAlign w:val="bottom"/>
            <w:shd w:val="clear" w:color="auto" w:fill="00C08A"/>
          </w:tcPr>
          <w:p>
            <w:pPr>
              <w:spacing w:after="0" w:line="20" w:lineRule="exact"/>
              <w:rPr>
                <w:sz w:val="1"/>
                <w:szCs w:val="1"/>
                <w:color w:val="auto"/>
              </w:rPr>
            </w:pPr>
          </w:p>
        </w:tc>
        <w:tc>
          <w:tcPr>
            <w:tcW w:w="140" w:type="dxa"/>
            <w:vAlign w:val="bottom"/>
            <w:shd w:val="clear" w:color="auto" w:fill="00C08A"/>
          </w:tcPr>
          <w:p>
            <w:pPr>
              <w:spacing w:after="0" w:line="20" w:lineRule="exact"/>
              <w:rPr>
                <w:sz w:val="1"/>
                <w:szCs w:val="1"/>
                <w:color w:val="auto"/>
              </w:rPr>
            </w:pPr>
          </w:p>
        </w:tc>
        <w:tc>
          <w:tcPr>
            <w:tcW w:w="20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1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5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540" w:type="dxa"/>
            <w:vAlign w:val="bottom"/>
            <w:shd w:val="clear" w:color="auto" w:fill="00C08A"/>
          </w:tcPr>
          <w:p>
            <w:pPr>
              <w:spacing w:after="0" w:line="20" w:lineRule="exact"/>
              <w:rPr>
                <w:sz w:val="1"/>
                <w:szCs w:val="1"/>
                <w:color w:val="auto"/>
              </w:rPr>
            </w:pPr>
          </w:p>
        </w:tc>
        <w:tc>
          <w:tcPr>
            <w:tcW w:w="180" w:type="dxa"/>
            <w:vAlign w:val="bottom"/>
            <w:shd w:val="clear" w:color="auto" w:fill="00C08A"/>
          </w:tcPr>
          <w:p>
            <w:pPr>
              <w:spacing w:after="0" w:line="20" w:lineRule="exact"/>
              <w:rPr>
                <w:sz w:val="1"/>
                <w:szCs w:val="1"/>
                <w:color w:val="auto"/>
              </w:rPr>
            </w:pPr>
          </w:p>
        </w:tc>
        <w:tc>
          <w:tcPr>
            <w:tcW w:w="14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62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auto"/>
              </w:rPr>
              <w:t>Brett Fairclough</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Arial" w:cs="Arial" w:eastAsia="Arial" w:hAnsi="Arial"/>
                <w:sz w:val="14"/>
                <w:szCs w:val="14"/>
                <w:i w:val="1"/>
                <w:iCs w:val="1"/>
                <w:color w:val="auto"/>
              </w:rPr>
              <w:t>Annual Bonus(1)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ind w:left="22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​2,000,000</w:t>
            </w:r>
            <w:r>
              <w:rPr>
                <w:rFonts w:ascii="Arial" w:cs="Arial" w:eastAsia="Arial" w:hAnsi="Arial"/>
                <w:sz w:val="23"/>
                <w:szCs w:val="23"/>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color w:val="auto"/>
              </w:rPr>
              <w:t xml:space="preserve">3,000,000 </w:t>
            </w:r>
            <w:r>
              <w:rPr>
                <w:rFonts w:ascii="Arial" w:cs="Arial" w:eastAsia="Arial" w:hAnsi="Arial"/>
                <w:sz w:val="23"/>
                <w:szCs w:val="23"/>
                <w:color w:val="auto"/>
                <w:vertAlign w:val="subscript"/>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i w:val="1"/>
                <w:iCs w:val="1"/>
                <w:color w:val="auto"/>
              </w:rPr>
              <w:t>Restricted Shares</w:t>
            </w:r>
          </w:p>
        </w:tc>
        <w:tc>
          <w:tcPr>
            <w:tcW w:w="1000" w:type="dxa"/>
            <w:vAlign w:val="bottom"/>
            <w:tcBorders>
              <w:bottom w:val="single" w:sz="8" w:color="00C08A"/>
            </w:tcBorders>
            <w:gridSpan w:val="3"/>
            <w:shd w:val="clear" w:color="auto" w:fill="CCEEFF"/>
          </w:tcPr>
          <w:p>
            <w:pPr>
              <w:jc w:val="right"/>
              <w:ind w:right="4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​2/27/2020</w:t>
            </w:r>
            <w:r>
              <w:rPr>
                <w:rFonts w:ascii="Arial" w:cs="Arial" w:eastAsia="Arial" w:hAnsi="Arial"/>
                <w:sz w:val="23"/>
                <w:szCs w:val="23"/>
                <w:color w:val="auto"/>
                <w:vertAlign w:val="subscript"/>
              </w:rPr>
              <w:t>​​​</w:t>
            </w:r>
          </w:p>
        </w:tc>
        <w:tc>
          <w:tcPr>
            <w:tcW w:w="580" w:type="dxa"/>
            <w:vAlign w:val="bottom"/>
            <w:tcBorders>
              <w:bottom w:val="single" w:sz="8" w:color="00C08A"/>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C08A"/>
            </w:tcBorders>
            <w:shd w:val="clear" w:color="auto" w:fill="CCEEFF"/>
          </w:tcPr>
          <w:p>
            <w:pPr>
              <w:jc w:val="right"/>
              <w:ind w:right="47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tcBorders>
              <w:bottom w:val="single" w:sz="8" w:color="00C08A"/>
            </w:tcBorders>
            <w:shd w:val="clear" w:color="auto" w:fill="CCEEFF"/>
          </w:tcPr>
          <w:p>
            <w:pPr>
              <w:spacing w:after="0"/>
              <w:rPr>
                <w:sz w:val="17"/>
                <w:szCs w:val="17"/>
                <w:color w:val="auto"/>
              </w:rPr>
            </w:pPr>
          </w:p>
        </w:tc>
        <w:tc>
          <w:tcPr>
            <w:tcW w:w="1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C08A"/>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25,000</w:t>
            </w:r>
          </w:p>
        </w:tc>
        <w:tc>
          <w:tcPr>
            <w:tcW w:w="140" w:type="dxa"/>
            <w:vAlign w:val="bottom"/>
            <w:tcBorders>
              <w:bottom w:val="single" w:sz="8" w:color="00C08A"/>
            </w:tcBorders>
            <w:shd w:val="clear" w:color="auto" w:fill="CCEEFF"/>
          </w:tcPr>
          <w:p>
            <w:pPr>
              <w:spacing w:after="0"/>
              <w:rPr>
                <w:sz w:val="17"/>
                <w:szCs w:val="17"/>
                <w:color w:val="auto"/>
              </w:rPr>
            </w:pPr>
          </w:p>
        </w:tc>
        <w:tc>
          <w:tcPr>
            <w:tcW w:w="2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C08A"/>
            </w:tcBorders>
            <w:shd w:val="clear" w:color="auto" w:fill="CCEEFF"/>
          </w:tcPr>
          <w:p>
            <w:pPr>
              <w:ind w:left="40"/>
              <w:spacing w:after="0"/>
              <w:rPr>
                <w:sz w:val="20"/>
                <w:szCs w:val="20"/>
                <w:color w:val="auto"/>
              </w:rPr>
            </w:pPr>
            <w:r>
              <w:rPr>
                <w:rFonts w:ascii="Arial" w:cs="Arial" w:eastAsia="Arial" w:hAnsi="Arial"/>
                <w:sz w:val="14"/>
                <w:szCs w:val="14"/>
                <w:color w:val="auto"/>
              </w:rPr>
              <w:t>50,000</w:t>
            </w:r>
          </w:p>
        </w:tc>
        <w:tc>
          <w:tcPr>
            <w:tcW w:w="240" w:type="dxa"/>
            <w:vAlign w:val="bottom"/>
            <w:tcBorders>
              <w:bottom w:val="single" w:sz="8" w:color="00C08A"/>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934,500</w:t>
            </w:r>
          </w:p>
        </w:tc>
        <w:tc>
          <w:tcPr>
            <w:tcW w:w="60" w:type="dxa"/>
            <w:vAlign w:val="bottom"/>
            <w:tcBorders>
              <w:bottom w:val="single" w:sz="8" w:color="00C08A"/>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auto"/>
              </w:rPr>
              <w:t>Stephen Cavoli</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Annual Bonus(1)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​2,000,000</w:t>
            </w:r>
            <w:r>
              <w:rPr>
                <w:rFonts w:ascii="Arial" w:cs="Arial" w:eastAsia="Arial" w:hAnsi="Arial"/>
                <w:sz w:val="23"/>
                <w:szCs w:val="23"/>
                <w:color w:val="auto"/>
                <w:vertAlign w:val="subscript"/>
              </w:rPr>
              <w:t>​​​</w:t>
            </w:r>
            <w:r>
              <w:rPr>
                <w:rFonts w:ascii="Arial" w:cs="Arial" w:eastAsia="Arial" w:hAnsi="Arial"/>
                <w:sz w:val="13"/>
                <w:szCs w:val="13"/>
                <w:b w:val="1"/>
                <w:bCs w:val="1"/>
                <w:color w:val="auto"/>
              </w:rPr>
              <w:t>​</w:t>
            </w:r>
            <w:r>
              <w:rPr>
                <w:rFonts w:ascii="Arial" w:cs="Arial" w:eastAsia="Arial" w:hAnsi="Arial"/>
                <w:sz w:val="13"/>
                <w:szCs w:val="13"/>
                <w:color w:val="auto"/>
              </w:rPr>
              <w:t xml:space="preserve">3,000,000 </w:t>
            </w:r>
            <w:r>
              <w:rPr>
                <w:rFonts w:ascii="Arial" w:cs="Arial" w:eastAsia="Arial" w:hAnsi="Arial"/>
                <w:sz w:val="23"/>
                <w:szCs w:val="23"/>
                <w:color w:val="auto"/>
                <w:vertAlign w:val="subscript"/>
              </w:rPr>
              <w:t>​​​</w:t>
            </w:r>
          </w:p>
        </w:tc>
        <w:tc>
          <w:tcPr>
            <w:tcW w:w="6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00C08A"/>
            </w:tcBorders>
          </w:tcPr>
          <w:p>
            <w:pPr>
              <w:spacing w:after="0"/>
              <w:rPr>
                <w:sz w:val="20"/>
                <w:szCs w:val="20"/>
                <w:color w:val="auto"/>
              </w:rPr>
            </w:pPr>
            <w:r>
              <w:rPr>
                <w:rFonts w:ascii="Arial" w:cs="Arial" w:eastAsia="Arial" w:hAnsi="Arial"/>
                <w:sz w:val="14"/>
                <w:szCs w:val="14"/>
                <w:i w:val="1"/>
                <w:iCs w:val="1"/>
                <w:color w:val="auto"/>
              </w:rPr>
              <w:t>Restricted Shares</w:t>
            </w:r>
          </w:p>
        </w:tc>
        <w:tc>
          <w:tcPr>
            <w:tcW w:w="1000" w:type="dxa"/>
            <w:vAlign w:val="bottom"/>
            <w:tcBorders>
              <w:bottom w:val="single" w:sz="8" w:color="00C08A"/>
            </w:tcBorders>
            <w:gridSpan w:val="3"/>
          </w:tcPr>
          <w:p>
            <w:pPr>
              <w:jc w:val="right"/>
              <w:ind w:right="4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​2/27/2020</w:t>
            </w:r>
            <w:r>
              <w:rPr>
                <w:rFonts w:ascii="Arial" w:cs="Arial" w:eastAsia="Arial" w:hAnsi="Arial"/>
                <w:sz w:val="23"/>
                <w:szCs w:val="23"/>
                <w:color w:val="auto"/>
                <w:vertAlign w:val="subscript"/>
              </w:rPr>
              <w:t>​​​</w:t>
            </w:r>
          </w:p>
        </w:tc>
        <w:tc>
          <w:tcPr>
            <w:tcW w:w="580" w:type="dxa"/>
            <w:vAlign w:val="bottom"/>
            <w:tcBorders>
              <w:bottom w:val="single" w:sz="8" w:color="00C08A"/>
            </w:tcBorders>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C08A"/>
            </w:tcBorders>
          </w:tcPr>
          <w:p>
            <w:pPr>
              <w:jc w:val="right"/>
              <w:ind w:right="47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tcBorders>
              <w:bottom w:val="single" w:sz="8" w:color="00C08A"/>
            </w:tcBorders>
          </w:tcPr>
          <w:p>
            <w:pPr>
              <w:spacing w:after="0"/>
              <w:rPr>
                <w:sz w:val="17"/>
                <w:szCs w:val="17"/>
                <w:color w:val="auto"/>
              </w:rPr>
            </w:pP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C08A"/>
            </w:tcBorders>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25,000</w:t>
            </w:r>
          </w:p>
        </w:tc>
        <w:tc>
          <w:tcPr>
            <w:tcW w:w="140" w:type="dxa"/>
            <w:vAlign w:val="bottom"/>
            <w:tcBorders>
              <w:bottom w:val="single" w:sz="8" w:color="00C08A"/>
            </w:tcBorders>
          </w:tcPr>
          <w:p>
            <w:pPr>
              <w:spacing w:after="0"/>
              <w:rPr>
                <w:sz w:val="17"/>
                <w:szCs w:val="17"/>
                <w:color w:val="auto"/>
              </w:rPr>
            </w:pPr>
          </w:p>
        </w:tc>
        <w:tc>
          <w:tcPr>
            <w:tcW w:w="20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tcPr>
          <w:p>
            <w:pPr>
              <w:ind w:lef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C08A"/>
            </w:tcBorders>
          </w:tcPr>
          <w:p>
            <w:pPr>
              <w:ind w:left="40"/>
              <w:spacing w:after="0"/>
              <w:rPr>
                <w:sz w:val="20"/>
                <w:szCs w:val="20"/>
                <w:color w:val="auto"/>
              </w:rPr>
            </w:pPr>
            <w:r>
              <w:rPr>
                <w:rFonts w:ascii="Arial" w:cs="Arial" w:eastAsia="Arial" w:hAnsi="Arial"/>
                <w:sz w:val="14"/>
                <w:szCs w:val="14"/>
                <w:color w:val="auto"/>
              </w:rPr>
              <w:t>50,000</w:t>
            </w:r>
          </w:p>
        </w:tc>
        <w:tc>
          <w:tcPr>
            <w:tcW w:w="240" w:type="dxa"/>
            <w:vAlign w:val="bottom"/>
            <w:tcBorders>
              <w:bottom w:val="single" w:sz="8" w:color="00C08A"/>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C08A"/>
            </w:tcBorders>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0C08A"/>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0C08A"/>
            </w:tcBorders>
          </w:tcPr>
          <w:p>
            <w:pPr>
              <w:ind w:left="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934,500</w:t>
            </w:r>
          </w:p>
        </w:tc>
        <w:tc>
          <w:tcPr>
            <w:tcW w:w="60" w:type="dxa"/>
            <w:vAlign w:val="bottom"/>
            <w:tcBorders>
              <w:bottom w:val="single" w:sz="8" w:color="00C08A"/>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auto"/>
              </w:rPr>
              <w:t>Sean P. Galvin</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4"/>
                <w:szCs w:val="14"/>
                <w:i w:val="1"/>
                <w:iCs w:val="1"/>
                <w:color w:val="auto"/>
              </w:rPr>
              <w:t>Restricted Stock Units</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40"/>
              <w:spacing w:after="0" w:line="149" w:lineRule="exact"/>
              <w:rPr>
                <w:sz w:val="20"/>
                <w:szCs w:val="20"/>
                <w:color w:val="auto"/>
              </w:rPr>
            </w:pPr>
            <w:r>
              <w:rPr>
                <w:rFonts w:ascii="Arial" w:cs="Arial" w:eastAsia="Arial" w:hAnsi="Arial"/>
                <w:sz w:val="14"/>
                <w:szCs w:val="14"/>
                <w:color w:val="auto"/>
                <w:w w:val="99"/>
              </w:rPr>
              <w:t>2/3/2022</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rPr>
              <w:t>​ ​</w:t>
            </w:r>
          </w:p>
        </w:tc>
        <w:tc>
          <w:tcPr>
            <w:tcW w:w="500" w:type="dxa"/>
            <w:vAlign w:val="bottom"/>
          </w:tcPr>
          <w:p>
            <w:pPr>
              <w:spacing w:after="0"/>
              <w:rPr>
                <w:sz w:val="12"/>
                <w:szCs w:val="12"/>
                <w:color w:val="auto"/>
              </w:rPr>
            </w:pPr>
          </w:p>
        </w:tc>
        <w:tc>
          <w:tcPr>
            <w:tcW w:w="160" w:type="dxa"/>
            <w:vAlign w:val="bottom"/>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ind w:left="80"/>
              <w:spacing w:after="0" w:line="149" w:lineRule="exact"/>
              <w:rPr>
                <w:sz w:val="20"/>
                <w:szCs w:val="20"/>
                <w:color w:val="auto"/>
              </w:rPr>
            </w:pPr>
            <w:r>
              <w:rPr>
                <w:rFonts w:ascii="Arial" w:cs="Arial" w:eastAsia="Arial" w:hAnsi="Arial"/>
                <w:sz w:val="14"/>
                <w:szCs w:val="14"/>
                <w:color w:val="auto"/>
              </w:rPr>
              <w:t>​45,000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​1,396,350</w:t>
            </w:r>
          </w:p>
        </w:tc>
        <w:tc>
          <w:tcPr>
            <w:tcW w:w="60" w:type="dxa"/>
            <w:vAlign w:val="bottom"/>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1740" w:type="dxa"/>
            <w:vAlign w:val="bottom"/>
            <w:tcBorders>
              <w:bottom w:val="single" w:sz="8" w:color="00C08A"/>
            </w:tcBorders>
            <w:vMerge w:val="continue"/>
          </w:tcPr>
          <w:p>
            <w:pPr>
              <w:spacing w:after="0"/>
              <w:rPr>
                <w:sz w:val="8"/>
                <w:szCs w:val="8"/>
                <w:color w:val="auto"/>
              </w:rPr>
            </w:pPr>
          </w:p>
        </w:tc>
        <w:tc>
          <w:tcPr>
            <w:tcW w:w="180" w:type="dxa"/>
            <w:vAlign w:val="bottom"/>
            <w:tcBorders>
              <w:bottom w:val="single" w:sz="8" w:color="00C08A"/>
            </w:tcBorders>
          </w:tcPr>
          <w:p>
            <w:pPr>
              <w:jc w:val="right"/>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C08A"/>
            </w:tcBorders>
          </w:tcPr>
          <w:p>
            <w:pPr>
              <w:spacing w:after="0"/>
              <w:rPr>
                <w:sz w:val="8"/>
                <w:szCs w:val="8"/>
                <w:color w:val="auto"/>
              </w:rPr>
            </w:pPr>
          </w:p>
        </w:tc>
        <w:tc>
          <w:tcPr>
            <w:tcW w:w="220" w:type="dxa"/>
            <w:vAlign w:val="bottom"/>
            <w:tcBorders>
              <w:bottom w:val="single" w:sz="8" w:color="00C08A"/>
            </w:tcBorders>
            <w:vMerge w:val="continue"/>
          </w:tcPr>
          <w:p>
            <w:pPr>
              <w:spacing w:after="0"/>
              <w:rPr>
                <w:sz w:val="8"/>
                <w:szCs w:val="8"/>
                <w:color w:val="auto"/>
              </w:rPr>
            </w:pPr>
          </w:p>
        </w:tc>
        <w:tc>
          <w:tcPr>
            <w:tcW w:w="580" w:type="dxa"/>
            <w:vAlign w:val="bottom"/>
            <w:tcBorders>
              <w:bottom w:val="single" w:sz="8" w:color="00C08A"/>
            </w:tcBorders>
          </w:tcPr>
          <w:p>
            <w:pPr>
              <w:spacing w:after="0"/>
              <w:rPr>
                <w:sz w:val="8"/>
                <w:szCs w:val="8"/>
                <w:color w:val="auto"/>
              </w:rPr>
            </w:pPr>
          </w:p>
        </w:tc>
        <w:tc>
          <w:tcPr>
            <w:tcW w:w="700" w:type="dxa"/>
            <w:vAlign w:val="bottom"/>
            <w:tcBorders>
              <w:bottom w:val="single" w:sz="8" w:color="00C08A"/>
            </w:tcBorders>
          </w:tcPr>
          <w:p>
            <w:pPr>
              <w:jc w:val="right"/>
              <w:ind w:right="492"/>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00C08A"/>
            </w:tcBorders>
          </w:tcPr>
          <w:p>
            <w:pPr>
              <w:jc w:val="center"/>
              <w:spacing w:after="0" w:line="9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C08A"/>
            </w:tcBorders>
          </w:tcPr>
          <w:p>
            <w:pPr>
              <w:spacing w:after="0"/>
              <w:rPr>
                <w:sz w:val="8"/>
                <w:szCs w:val="8"/>
                <w:color w:val="auto"/>
              </w:rPr>
            </w:pPr>
          </w:p>
        </w:tc>
        <w:tc>
          <w:tcPr>
            <w:tcW w:w="160" w:type="dxa"/>
            <w:vAlign w:val="bottom"/>
            <w:tcBorders>
              <w:bottom w:val="single" w:sz="8" w:color="00C08A"/>
            </w:tcBorders>
          </w:tcPr>
          <w:p>
            <w:pPr>
              <w:jc w:val="right"/>
              <w:spacing w:after="0" w:line="9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00C08A"/>
            </w:tcBorders>
          </w:tcPr>
          <w:p>
            <w:pPr>
              <w:ind w:left="160"/>
              <w:spacing w:after="0" w:line="95"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00C08A"/>
            </w:tcBorders>
          </w:tcPr>
          <w:p>
            <w:pPr>
              <w:spacing w:after="0"/>
              <w:rPr>
                <w:sz w:val="8"/>
                <w:szCs w:val="8"/>
                <w:color w:val="auto"/>
              </w:rPr>
            </w:pPr>
          </w:p>
        </w:tc>
        <w:tc>
          <w:tcPr>
            <w:tcW w:w="200" w:type="dxa"/>
            <w:vAlign w:val="bottom"/>
            <w:tcBorders>
              <w:bottom w:val="single" w:sz="8" w:color="00C08A"/>
            </w:tcBorders>
            <w:vMerge w:val="continue"/>
          </w:tcPr>
          <w:p>
            <w:pPr>
              <w:spacing w:after="0"/>
              <w:rPr>
                <w:sz w:val="8"/>
                <w:szCs w:val="8"/>
                <w:color w:val="auto"/>
              </w:rPr>
            </w:pPr>
          </w:p>
        </w:tc>
        <w:tc>
          <w:tcPr>
            <w:tcW w:w="500" w:type="dxa"/>
            <w:vAlign w:val="bottom"/>
            <w:tcBorders>
              <w:bottom w:val="single" w:sz="8" w:color="00C08A"/>
            </w:tcBorders>
          </w:tcPr>
          <w:p>
            <w:pPr>
              <w:spacing w:after="0"/>
              <w:rPr>
                <w:sz w:val="8"/>
                <w:szCs w:val="8"/>
                <w:color w:val="auto"/>
              </w:rPr>
            </w:pPr>
          </w:p>
        </w:tc>
        <w:tc>
          <w:tcPr>
            <w:tcW w:w="180" w:type="dxa"/>
            <w:vAlign w:val="bottom"/>
            <w:tcBorders>
              <w:bottom w:val="single" w:sz="8" w:color="00C08A"/>
            </w:tcBorders>
            <w:vMerge w:val="continue"/>
          </w:tcPr>
          <w:p>
            <w:pPr>
              <w:spacing w:after="0"/>
              <w:rPr>
                <w:sz w:val="8"/>
                <w:szCs w:val="8"/>
                <w:color w:val="auto"/>
              </w:rPr>
            </w:pPr>
          </w:p>
        </w:tc>
        <w:tc>
          <w:tcPr>
            <w:tcW w:w="160" w:type="dxa"/>
            <w:vAlign w:val="bottom"/>
            <w:tcBorders>
              <w:bottom w:val="single" w:sz="8" w:color="00C08A"/>
            </w:tcBorders>
          </w:tcPr>
          <w:p>
            <w:pPr>
              <w:ind w:left="10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00C08A"/>
            </w:tcBorders>
          </w:tcPr>
          <w:p>
            <w:pPr>
              <w:spacing w:after="0"/>
              <w:rPr>
                <w:sz w:val="8"/>
                <w:szCs w:val="8"/>
                <w:color w:val="auto"/>
              </w:rPr>
            </w:pPr>
          </w:p>
        </w:tc>
        <w:tc>
          <w:tcPr>
            <w:tcW w:w="240" w:type="dxa"/>
            <w:vAlign w:val="bottom"/>
            <w:tcBorders>
              <w:bottom w:val="single" w:sz="8" w:color="00C08A"/>
            </w:tcBorders>
            <w:vMerge w:val="continue"/>
          </w:tcPr>
          <w:p>
            <w:pPr>
              <w:spacing w:after="0"/>
              <w:rPr>
                <w:sz w:val="8"/>
                <w:szCs w:val="8"/>
                <w:color w:val="auto"/>
              </w:rPr>
            </w:pPr>
          </w:p>
        </w:tc>
        <w:tc>
          <w:tcPr>
            <w:tcW w:w="540" w:type="dxa"/>
            <w:vAlign w:val="bottom"/>
            <w:tcBorders>
              <w:bottom w:val="single" w:sz="8" w:color="00C08A"/>
            </w:tcBorders>
          </w:tcPr>
          <w:p>
            <w:pPr>
              <w:ind w:left="80"/>
              <w:spacing w:after="0" w:line="95"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00C08A"/>
            </w:tcBorders>
          </w:tcPr>
          <w:p>
            <w:pPr>
              <w:spacing w:after="0"/>
              <w:rPr>
                <w:sz w:val="8"/>
                <w:szCs w:val="8"/>
                <w:color w:val="auto"/>
              </w:rPr>
            </w:pPr>
          </w:p>
        </w:tc>
        <w:tc>
          <w:tcPr>
            <w:tcW w:w="200" w:type="dxa"/>
            <w:vAlign w:val="bottom"/>
            <w:tcBorders>
              <w:bottom w:val="single" w:sz="8" w:color="00C08A"/>
            </w:tcBorders>
            <w:gridSpan w:val="2"/>
          </w:tcPr>
          <w:p>
            <w:pPr>
              <w:ind w:left="20"/>
              <w:spacing w:after="0" w:line="95" w:lineRule="exact"/>
              <w:rPr>
                <w:sz w:val="20"/>
                <w:szCs w:val="20"/>
                <w:color w:val="auto"/>
              </w:rPr>
            </w:pPr>
            <w:r>
              <w:rPr>
                <w:rFonts w:ascii="Arial" w:cs="Arial" w:eastAsia="Arial" w:hAnsi="Arial"/>
                <w:sz w:val="10"/>
                <w:szCs w:val="10"/>
                <w:color w:val="auto"/>
              </w:rPr>
              <w:t>​​​ ​</w:t>
            </w:r>
          </w:p>
        </w:tc>
        <w:tc>
          <w:tcPr>
            <w:tcW w:w="620" w:type="dxa"/>
            <w:vAlign w:val="bottom"/>
            <w:tcBorders>
              <w:bottom w:val="single" w:sz="8" w:color="00C08A"/>
            </w:tcBorders>
          </w:tcPr>
          <w:p>
            <w:pPr>
              <w:spacing w:after="0"/>
              <w:rPr>
                <w:sz w:val="8"/>
                <w:szCs w:val="8"/>
                <w:color w:val="auto"/>
              </w:rPr>
            </w:pPr>
          </w:p>
        </w:tc>
        <w:tc>
          <w:tcPr>
            <w:tcW w:w="60" w:type="dxa"/>
            <w:vAlign w:val="bottom"/>
            <w:tcBorders>
              <w:bottom w:val="single" w:sz="8" w:color="00C08A"/>
            </w:tcBorders>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-1885315</wp:posOffset>
            </wp:positionV>
            <wp:extent cx="582930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29300" cy="1460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-1087755</wp:posOffset>
            </wp:positionV>
            <wp:extent cx="582930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29300" cy="1371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-299720</wp:posOffset>
            </wp:positionV>
            <wp:extent cx="582930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52" w:lineRule="exact"/>
        <w:rPr>
          <w:sz w:val="20"/>
          <w:szCs w:val="20"/>
          <w:color w:val="auto"/>
        </w:rPr>
      </w:pPr>
    </w:p>
    <w:p>
      <w:pPr>
        <w:ind w:left="1080" w:right="180" w:hanging="318"/>
        <w:spacing w:after="0" w:line="298"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This bonus, to the extent earned, is settled 50% in cash, 30% in restricted stock units that vest in three equal annual installments and 20% in fully vested common stock, subject to any deferrals (see “Employee Benefits and Perquisites” on page </w:t>
      </w:r>
      <w:r>
        <w:rPr>
          <w:rFonts w:ascii="Arial" w:cs="Arial" w:eastAsia="Arial" w:hAnsi="Arial"/>
          <w:sz w:val="14"/>
          <w:szCs w:val="14"/>
          <w:u w:val="single" w:color="auto"/>
          <w:color w:val="0000EE"/>
        </w:rPr>
        <w:t>27</w:t>
      </w:r>
      <w:r>
        <w:rPr>
          <w:rFonts w:ascii="Arial" w:cs="Arial" w:eastAsia="Arial" w:hAnsi="Arial"/>
          <w:sz w:val="14"/>
          <w:szCs w:val="14"/>
          <w:color w:val="auto"/>
        </w:rPr>
        <w:t xml:space="preserve"> of this proxy statement).</w:t>
      </w:r>
    </w:p>
    <w:p>
      <w:pPr>
        <w:spacing w:after="0" w:line="99" w:lineRule="exact"/>
        <w:rPr>
          <w:rFonts w:ascii="Arial" w:cs="Arial" w:eastAsia="Arial" w:hAnsi="Arial"/>
          <w:sz w:val="14"/>
          <w:szCs w:val="14"/>
          <w:color w:val="auto"/>
        </w:rPr>
      </w:pPr>
    </w:p>
    <w:p>
      <w:pPr>
        <w:ind w:left="1080" w:right="140" w:hanging="318"/>
        <w:spacing w:after="0" w:line="268"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For Messrs. Molluso, Fairclough, and Cavoli, the amount shown with respect to the restricted shares that vest based on budgeted adjusted EBITDA represent the value of only the 2022 portion of the 2020-2022 grant because the grant is subject to three single-year performance periods (2020, 2021, and 2022).</w:t>
      </w:r>
    </w:p>
    <w:p>
      <w:pPr>
        <w:ind w:left="1080" w:right="200"/>
        <w:spacing w:after="0" w:line="278" w:lineRule="auto"/>
        <w:rPr>
          <w:rFonts w:ascii="Arial" w:cs="Arial" w:eastAsia="Arial" w:hAnsi="Arial"/>
          <w:sz w:val="14"/>
          <w:szCs w:val="14"/>
          <w:color w:val="auto"/>
        </w:rPr>
      </w:pPr>
      <w:r>
        <w:rPr>
          <w:rFonts w:ascii="Arial" w:cs="Arial" w:eastAsia="Arial" w:hAnsi="Arial"/>
          <w:sz w:val="14"/>
          <w:szCs w:val="14"/>
          <w:color w:val="auto"/>
        </w:rPr>
        <w:t>Assumptions used in calculating these amounts are described in Note 19 of the Company’s audited financial statements for the fiscal year ended December 31, 2022, included in our Annual Report on Form 10-K for the fiscal year ended December 31, 2022.</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29"/>
          <w:szCs w:val="29"/>
          <w:color w:val="00C08A"/>
        </w:rPr>
        <w:t>PAY VERSUS PERFORMANCE</w:t>
      </w:r>
    </w:p>
    <w:p>
      <w:pPr>
        <w:spacing w:after="0" w:line="102" w:lineRule="exact"/>
        <w:rPr>
          <w:sz w:val="20"/>
          <w:szCs w:val="20"/>
          <w:color w:val="auto"/>
        </w:rPr>
      </w:pPr>
    </w:p>
    <w:p>
      <w:pPr>
        <w:ind w:left="760" w:right="320"/>
        <w:spacing w:after="0" w:line="264" w:lineRule="auto"/>
        <w:rPr>
          <w:sz w:val="20"/>
          <w:szCs w:val="20"/>
          <w:color w:val="auto"/>
        </w:rPr>
      </w:pPr>
      <w:r>
        <w:rPr>
          <w:rFonts w:ascii="Arial" w:cs="Arial" w:eastAsia="Arial" w:hAnsi="Arial"/>
          <w:sz w:val="18"/>
          <w:szCs w:val="18"/>
          <w:color w:val="auto"/>
        </w:rPr>
        <w:t>The following table presents information required by Item 402(v) of Regulation S-K. For information regarding the Company’s pay-for-performance philosophy and how the Company aligns executive compensation with the Company’s performance, please refer above to “Executive Compensation — Compensation Discussion and Analysis.”</w:t>
      </w:r>
    </w:p>
    <w:p>
      <w:pPr>
        <w:spacing w:after="0" w:line="88"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2453"/>
                <w:w w:val="97"/>
              </w:rPr>
              <w:t>Average</w:t>
            </w:r>
          </w:p>
        </w:tc>
        <w:tc>
          <w:tcPr>
            <w:tcW w:w="1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3"/>
              </w:rPr>
              <w:t>Average</w:t>
            </w: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002453"/>
              </w:rPr>
              <w:t>​</w:t>
            </w:r>
          </w:p>
        </w:tc>
        <w:tc>
          <w:tcPr>
            <w:tcW w:w="1620" w:type="dxa"/>
            <w:vAlign w:val="bottom"/>
            <w:gridSpan w:val="3"/>
          </w:tcPr>
          <w:p>
            <w:pPr>
              <w:jc w:val="right"/>
              <w:ind w:right="23"/>
              <w:spacing w:after="0"/>
              <w:rPr>
                <w:sz w:val="20"/>
                <w:szCs w:val="20"/>
                <w:color w:val="auto"/>
              </w:rPr>
            </w:pPr>
            <w:r>
              <w:rPr>
                <w:rFonts w:ascii="Arial" w:cs="Arial" w:eastAsia="Arial" w:hAnsi="Arial"/>
                <w:sz w:val="13"/>
                <w:szCs w:val="13"/>
                <w:b w:val="1"/>
                <w:bCs w:val="1"/>
                <w:color w:val="002453"/>
                <w:w w:val="96"/>
              </w:rPr>
              <w:t>Value of Initial Fixed $100</w:t>
            </w:r>
          </w:p>
        </w:tc>
        <w:tc>
          <w:tcPr>
            <w:tcW w:w="2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002453"/>
              </w:rPr>
              <w: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002453"/>
              </w:rPr>
              <w:t>​​</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3"/>
                <w:szCs w:val="13"/>
                <w:b w:val="1"/>
                <w:bCs w:val="1"/>
                <w:color w:val="002453"/>
                <w:w w:val="97"/>
              </w:rPr>
              <w:t>Summary</w:t>
            </w: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620" w:type="dxa"/>
            <w:vAlign w:val="bottom"/>
            <w:gridSpan w:val="3"/>
          </w:tcPr>
          <w:p>
            <w:pPr>
              <w:jc w:val="right"/>
              <w:ind w:right="23"/>
              <w:spacing w:after="0" w:line="129" w:lineRule="exact"/>
              <w:rPr>
                <w:sz w:val="20"/>
                <w:szCs w:val="20"/>
                <w:color w:val="auto"/>
              </w:rPr>
            </w:pPr>
            <w:r>
              <w:rPr>
                <w:rFonts w:ascii="Arial" w:cs="Arial" w:eastAsia="Arial" w:hAnsi="Arial"/>
                <w:sz w:val="13"/>
                <w:szCs w:val="13"/>
                <w:b w:val="1"/>
                <w:bCs w:val="1"/>
                <w:color w:val="002453"/>
                <w:w w:val="99"/>
              </w:rPr>
              <w:t>Investment Based On:(5)</w:t>
            </w:r>
          </w:p>
        </w:tc>
        <w:tc>
          <w:tcPr>
            <w:tcW w:w="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restart"/>
          </w:tcPr>
          <w:p>
            <w:pPr>
              <w:jc w:val="center"/>
              <w:spacing w:after="0" w:line="114" w:lineRule="exact"/>
              <w:rPr>
                <w:sz w:val="20"/>
                <w:szCs w:val="20"/>
                <w:color w:val="auto"/>
              </w:rPr>
            </w:pPr>
            <w:r>
              <w:rPr>
                <w:rFonts w:ascii="Arial" w:cs="Arial" w:eastAsia="Arial" w:hAnsi="Arial"/>
                <w:sz w:val="13"/>
                <w:szCs w:val="13"/>
                <w:b w:val="1"/>
                <w:bCs w:val="1"/>
                <w:color w:val="002453"/>
                <w:w w:val="95"/>
              </w:rPr>
              <w:t>Compensation</w:t>
            </w:r>
          </w:p>
        </w:tc>
        <w:tc>
          <w:tcPr>
            <w:tcW w:w="160" w:type="dxa"/>
            <w:vAlign w:val="bottom"/>
          </w:tcPr>
          <w:p>
            <w:pPr>
              <w:spacing w:after="0"/>
              <w:rPr>
                <w:sz w:val="6"/>
                <w:szCs w:val="6"/>
                <w:color w:val="auto"/>
              </w:rPr>
            </w:pPr>
          </w:p>
        </w:tc>
        <w:tc>
          <w:tcPr>
            <w:tcW w:w="1040" w:type="dxa"/>
            <w:vAlign w:val="bottom"/>
            <w:vMerge w:val="restart"/>
          </w:tcPr>
          <w:p>
            <w:pPr>
              <w:jc w:val="center"/>
              <w:spacing w:after="0" w:line="114" w:lineRule="exact"/>
              <w:rPr>
                <w:sz w:val="20"/>
                <w:szCs w:val="20"/>
                <w:color w:val="auto"/>
              </w:rPr>
            </w:pPr>
            <w:r>
              <w:rPr>
                <w:rFonts w:ascii="Arial" w:cs="Arial" w:eastAsia="Arial" w:hAnsi="Arial"/>
                <w:sz w:val="13"/>
                <w:szCs w:val="13"/>
                <w:b w:val="1"/>
                <w:bCs w:val="1"/>
                <w:color w:val="002453"/>
                <w:w w:val="97"/>
              </w:rPr>
              <w:t>Compensation</w:t>
            </w:r>
          </w:p>
        </w:tc>
        <w:tc>
          <w:tcPr>
            <w:tcW w:w="60" w:type="dxa"/>
            <w:vAlign w:val="bottom"/>
          </w:tcPr>
          <w:p>
            <w:pPr>
              <w:spacing w:after="0"/>
              <w:rPr>
                <w:sz w:val="6"/>
                <w:szCs w:val="6"/>
                <w:color w:val="auto"/>
              </w:rPr>
            </w:pPr>
          </w:p>
        </w:tc>
        <w:tc>
          <w:tcPr>
            <w:tcW w:w="100" w:type="dxa"/>
            <w:vAlign w:val="bottom"/>
            <w:tcBorders>
              <w:bottom w:val="single" w:sz="8" w:color="00C08A"/>
            </w:tcBorders>
          </w:tcPr>
          <w:p>
            <w:pPr>
              <w:spacing w:after="0"/>
              <w:rPr>
                <w:sz w:val="6"/>
                <w:szCs w:val="6"/>
                <w:color w:val="auto"/>
              </w:rPr>
            </w:pPr>
          </w:p>
        </w:tc>
        <w:tc>
          <w:tcPr>
            <w:tcW w:w="720" w:type="dxa"/>
            <w:vAlign w:val="bottom"/>
            <w:tcBorders>
              <w:bottom w:val="single" w:sz="8" w:color="00C08A"/>
            </w:tcBorders>
          </w:tcPr>
          <w:p>
            <w:pPr>
              <w:spacing w:after="0"/>
              <w:rPr>
                <w:sz w:val="6"/>
                <w:szCs w:val="6"/>
                <w:color w:val="auto"/>
              </w:rPr>
            </w:pPr>
          </w:p>
        </w:tc>
        <w:tc>
          <w:tcPr>
            <w:tcW w:w="160" w:type="dxa"/>
            <w:vAlign w:val="bottom"/>
            <w:tcBorders>
              <w:bottom w:val="single" w:sz="8" w:color="00C08A"/>
            </w:tcBorders>
          </w:tcPr>
          <w:p>
            <w:pPr>
              <w:spacing w:after="0"/>
              <w:rPr>
                <w:sz w:val="6"/>
                <w:szCs w:val="6"/>
                <w:color w:val="auto"/>
              </w:rPr>
            </w:pPr>
          </w:p>
        </w:tc>
        <w:tc>
          <w:tcPr>
            <w:tcW w:w="740" w:type="dxa"/>
            <w:vAlign w:val="bottom"/>
            <w:tcBorders>
              <w:bottom w:val="single" w:sz="8" w:color="00C08A"/>
            </w:tcBorders>
          </w:tcPr>
          <w:p>
            <w:pPr>
              <w:spacing w:after="0"/>
              <w:rPr>
                <w:sz w:val="6"/>
                <w:szCs w:val="6"/>
                <w:color w:val="auto"/>
              </w:rPr>
            </w:pPr>
          </w:p>
        </w:tc>
        <w:tc>
          <w:tcPr>
            <w:tcW w:w="80" w:type="dxa"/>
            <w:vAlign w:val="bottom"/>
            <w:tcBorders>
              <w:bottom w:val="single" w:sz="8" w:color="00C08A"/>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2453"/>
                <w:w w:val="97"/>
              </w:rPr>
              <w:t>Summary</w:t>
            </w:r>
          </w:p>
        </w:tc>
        <w:tc>
          <w:tcPr>
            <w:tcW w:w="16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5"/>
              </w:rPr>
              <w:t>Compensation</w:t>
            </w:r>
          </w:p>
        </w:tc>
        <w:tc>
          <w:tcPr>
            <w:tcW w:w="1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002453"/>
                <w:w w:val="95"/>
              </w:rPr>
              <w:t>Table Total for</w:t>
            </w:r>
          </w:p>
        </w:tc>
        <w:tc>
          <w:tcPr>
            <w:tcW w:w="160" w:type="dxa"/>
            <w:vAlign w:val="bottom"/>
          </w:tcPr>
          <w:p>
            <w:pPr>
              <w:spacing w:after="0"/>
              <w:rPr>
                <w:sz w:val="11"/>
                <w:szCs w:val="11"/>
                <w:color w:val="auto"/>
              </w:rPr>
            </w:pPr>
          </w:p>
        </w:tc>
        <w:tc>
          <w:tcPr>
            <w:tcW w:w="1040" w:type="dxa"/>
            <w:vAlign w:val="bottom"/>
          </w:tcPr>
          <w:p>
            <w:pPr>
              <w:jc w:val="center"/>
              <w:ind w:right="2"/>
              <w:spacing w:after="0" w:line="135" w:lineRule="exact"/>
              <w:rPr>
                <w:sz w:val="20"/>
                <w:szCs w:val="20"/>
                <w:color w:val="auto"/>
              </w:rPr>
            </w:pPr>
            <w:r>
              <w:rPr>
                <w:rFonts w:ascii="Arial" w:cs="Arial" w:eastAsia="Arial" w:hAnsi="Arial"/>
                <w:sz w:val="13"/>
                <w:szCs w:val="13"/>
                <w:b w:val="1"/>
                <w:bCs w:val="1"/>
                <w:color w:val="002453"/>
                <w:w w:val="96"/>
              </w:rPr>
              <w:t>Actually Paid to</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ind w:right="2"/>
              <w:spacing w:after="0"/>
              <w:rPr>
                <w:sz w:val="20"/>
                <w:szCs w:val="20"/>
                <w:color w:val="auto"/>
              </w:rPr>
            </w:pPr>
            <w:r>
              <w:rPr>
                <w:rFonts w:ascii="Arial" w:cs="Arial" w:eastAsia="Arial" w:hAnsi="Arial"/>
                <w:sz w:val="13"/>
                <w:szCs w:val="13"/>
                <w:b w:val="1"/>
                <w:bCs w:val="1"/>
                <w:color w:val="002453"/>
                <w:w w:val="96"/>
              </w:rPr>
              <w:t>Total</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2453"/>
                <w:w w:val="95"/>
              </w:rPr>
              <w:t>Peer Group</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6"/>
              </w:rPr>
              <w:t>Adjusted EBITDA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1080" w:type="dxa"/>
            <w:vAlign w:val="bottom"/>
            <w:gridSpan w:val="2"/>
          </w:tcPr>
          <w:p>
            <w:pPr>
              <w:jc w:val="center"/>
              <w:ind w:left="112"/>
              <w:spacing w:after="0" w:line="122" w:lineRule="exact"/>
              <w:rPr>
                <w:sz w:val="20"/>
                <w:szCs w:val="20"/>
                <w:color w:val="auto"/>
              </w:rPr>
            </w:pPr>
            <w:r>
              <w:rPr>
                <w:rFonts w:ascii="Arial" w:cs="Arial" w:eastAsia="Arial" w:hAnsi="Arial"/>
                <w:sz w:val="13"/>
                <w:szCs w:val="13"/>
                <w:b w:val="1"/>
                <w:bCs w:val="1"/>
                <w:color w:val="002453"/>
                <w:w w:val="95"/>
              </w:rPr>
              <w:t>Compensation</w:t>
            </w:r>
          </w:p>
        </w:tc>
        <w:tc>
          <w:tcPr>
            <w:tcW w:w="1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140" w:type="dxa"/>
            <w:vAlign w:val="bottom"/>
            <w:gridSpan w:val="2"/>
          </w:tcPr>
          <w:p>
            <w:pPr>
              <w:jc w:val="center"/>
              <w:ind w:left="72"/>
              <w:spacing w:after="0" w:line="122" w:lineRule="exact"/>
              <w:rPr>
                <w:sz w:val="20"/>
                <w:szCs w:val="20"/>
                <w:color w:val="auto"/>
              </w:rPr>
            </w:pPr>
            <w:r>
              <w:rPr>
                <w:rFonts w:ascii="Arial" w:cs="Arial" w:eastAsia="Arial" w:hAnsi="Arial"/>
                <w:sz w:val="13"/>
                <w:szCs w:val="13"/>
                <w:b w:val="1"/>
                <w:bCs w:val="1"/>
                <w:color w:val="002453"/>
                <w:w w:val="96"/>
              </w:rPr>
              <w:t>non-CEO Named</w:t>
            </w:r>
          </w:p>
        </w:tc>
        <w:tc>
          <w:tcPr>
            <w:tcW w:w="16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9"/>
              </w:rPr>
              <w:t>non-CEO</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89"/>
              </w:rPr>
              <w:t>Total</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5"/>
              </w:rPr>
              <w:t>Table Total for</w:t>
            </w:r>
          </w:p>
        </w:tc>
        <w:tc>
          <w:tcPr>
            <w:tcW w:w="1100" w:type="dxa"/>
            <w:vAlign w:val="bottom"/>
            <w:gridSpan w:val="2"/>
          </w:tcPr>
          <w:p>
            <w:pPr>
              <w:jc w:val="center"/>
              <w:ind w:left="52"/>
              <w:spacing w:after="0" w:line="122" w:lineRule="exact"/>
              <w:rPr>
                <w:sz w:val="20"/>
                <w:szCs w:val="20"/>
                <w:color w:val="auto"/>
              </w:rPr>
            </w:pPr>
            <w:r>
              <w:rPr>
                <w:rFonts w:ascii="Arial" w:cs="Arial" w:eastAsia="Arial" w:hAnsi="Arial"/>
                <w:sz w:val="13"/>
                <w:szCs w:val="13"/>
                <w:b w:val="1"/>
                <w:bCs w:val="1"/>
                <w:color w:val="002453"/>
                <w:w w:val="96"/>
              </w:rPr>
              <w:t>Actually Paid to</w:t>
            </w:r>
          </w:p>
        </w:tc>
        <w:tc>
          <w:tcPr>
            <w:tcW w:w="16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5"/>
              </w:rPr>
              <w:t>Executive</w:t>
            </w:r>
          </w:p>
        </w:tc>
        <w:tc>
          <w:tcPr>
            <w:tcW w:w="1200" w:type="dxa"/>
            <w:vAlign w:val="bottom"/>
            <w:gridSpan w:val="2"/>
          </w:tcPr>
          <w:p>
            <w:pPr>
              <w:jc w:val="center"/>
              <w:ind w:left="52"/>
              <w:spacing w:after="0" w:line="122" w:lineRule="exact"/>
              <w:rPr>
                <w:sz w:val="20"/>
                <w:szCs w:val="20"/>
                <w:color w:val="auto"/>
              </w:rPr>
            </w:pPr>
            <w:r>
              <w:rPr>
                <w:rFonts w:ascii="Arial" w:cs="Arial" w:eastAsia="Arial" w:hAnsi="Arial"/>
                <w:sz w:val="13"/>
                <w:szCs w:val="13"/>
                <w:b w:val="1"/>
                <w:bCs w:val="1"/>
                <w:color w:val="002453"/>
                <w:w w:val="96"/>
              </w:rPr>
              <w:t>Named Executive</w:t>
            </w:r>
          </w:p>
        </w:tc>
        <w:tc>
          <w:tcPr>
            <w:tcW w:w="6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002453"/>
                <w:w w:val="97"/>
              </w:rPr>
              <w:t>Shareholder</w:t>
            </w:r>
          </w:p>
        </w:tc>
        <w:tc>
          <w:tcPr>
            <w:tcW w:w="900" w:type="dxa"/>
            <w:vAlign w:val="bottom"/>
            <w:gridSpan w:val="2"/>
          </w:tcPr>
          <w:p>
            <w:pPr>
              <w:jc w:val="center"/>
              <w:ind w:left="72"/>
              <w:spacing w:after="0" w:line="122" w:lineRule="exact"/>
              <w:rPr>
                <w:sz w:val="20"/>
                <w:szCs w:val="20"/>
                <w:color w:val="auto"/>
              </w:rPr>
            </w:pPr>
            <w:r>
              <w:rPr>
                <w:rFonts w:ascii="Arial" w:cs="Arial" w:eastAsia="Arial" w:hAnsi="Arial"/>
                <w:sz w:val="13"/>
                <w:szCs w:val="13"/>
                <w:b w:val="1"/>
                <w:bCs w:val="1"/>
                <w:color w:val="002453"/>
                <w:w w:val="94"/>
              </w:rPr>
              <w:t>Shareholder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5"/>
              </w:rPr>
              <w:t>(Company – Selected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20"/>
                <w:szCs w:val="20"/>
                <w:color w:val="auto"/>
              </w:rPr>
            </w:pPr>
            <w:r>
              <w:rPr>
                <w:rFonts w:ascii="Arial" w:cs="Arial" w:eastAsia="Arial" w:hAnsi="Arial"/>
                <w:sz w:val="13"/>
                <w:szCs w:val="13"/>
                <w:b w:val="1"/>
                <w:bCs w:val="1"/>
                <w:color w:val="002453"/>
              </w:rPr>
              <w:t>Year</w:t>
            </w:r>
          </w:p>
        </w:tc>
        <w:tc>
          <w:tcPr>
            <w:tcW w:w="200" w:type="dxa"/>
            <w:vAlign w:val="bottom"/>
          </w:tcPr>
          <w:p>
            <w:pPr>
              <w:ind w:left="100"/>
              <w:spacing w:after="0"/>
              <w:rPr>
                <w:sz w:val="20"/>
                <w:szCs w:val="20"/>
                <w:color w:val="auto"/>
              </w:rPr>
            </w:pPr>
            <w:r>
              <w:rPr>
                <w:rFonts w:ascii="Arial" w:cs="Arial" w:eastAsia="Arial" w:hAnsi="Arial"/>
                <w:sz w:val="13"/>
                <w:szCs w:val="13"/>
                <w:b w:val="1"/>
                <w:bCs w:val="1"/>
                <w:color w:val="002453"/>
              </w:rPr>
              <w:t>​ ​</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002453"/>
                <w:w w:val="95"/>
              </w:rPr>
              <w:t>CEO(1)</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2453"/>
              </w:rPr>
              <w:t>​ ​</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002453"/>
                <w:w w:val="95"/>
              </w:rPr>
              <w:t>CEO(3)</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2453"/>
              </w:rPr>
              <w:t>​ ​</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2453"/>
                <w:w w:val="95"/>
              </w:rPr>
              <w:t>Officers(2)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2453"/>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2453"/>
                <w:w w:val="98"/>
              </w:rPr>
              <w:t>Officers(4)</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002453"/>
              </w:rPr>
              <w:t>​ ​</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002453"/>
              </w:rPr>
              <w:t>Return</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2453"/>
              </w:rPr>
              <w:t>​ ​</w:t>
            </w:r>
          </w:p>
        </w:tc>
        <w:tc>
          <w:tcPr>
            <w:tcW w:w="740" w:type="dxa"/>
            <w:vAlign w:val="bottom"/>
          </w:tcPr>
          <w:p>
            <w:pPr>
              <w:ind w:left="100"/>
              <w:spacing w:after="0"/>
              <w:rPr>
                <w:sz w:val="20"/>
                <w:szCs w:val="20"/>
                <w:color w:val="auto"/>
              </w:rPr>
            </w:pPr>
            <w:r>
              <w:rPr>
                <w:rFonts w:ascii="Arial" w:cs="Arial" w:eastAsia="Arial" w:hAnsi="Arial"/>
                <w:sz w:val="13"/>
                <w:szCs w:val="13"/>
                <w:b w:val="1"/>
                <w:bCs w:val="1"/>
                <w:color w:val="002453"/>
              </w:rPr>
              <w:t>Return(6)</w:t>
            </w:r>
          </w:p>
        </w:tc>
        <w:tc>
          <w:tcPr>
            <w:tcW w:w="860" w:type="dxa"/>
            <w:vAlign w:val="bottom"/>
            <w:gridSpan w:val="3"/>
          </w:tcPr>
          <w:p>
            <w:pPr>
              <w:ind w:left="40"/>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2"/>
                <w:szCs w:val="12"/>
                <w:b w:val="1"/>
                <w:bCs w:val="1"/>
                <w:color w:val="002453"/>
              </w:rPr>
              <w:t xml:space="preserve"> Net Income</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002453"/>
              </w:rPr>
              <w:t>​ ​</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002453"/>
                <w:w w:val="95"/>
              </w:rPr>
              <w:t>Measure)(7)</w:t>
            </w:r>
          </w:p>
        </w:tc>
        <w:tc>
          <w:tcPr>
            <w:tcW w:w="220" w:type="dxa"/>
            <w:vAlign w:val="bottom"/>
            <w:gridSpan w:val="3"/>
          </w:tcPr>
          <w:p>
            <w:pPr>
              <w:jc w:val="right"/>
              <w:spacing w:after="0"/>
              <w:rPr>
                <w:sz w:val="20"/>
                <w:szCs w:val="20"/>
                <w:color w:val="auto"/>
              </w:rPr>
            </w:pPr>
            <w:r>
              <w:rPr>
                <w:rFonts w:ascii="Arial" w:cs="Arial" w:eastAsia="Arial" w:hAnsi="Arial"/>
                <w:sz w:val="13"/>
                <w:szCs w:val="13"/>
                <w:b w:val="1"/>
                <w:bCs w:val="1"/>
                <w:color w:val="002453"/>
              </w:rPr>
              <w:t>​ ​​​​</w:t>
            </w:r>
          </w:p>
        </w:tc>
        <w:tc>
          <w:tcPr>
            <w:tcW w:w="0" w:type="dxa"/>
            <w:vAlign w:val="bottom"/>
          </w:tcPr>
          <w:p>
            <w:pPr>
              <w:spacing w:after="0"/>
              <w:rPr>
                <w:sz w:val="1"/>
                <w:szCs w:val="1"/>
                <w:color w:val="auto"/>
              </w:rPr>
            </w:pPr>
          </w:p>
        </w:tc>
      </w:tr>
      <w:tr>
        <w:trPr>
          <w:trHeight w:val="20"/>
        </w:trPr>
        <w:tc>
          <w:tcPr>
            <w:tcW w:w="420" w:type="dxa"/>
            <w:vAlign w:val="bottom"/>
            <w:shd w:val="clear" w:color="auto" w:fill="00C08A"/>
          </w:tcPr>
          <w:p>
            <w:pPr>
              <w:spacing w:after="0" w:line="20" w:lineRule="exact"/>
              <w:rPr>
                <w:sz w:val="1"/>
                <w:szCs w:val="1"/>
                <w:color w:val="auto"/>
              </w:rPr>
            </w:pPr>
          </w:p>
        </w:tc>
        <w:tc>
          <w:tcPr>
            <w:tcW w:w="200" w:type="dxa"/>
            <w:vAlign w:val="bottom"/>
            <w:shd w:val="clear" w:color="auto" w:fill="00C08A"/>
          </w:tcPr>
          <w:p>
            <w:pPr>
              <w:spacing w:after="0" w:line="20" w:lineRule="exact"/>
              <w:rPr>
                <w:sz w:val="1"/>
                <w:szCs w:val="1"/>
                <w:color w:val="auto"/>
              </w:rPr>
            </w:pPr>
          </w:p>
        </w:tc>
        <w:tc>
          <w:tcPr>
            <w:tcW w:w="8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94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104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72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40" w:type="dxa"/>
            <w:vAlign w:val="bottom"/>
            <w:shd w:val="clear" w:color="auto" w:fill="00C08A"/>
          </w:tcPr>
          <w:p>
            <w:pPr>
              <w:spacing w:after="0" w:line="20" w:lineRule="exact"/>
              <w:rPr>
                <w:sz w:val="1"/>
                <w:szCs w:val="1"/>
                <w:color w:val="auto"/>
              </w:rPr>
            </w:pPr>
          </w:p>
        </w:tc>
        <w:tc>
          <w:tcPr>
            <w:tcW w:w="280" w:type="dxa"/>
            <w:vAlign w:val="bottom"/>
            <w:gridSpan w:val="2"/>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1260" w:type="dxa"/>
            <w:vAlign w:val="bottom"/>
            <w:shd w:val="clear" w:color="auto" w:fill="00C08A"/>
          </w:tcPr>
          <w:p>
            <w:pPr>
              <w:spacing w:after="0" w:line="20" w:lineRule="exact"/>
              <w:rPr>
                <w:sz w:val="1"/>
                <w:szCs w:val="1"/>
                <w:color w:val="auto"/>
              </w:rPr>
            </w:pPr>
          </w:p>
        </w:tc>
        <w:tc>
          <w:tcPr>
            <w:tcW w:w="80" w:type="dxa"/>
            <w:vAlign w:val="bottom"/>
            <w:shd w:val="clear" w:color="auto" w:fill="00C08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tcPr>
          <w:p>
            <w:pPr>
              <w:spacing w:after="0"/>
              <w:rPr>
                <w:sz w:val="20"/>
                <w:szCs w:val="20"/>
                <w:color w:val="auto"/>
              </w:rPr>
            </w:pPr>
            <w:r>
              <w:rPr>
                <w:rFonts w:ascii="Arial" w:cs="Arial" w:eastAsia="Arial" w:hAnsi="Arial"/>
                <w:sz w:val="14"/>
                <w:szCs w:val="14"/>
                <w:color w:val="auto"/>
              </w:rPr>
              <w:t>2022</w:t>
            </w: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
              <w:spacing w:after="0"/>
              <w:rPr>
                <w:sz w:val="20"/>
                <w:szCs w:val="20"/>
                <w:color w:val="auto"/>
              </w:rPr>
            </w:pPr>
            <w:r>
              <w:rPr>
                <w:rFonts w:ascii="Arial" w:cs="Arial" w:eastAsia="Arial" w:hAnsi="Arial"/>
                <w:sz w:val="14"/>
                <w:szCs w:val="14"/>
                <w:color w:val="auto"/>
              </w:rPr>
              <w:t>12,052,261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100"/>
              <w:spacing w:after="0"/>
              <w:rPr>
                <w:sz w:val="20"/>
                <w:szCs w:val="20"/>
                <w:color w:val="auto"/>
              </w:rPr>
            </w:pPr>
            <w:r>
              <w:rPr>
                <w:rFonts w:ascii="Arial" w:cs="Arial" w:eastAsia="Arial" w:hAnsi="Arial"/>
                <w:sz w:val="14"/>
                <w:szCs w:val="14"/>
                <w:color w:val="auto"/>
              </w:rPr>
              <w:t>​ 7,035,066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160"/>
              <w:spacing w:after="0"/>
              <w:rPr>
                <w:sz w:val="20"/>
                <w:szCs w:val="20"/>
                <w:color w:val="auto"/>
              </w:rPr>
            </w:pPr>
            <w:r>
              <w:rPr>
                <w:rFonts w:ascii="Arial" w:cs="Arial" w:eastAsia="Arial" w:hAnsi="Arial"/>
                <w:sz w:val="14"/>
                <w:szCs w:val="14"/>
                <w:color w:val="auto"/>
              </w:rPr>
              <w:t>​3,452,212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ind w:left="180"/>
              <w:spacing w:after="0"/>
              <w:rPr>
                <w:sz w:val="20"/>
                <w:szCs w:val="20"/>
                <w:color w:val="auto"/>
              </w:rPr>
            </w:pPr>
            <w:r>
              <w:rPr>
                <w:rFonts w:ascii="Arial" w:cs="Arial" w:eastAsia="Arial" w:hAnsi="Arial"/>
                <w:sz w:val="14"/>
                <w:szCs w:val="14"/>
                <w:color w:val="auto"/>
              </w:rPr>
              <w:t>​1,959,138</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$ 133.32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ind w:left="100"/>
              <w:spacing w:after="0"/>
              <w:rPr>
                <w:sz w:val="20"/>
                <w:szCs w:val="20"/>
                <w:color w:val="auto"/>
              </w:rPr>
            </w:pPr>
            <w:r>
              <w:rPr>
                <w:rFonts w:ascii="Arial" w:cs="Arial" w:eastAsia="Arial" w:hAnsi="Arial"/>
                <w:sz w:val="14"/>
                <w:szCs w:val="14"/>
                <w:color w:val="auto"/>
              </w:rPr>
              <w:t>$ 154.67</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468,332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260" w:type="dxa"/>
            <w:vAlign w:val="bottom"/>
          </w:tcPr>
          <w:p>
            <w:pPr>
              <w:ind w:left="260"/>
              <w:spacing w:after="0"/>
              <w:rPr>
                <w:sz w:val="20"/>
                <w:szCs w:val="20"/>
                <w:color w:val="auto"/>
              </w:rPr>
            </w:pPr>
            <w:r>
              <w:rPr>
                <w:rFonts w:ascii="Arial" w:cs="Arial" w:eastAsia="Arial" w:hAnsi="Arial"/>
                <w:sz w:val="14"/>
                <w:szCs w:val="14"/>
                <w:color w:val="auto"/>
              </w:rPr>
              <w:t>$  859,123</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880" w:type="dxa"/>
            <w:vAlign w:val="bottom"/>
          </w:tcPr>
          <w:p>
            <w:pPr>
              <w:jc w:val="right"/>
              <w:ind w:right="703"/>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940" w:type="dxa"/>
            <w:vAlign w:val="bottom"/>
          </w:tcPr>
          <w:p>
            <w:pPr>
              <w:ind w:left="10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980" w:type="dxa"/>
            <w:vAlign w:val="bottom"/>
          </w:tcPr>
          <w:p>
            <w:pPr>
              <w:ind w:left="16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1040" w:type="dxa"/>
            <w:vAlign w:val="bottom"/>
          </w:tcPr>
          <w:p>
            <w:pPr>
              <w:ind w:left="180"/>
              <w:spacing w:after="0" w:line="68" w:lineRule="exact"/>
              <w:rPr>
                <w:sz w:val="20"/>
                <w:szCs w:val="20"/>
                <w:color w:val="auto"/>
              </w:rPr>
            </w:pPr>
            <w:r>
              <w:rPr>
                <w:rFonts w:ascii="Arial" w:cs="Arial" w:eastAsia="Arial" w:hAnsi="Arial"/>
                <w:sz w:val="7"/>
                <w:szCs w:val="7"/>
                <w:color w:val="auto"/>
              </w:rPr>
              <w:t>​</w:t>
            </w:r>
          </w:p>
        </w:tc>
        <w:tc>
          <w:tcPr>
            <w:tcW w:w="160" w:type="dxa"/>
            <w:vAlign w:val="bottom"/>
            <w:gridSpan w:val="2"/>
            <w:vMerge w:val="continue"/>
          </w:tcPr>
          <w:p>
            <w:pPr>
              <w:spacing w:after="0"/>
              <w:rPr>
                <w:sz w:val="5"/>
                <w:szCs w:val="5"/>
                <w:color w:val="auto"/>
              </w:rPr>
            </w:pPr>
          </w:p>
        </w:tc>
        <w:tc>
          <w:tcPr>
            <w:tcW w:w="7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740" w:type="dxa"/>
            <w:vAlign w:val="bottom"/>
          </w:tcPr>
          <w:p>
            <w:pPr>
              <w:ind w:left="100"/>
              <w:spacing w:after="0" w:line="68" w:lineRule="exact"/>
              <w:rPr>
                <w:sz w:val="20"/>
                <w:szCs w:val="20"/>
                <w:color w:val="auto"/>
              </w:rPr>
            </w:pPr>
            <w:r>
              <w:rPr>
                <w:rFonts w:ascii="Arial" w:cs="Arial" w:eastAsia="Arial" w:hAnsi="Arial"/>
                <w:sz w:val="7"/>
                <w:szCs w:val="7"/>
                <w:color w:val="auto"/>
              </w:rPr>
              <w:t>​</w:t>
            </w:r>
          </w:p>
        </w:tc>
        <w:tc>
          <w:tcPr>
            <w:tcW w:w="28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tcPr>
          <w:p>
            <w:pPr>
              <w:ind w:left="260"/>
              <w:spacing w:after="0" w:line="68" w:lineRule="exact"/>
              <w:rPr>
                <w:sz w:val="20"/>
                <w:szCs w:val="20"/>
                <w:color w:val="auto"/>
              </w:rPr>
            </w:pPr>
            <w:r>
              <w:rPr>
                <w:rFonts w:ascii="Arial" w:cs="Arial" w:eastAsia="Arial" w:hAnsi="Arial"/>
                <w:sz w:val="7"/>
                <w:szCs w:val="7"/>
                <w:color w:val="auto"/>
              </w:rPr>
              <w:t>​</w:t>
            </w:r>
          </w:p>
        </w:tc>
        <w:tc>
          <w:tcPr>
            <w:tcW w:w="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C08A"/>
          </w:tcPr>
          <w:p>
            <w:pPr>
              <w:spacing w:after="0" w:line="20" w:lineRule="exact"/>
              <w:rPr>
                <w:sz w:val="1"/>
                <w:szCs w:val="1"/>
                <w:color w:val="auto"/>
              </w:rPr>
            </w:pPr>
          </w:p>
        </w:tc>
        <w:tc>
          <w:tcPr>
            <w:tcW w:w="200" w:type="dxa"/>
            <w:vAlign w:val="bottom"/>
            <w:shd w:val="clear" w:color="auto" w:fill="00C08A"/>
          </w:tcPr>
          <w:p>
            <w:pPr>
              <w:spacing w:after="0" w:line="20" w:lineRule="exact"/>
              <w:rPr>
                <w:sz w:val="1"/>
                <w:szCs w:val="1"/>
                <w:color w:val="auto"/>
              </w:rPr>
            </w:pPr>
          </w:p>
        </w:tc>
        <w:tc>
          <w:tcPr>
            <w:tcW w:w="8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94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104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72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40" w:type="dxa"/>
            <w:vAlign w:val="bottom"/>
            <w:shd w:val="clear" w:color="auto" w:fill="00C08A"/>
          </w:tcPr>
          <w:p>
            <w:pPr>
              <w:spacing w:after="0" w:line="20" w:lineRule="exact"/>
              <w:rPr>
                <w:sz w:val="1"/>
                <w:szCs w:val="1"/>
                <w:color w:val="auto"/>
              </w:rPr>
            </w:pPr>
          </w:p>
        </w:tc>
        <w:tc>
          <w:tcPr>
            <w:tcW w:w="80" w:type="dxa"/>
            <w:vAlign w:val="bottom"/>
            <w:shd w:val="clear" w:color="auto" w:fill="00C08A"/>
          </w:tcPr>
          <w:p>
            <w:pPr>
              <w:spacing w:after="0" w:line="20" w:lineRule="exact"/>
              <w:rPr>
                <w:sz w:val="1"/>
                <w:szCs w:val="1"/>
                <w:color w:val="auto"/>
              </w:rPr>
            </w:pPr>
          </w:p>
        </w:tc>
        <w:tc>
          <w:tcPr>
            <w:tcW w:w="20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1260" w:type="dxa"/>
            <w:vAlign w:val="bottom"/>
            <w:shd w:val="clear" w:color="auto" w:fill="00C08A"/>
          </w:tcPr>
          <w:p>
            <w:pPr>
              <w:spacing w:after="0" w:line="20" w:lineRule="exact"/>
              <w:rPr>
                <w:sz w:val="1"/>
                <w:szCs w:val="1"/>
                <w:color w:val="auto"/>
              </w:rPr>
            </w:pPr>
          </w:p>
        </w:tc>
        <w:tc>
          <w:tcPr>
            <w:tcW w:w="80" w:type="dxa"/>
            <w:vAlign w:val="bottom"/>
            <w:shd w:val="clear" w:color="auto" w:fill="00C08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 w:type="dxa"/>
            <w:vAlign w:val="bottom"/>
          </w:tcPr>
          <w:p>
            <w:pPr>
              <w:spacing w:after="0" w:line="155" w:lineRule="exact"/>
              <w:rPr>
                <w:sz w:val="20"/>
                <w:szCs w:val="20"/>
                <w:color w:val="auto"/>
              </w:rPr>
            </w:pPr>
            <w:r>
              <w:rPr>
                <w:rFonts w:ascii="Arial" w:cs="Arial" w:eastAsia="Arial" w:hAnsi="Arial"/>
                <w:sz w:val="14"/>
                <w:szCs w:val="14"/>
                <w:color w:val="auto"/>
              </w:rPr>
              <w:t>2021</w:t>
            </w: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
              <w:spacing w:after="0" w:line="155" w:lineRule="exact"/>
              <w:rPr>
                <w:sz w:val="20"/>
                <w:szCs w:val="20"/>
                <w:color w:val="auto"/>
              </w:rPr>
            </w:pPr>
            <w:r>
              <w:rPr>
                <w:rFonts w:ascii="Arial" w:cs="Arial" w:eastAsia="Arial" w:hAnsi="Arial"/>
                <w:sz w:val="14"/>
                <w:szCs w:val="14"/>
                <w:color w:val="auto"/>
              </w:rPr>
              <w:t>10,107,261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100"/>
              <w:spacing w:after="0" w:line="155" w:lineRule="exact"/>
              <w:rPr>
                <w:sz w:val="20"/>
                <w:szCs w:val="20"/>
                <w:color w:val="auto"/>
              </w:rPr>
            </w:pPr>
            <w:r>
              <w:rPr>
                <w:rFonts w:ascii="Arial" w:cs="Arial" w:eastAsia="Arial" w:hAnsi="Arial"/>
                <w:sz w:val="14"/>
                <w:szCs w:val="14"/>
                <w:color w:val="auto"/>
              </w:rPr>
              <w:t>​14,939,149</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160"/>
              <w:spacing w:after="0" w:line="155" w:lineRule="exact"/>
              <w:rPr>
                <w:sz w:val="20"/>
                <w:szCs w:val="20"/>
                <w:color w:val="auto"/>
              </w:rPr>
            </w:pPr>
            <w:r>
              <w:rPr>
                <w:rFonts w:ascii="Arial" w:cs="Arial" w:eastAsia="Arial" w:hAnsi="Arial"/>
                <w:sz w:val="14"/>
                <w:szCs w:val="14"/>
                <w:color w:val="auto"/>
              </w:rPr>
              <w:t>​3,309,375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ind w:left="180"/>
              <w:spacing w:after="0" w:line="155" w:lineRule="exact"/>
              <w:rPr>
                <w:sz w:val="20"/>
                <w:szCs w:val="20"/>
                <w:color w:val="auto"/>
              </w:rPr>
            </w:pPr>
            <w:r>
              <w:rPr>
                <w:rFonts w:ascii="Arial" w:cs="Arial" w:eastAsia="Arial" w:hAnsi="Arial"/>
                <w:sz w:val="14"/>
                <w:szCs w:val="14"/>
                <w:color w:val="auto"/>
              </w:rPr>
              <w:t>​3,033,721</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line="155" w:lineRule="exact"/>
              <w:rPr>
                <w:sz w:val="20"/>
                <w:szCs w:val="20"/>
                <w:color w:val="auto"/>
              </w:rPr>
            </w:pPr>
            <w:r>
              <w:rPr>
                <w:rFonts w:ascii="Arial" w:cs="Arial" w:eastAsia="Arial" w:hAnsi="Arial"/>
                <w:sz w:val="14"/>
                <w:szCs w:val="14"/>
                <w:color w:val="auto"/>
              </w:rPr>
              <w:t>$ 188.32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ind w:left="100"/>
              <w:spacing w:after="0" w:line="155" w:lineRule="exact"/>
              <w:rPr>
                <w:sz w:val="20"/>
                <w:szCs w:val="20"/>
                <w:color w:val="auto"/>
              </w:rPr>
            </w:pPr>
            <w:r>
              <w:rPr>
                <w:rFonts w:ascii="Arial" w:cs="Arial" w:eastAsia="Arial" w:hAnsi="Arial"/>
                <w:sz w:val="14"/>
                <w:szCs w:val="14"/>
                <w:color w:val="auto"/>
              </w:rPr>
              <w:t>$ 167.66</w:t>
            </w:r>
          </w:p>
        </w:tc>
        <w:tc>
          <w:tcPr>
            <w:tcW w:w="28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827,234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260" w:type="dxa"/>
            <w:vAlign w:val="bottom"/>
          </w:tcPr>
          <w:p>
            <w:pPr>
              <w:ind w:left="260"/>
              <w:spacing w:after="0" w:line="155" w:lineRule="exact"/>
              <w:rPr>
                <w:sz w:val="20"/>
                <w:szCs w:val="20"/>
                <w:color w:val="auto"/>
              </w:rPr>
            </w:pPr>
            <w:r>
              <w:rPr>
                <w:rFonts w:ascii="Arial" w:cs="Arial" w:eastAsia="Arial" w:hAnsi="Arial"/>
                <w:sz w:val="14"/>
                <w:szCs w:val="14"/>
                <w:color w:val="auto"/>
              </w:rPr>
              <w:t>$1,301,233</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880" w:type="dxa"/>
            <w:vAlign w:val="bottom"/>
          </w:tcPr>
          <w:p>
            <w:pPr>
              <w:jc w:val="right"/>
              <w:ind w:right="703"/>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940" w:type="dxa"/>
            <w:vAlign w:val="bottom"/>
          </w:tcPr>
          <w:p>
            <w:pPr>
              <w:ind w:left="10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980" w:type="dxa"/>
            <w:vAlign w:val="bottom"/>
          </w:tcPr>
          <w:p>
            <w:pPr>
              <w:ind w:left="16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1040" w:type="dxa"/>
            <w:vAlign w:val="bottom"/>
          </w:tcPr>
          <w:p>
            <w:pPr>
              <w:ind w:left="180"/>
              <w:spacing w:after="0" w:line="68" w:lineRule="exact"/>
              <w:rPr>
                <w:sz w:val="20"/>
                <w:szCs w:val="20"/>
                <w:color w:val="auto"/>
              </w:rPr>
            </w:pPr>
            <w:r>
              <w:rPr>
                <w:rFonts w:ascii="Arial" w:cs="Arial" w:eastAsia="Arial" w:hAnsi="Arial"/>
                <w:sz w:val="7"/>
                <w:szCs w:val="7"/>
                <w:color w:val="auto"/>
              </w:rPr>
              <w:t>​</w:t>
            </w:r>
          </w:p>
        </w:tc>
        <w:tc>
          <w:tcPr>
            <w:tcW w:w="160" w:type="dxa"/>
            <w:vAlign w:val="bottom"/>
            <w:gridSpan w:val="2"/>
            <w:vMerge w:val="continue"/>
          </w:tcPr>
          <w:p>
            <w:pPr>
              <w:spacing w:after="0"/>
              <w:rPr>
                <w:sz w:val="5"/>
                <w:szCs w:val="5"/>
                <w:color w:val="auto"/>
              </w:rPr>
            </w:pPr>
          </w:p>
        </w:tc>
        <w:tc>
          <w:tcPr>
            <w:tcW w:w="7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740" w:type="dxa"/>
            <w:vAlign w:val="bottom"/>
          </w:tcPr>
          <w:p>
            <w:pPr>
              <w:ind w:left="100"/>
              <w:spacing w:after="0" w:line="68" w:lineRule="exact"/>
              <w:rPr>
                <w:sz w:val="20"/>
                <w:szCs w:val="20"/>
                <w:color w:val="auto"/>
              </w:rPr>
            </w:pPr>
            <w:r>
              <w:rPr>
                <w:rFonts w:ascii="Arial" w:cs="Arial" w:eastAsia="Arial" w:hAnsi="Arial"/>
                <w:sz w:val="7"/>
                <w:szCs w:val="7"/>
                <w:color w:val="auto"/>
              </w:rPr>
              <w:t>​</w:t>
            </w:r>
          </w:p>
        </w:tc>
        <w:tc>
          <w:tcPr>
            <w:tcW w:w="28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tcPr>
          <w:p>
            <w:pPr>
              <w:ind w:left="260"/>
              <w:spacing w:after="0" w:line="68" w:lineRule="exact"/>
              <w:rPr>
                <w:sz w:val="20"/>
                <w:szCs w:val="20"/>
                <w:color w:val="auto"/>
              </w:rPr>
            </w:pPr>
            <w:r>
              <w:rPr>
                <w:rFonts w:ascii="Arial" w:cs="Arial" w:eastAsia="Arial" w:hAnsi="Arial"/>
                <w:sz w:val="7"/>
                <w:szCs w:val="7"/>
                <w:color w:val="auto"/>
              </w:rPr>
              <w:t>​</w:t>
            </w:r>
          </w:p>
        </w:tc>
        <w:tc>
          <w:tcPr>
            <w:tcW w:w="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C08A"/>
          </w:tcPr>
          <w:p>
            <w:pPr>
              <w:spacing w:after="0" w:line="20" w:lineRule="exact"/>
              <w:rPr>
                <w:sz w:val="1"/>
                <w:szCs w:val="1"/>
                <w:color w:val="auto"/>
              </w:rPr>
            </w:pPr>
          </w:p>
        </w:tc>
        <w:tc>
          <w:tcPr>
            <w:tcW w:w="200" w:type="dxa"/>
            <w:vAlign w:val="bottom"/>
            <w:shd w:val="clear" w:color="auto" w:fill="00C08A"/>
          </w:tcPr>
          <w:p>
            <w:pPr>
              <w:spacing w:after="0" w:line="20" w:lineRule="exact"/>
              <w:rPr>
                <w:sz w:val="1"/>
                <w:szCs w:val="1"/>
                <w:color w:val="auto"/>
              </w:rPr>
            </w:pPr>
          </w:p>
        </w:tc>
        <w:tc>
          <w:tcPr>
            <w:tcW w:w="8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94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104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72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40" w:type="dxa"/>
            <w:vAlign w:val="bottom"/>
            <w:shd w:val="clear" w:color="auto" w:fill="00C08A"/>
          </w:tcPr>
          <w:p>
            <w:pPr>
              <w:spacing w:after="0" w:line="20" w:lineRule="exact"/>
              <w:rPr>
                <w:sz w:val="1"/>
                <w:szCs w:val="1"/>
                <w:color w:val="auto"/>
              </w:rPr>
            </w:pPr>
          </w:p>
        </w:tc>
        <w:tc>
          <w:tcPr>
            <w:tcW w:w="80" w:type="dxa"/>
            <w:vAlign w:val="bottom"/>
            <w:shd w:val="clear" w:color="auto" w:fill="00C08A"/>
          </w:tcPr>
          <w:p>
            <w:pPr>
              <w:spacing w:after="0" w:line="20" w:lineRule="exact"/>
              <w:rPr>
                <w:sz w:val="1"/>
                <w:szCs w:val="1"/>
                <w:color w:val="auto"/>
              </w:rPr>
            </w:pPr>
          </w:p>
        </w:tc>
        <w:tc>
          <w:tcPr>
            <w:tcW w:w="780" w:type="dxa"/>
            <w:vAlign w:val="bottom"/>
            <w:gridSpan w:val="2"/>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1260" w:type="dxa"/>
            <w:vAlign w:val="bottom"/>
            <w:shd w:val="clear" w:color="auto" w:fill="00C08A"/>
          </w:tcPr>
          <w:p>
            <w:pPr>
              <w:spacing w:after="0" w:line="20" w:lineRule="exact"/>
              <w:rPr>
                <w:sz w:val="1"/>
                <w:szCs w:val="1"/>
                <w:color w:val="auto"/>
              </w:rPr>
            </w:pPr>
          </w:p>
        </w:tc>
        <w:tc>
          <w:tcPr>
            <w:tcW w:w="80" w:type="dxa"/>
            <w:vAlign w:val="bottom"/>
            <w:shd w:val="clear" w:color="auto" w:fill="00C08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 w:type="dxa"/>
            <w:vAlign w:val="bottom"/>
          </w:tcPr>
          <w:p>
            <w:pPr>
              <w:spacing w:after="0" w:line="155" w:lineRule="exact"/>
              <w:rPr>
                <w:sz w:val="20"/>
                <w:szCs w:val="20"/>
                <w:color w:val="auto"/>
              </w:rPr>
            </w:pPr>
            <w:r>
              <w:rPr>
                <w:rFonts w:ascii="Arial" w:cs="Arial" w:eastAsia="Arial" w:hAnsi="Arial"/>
                <w:sz w:val="14"/>
                <w:szCs w:val="14"/>
                <w:color w:val="auto"/>
              </w:rPr>
              <w:t>2020</w:t>
            </w: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
              <w:spacing w:after="0" w:line="155" w:lineRule="exact"/>
              <w:rPr>
                <w:sz w:val="20"/>
                <w:szCs w:val="20"/>
                <w:color w:val="auto"/>
              </w:rPr>
            </w:pPr>
            <w:r>
              <w:rPr>
                <w:rFonts w:ascii="Arial" w:cs="Arial" w:eastAsia="Arial" w:hAnsi="Arial"/>
                <w:sz w:val="14"/>
                <w:szCs w:val="14"/>
                <w:color w:val="auto"/>
              </w:rPr>
              <w:t>12,263,795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100"/>
              <w:spacing w:after="0" w:line="155" w:lineRule="exact"/>
              <w:rPr>
                <w:sz w:val="20"/>
                <w:szCs w:val="20"/>
                <w:color w:val="auto"/>
              </w:rPr>
            </w:pPr>
            <w:r>
              <w:rPr>
                <w:rFonts w:ascii="Arial" w:cs="Arial" w:eastAsia="Arial" w:hAnsi="Arial"/>
                <w:sz w:val="14"/>
                <w:szCs w:val="14"/>
                <w:color w:val="auto"/>
              </w:rPr>
              <w:t>​10,840,019</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160"/>
              <w:spacing w:after="0" w:line="155" w:lineRule="exact"/>
              <w:rPr>
                <w:sz w:val="20"/>
                <w:szCs w:val="20"/>
                <w:color w:val="auto"/>
              </w:rPr>
            </w:pPr>
            <w:r>
              <w:rPr>
                <w:rFonts w:ascii="Arial" w:cs="Arial" w:eastAsia="Arial" w:hAnsi="Arial"/>
                <w:sz w:val="14"/>
                <w:szCs w:val="14"/>
                <w:color w:val="auto"/>
              </w:rPr>
              <w:t>​4,152,733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ind w:left="180"/>
              <w:spacing w:after="0" w:line="155" w:lineRule="exact"/>
              <w:rPr>
                <w:sz w:val="20"/>
                <w:szCs w:val="20"/>
                <w:color w:val="auto"/>
              </w:rPr>
            </w:pPr>
            <w:r>
              <w:rPr>
                <w:rFonts w:ascii="Arial" w:cs="Arial" w:eastAsia="Arial" w:hAnsi="Arial"/>
                <w:sz w:val="14"/>
                <w:szCs w:val="14"/>
                <w:color w:val="auto"/>
              </w:rPr>
              <w:t>​5,679,546</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line="155" w:lineRule="exact"/>
              <w:rPr>
                <w:sz w:val="20"/>
                <w:szCs w:val="20"/>
                <w:color w:val="auto"/>
              </w:rPr>
            </w:pPr>
            <w:r>
              <w:rPr>
                <w:rFonts w:ascii="Arial" w:cs="Arial" w:eastAsia="Arial" w:hAnsi="Arial"/>
                <w:sz w:val="14"/>
                <w:szCs w:val="14"/>
                <w:color w:val="auto"/>
              </w:rPr>
              <w:t>$ 164.42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ind w:left="100"/>
              <w:spacing w:after="0" w:line="155" w:lineRule="exact"/>
              <w:rPr>
                <w:sz w:val="20"/>
                <w:szCs w:val="20"/>
                <w:color w:val="auto"/>
              </w:rPr>
            </w:pPr>
            <w:r>
              <w:rPr>
                <w:rFonts w:ascii="Arial" w:cs="Arial" w:eastAsia="Arial" w:hAnsi="Arial"/>
                <w:sz w:val="14"/>
                <w:szCs w:val="14"/>
                <w:color w:val="auto"/>
              </w:rPr>
              <w:t>$ 130.03</w:t>
            </w:r>
          </w:p>
        </w:tc>
        <w:tc>
          <w:tcPr>
            <w:tcW w:w="8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$1,120,913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260" w:type="dxa"/>
            <w:vAlign w:val="bottom"/>
          </w:tcPr>
          <w:p>
            <w:pPr>
              <w:ind w:left="260"/>
              <w:spacing w:after="0" w:line="155" w:lineRule="exact"/>
              <w:rPr>
                <w:sz w:val="20"/>
                <w:szCs w:val="20"/>
                <w:color w:val="auto"/>
              </w:rPr>
            </w:pPr>
            <w:r>
              <w:rPr>
                <w:rFonts w:ascii="Arial" w:cs="Arial" w:eastAsia="Arial" w:hAnsi="Arial"/>
                <w:sz w:val="14"/>
                <w:szCs w:val="14"/>
                <w:color w:val="auto"/>
              </w:rPr>
              <w:t>$1,648,049</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880" w:type="dxa"/>
            <w:vAlign w:val="bottom"/>
          </w:tcPr>
          <w:p>
            <w:pPr>
              <w:jc w:val="right"/>
              <w:ind w:right="703"/>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940" w:type="dxa"/>
            <w:vAlign w:val="bottom"/>
          </w:tcPr>
          <w:p>
            <w:pPr>
              <w:ind w:left="10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980" w:type="dxa"/>
            <w:vAlign w:val="bottom"/>
          </w:tcPr>
          <w:p>
            <w:pPr>
              <w:ind w:left="16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1040" w:type="dxa"/>
            <w:vAlign w:val="bottom"/>
          </w:tcPr>
          <w:p>
            <w:pPr>
              <w:ind w:left="180"/>
              <w:spacing w:after="0" w:line="68" w:lineRule="exact"/>
              <w:rPr>
                <w:sz w:val="20"/>
                <w:szCs w:val="20"/>
                <w:color w:val="auto"/>
              </w:rPr>
            </w:pPr>
            <w:r>
              <w:rPr>
                <w:rFonts w:ascii="Arial" w:cs="Arial" w:eastAsia="Arial" w:hAnsi="Arial"/>
                <w:sz w:val="7"/>
                <w:szCs w:val="7"/>
                <w:color w:val="auto"/>
              </w:rPr>
              <w:t>​</w:t>
            </w:r>
          </w:p>
        </w:tc>
        <w:tc>
          <w:tcPr>
            <w:tcW w:w="160" w:type="dxa"/>
            <w:vAlign w:val="bottom"/>
            <w:gridSpan w:val="2"/>
            <w:vMerge w:val="continue"/>
          </w:tcPr>
          <w:p>
            <w:pPr>
              <w:spacing w:after="0"/>
              <w:rPr>
                <w:sz w:val="5"/>
                <w:szCs w:val="5"/>
                <w:color w:val="auto"/>
              </w:rPr>
            </w:pPr>
          </w:p>
        </w:tc>
        <w:tc>
          <w:tcPr>
            <w:tcW w:w="7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160" w:type="dxa"/>
            <w:vAlign w:val="bottom"/>
            <w:vMerge w:val="continue"/>
          </w:tcPr>
          <w:p>
            <w:pPr>
              <w:spacing w:after="0"/>
              <w:rPr>
                <w:sz w:val="5"/>
                <w:szCs w:val="5"/>
                <w:color w:val="auto"/>
              </w:rPr>
            </w:pPr>
          </w:p>
        </w:tc>
        <w:tc>
          <w:tcPr>
            <w:tcW w:w="740" w:type="dxa"/>
            <w:vAlign w:val="bottom"/>
          </w:tcPr>
          <w:p>
            <w:pPr>
              <w:ind w:left="100"/>
              <w:spacing w:after="0" w:line="68" w:lineRule="exact"/>
              <w:rPr>
                <w:sz w:val="20"/>
                <w:szCs w:val="20"/>
                <w:color w:val="auto"/>
              </w:rPr>
            </w:pPr>
            <w:r>
              <w:rPr>
                <w:rFonts w:ascii="Arial" w:cs="Arial" w:eastAsia="Arial" w:hAnsi="Arial"/>
                <w:sz w:val="7"/>
                <w:szCs w:val="7"/>
                <w:color w:val="auto"/>
              </w:rPr>
              <w:t>​</w:t>
            </w:r>
          </w:p>
        </w:tc>
        <w:tc>
          <w:tcPr>
            <w:tcW w:w="28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tcPr>
          <w:p>
            <w:pPr>
              <w:ind w:left="260"/>
              <w:spacing w:after="0" w:line="68" w:lineRule="exact"/>
              <w:rPr>
                <w:sz w:val="20"/>
                <w:szCs w:val="20"/>
                <w:color w:val="auto"/>
              </w:rPr>
            </w:pPr>
            <w:r>
              <w:rPr>
                <w:rFonts w:ascii="Arial" w:cs="Arial" w:eastAsia="Arial" w:hAnsi="Arial"/>
                <w:sz w:val="7"/>
                <w:szCs w:val="7"/>
                <w:color w:val="auto"/>
              </w:rPr>
              <w:t>​</w:t>
            </w:r>
          </w:p>
        </w:tc>
        <w:tc>
          <w:tcPr>
            <w:tcW w:w="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C08A"/>
          </w:tcPr>
          <w:p>
            <w:pPr>
              <w:spacing w:after="0" w:line="20" w:lineRule="exact"/>
              <w:rPr>
                <w:sz w:val="1"/>
                <w:szCs w:val="1"/>
                <w:color w:val="auto"/>
              </w:rPr>
            </w:pPr>
          </w:p>
        </w:tc>
        <w:tc>
          <w:tcPr>
            <w:tcW w:w="200" w:type="dxa"/>
            <w:vAlign w:val="bottom"/>
            <w:shd w:val="clear" w:color="auto" w:fill="00C08A"/>
          </w:tcPr>
          <w:p>
            <w:pPr>
              <w:spacing w:after="0" w:line="20" w:lineRule="exact"/>
              <w:rPr>
                <w:sz w:val="1"/>
                <w:szCs w:val="1"/>
                <w:color w:val="auto"/>
              </w:rPr>
            </w:pPr>
          </w:p>
        </w:tc>
        <w:tc>
          <w:tcPr>
            <w:tcW w:w="8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94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104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72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40" w:type="dxa"/>
            <w:vAlign w:val="bottom"/>
            <w:shd w:val="clear" w:color="auto" w:fill="00C08A"/>
          </w:tcPr>
          <w:p>
            <w:pPr>
              <w:spacing w:after="0" w:line="20" w:lineRule="exact"/>
              <w:rPr>
                <w:sz w:val="1"/>
                <w:szCs w:val="1"/>
                <w:color w:val="auto"/>
              </w:rPr>
            </w:pPr>
          </w:p>
        </w:tc>
        <w:tc>
          <w:tcPr>
            <w:tcW w:w="80" w:type="dxa"/>
            <w:vAlign w:val="bottom"/>
            <w:shd w:val="clear" w:color="auto" w:fill="00C08A"/>
          </w:tcPr>
          <w:p>
            <w:pPr>
              <w:spacing w:after="0" w:line="20" w:lineRule="exact"/>
              <w:rPr>
                <w:sz w:val="1"/>
                <w:szCs w:val="1"/>
                <w:color w:val="auto"/>
              </w:rPr>
            </w:pPr>
          </w:p>
        </w:tc>
        <w:tc>
          <w:tcPr>
            <w:tcW w:w="20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1260" w:type="dxa"/>
            <w:vAlign w:val="bottom"/>
            <w:shd w:val="clear" w:color="auto" w:fill="00C08A"/>
          </w:tcPr>
          <w:p>
            <w:pPr>
              <w:spacing w:after="0" w:line="20" w:lineRule="exact"/>
              <w:rPr>
                <w:sz w:val="1"/>
                <w:szCs w:val="1"/>
                <w:color w:val="auto"/>
              </w:rPr>
            </w:pPr>
          </w:p>
        </w:tc>
        <w:tc>
          <w:tcPr>
            <w:tcW w:w="8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-161925</wp:posOffset>
            </wp:positionV>
            <wp:extent cx="582930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29300"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-479425</wp:posOffset>
            </wp:positionV>
            <wp:extent cx="582930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29300" cy="163195"/>
                    </a:xfrm>
                    <a:prstGeom prst="rect">
                      <a:avLst/>
                    </a:prstGeom>
                    <a:noFill/>
                  </pic:spPr>
                </pic:pic>
              </a:graphicData>
            </a:graphic>
          </wp:anchor>
        </w:drawing>
      </w:r>
    </w:p>
    <w:p>
      <w:pPr>
        <w:spacing w:after="0" w:line="106" w:lineRule="exact"/>
        <w:rPr>
          <w:sz w:val="20"/>
          <w:szCs w:val="20"/>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Cifu was our CEO for each of the years presented.</w:t>
      </w:r>
    </w:p>
    <w:p>
      <w:pPr>
        <w:spacing w:after="0" w:line="136" w:lineRule="exact"/>
        <w:rPr>
          <w:rFonts w:ascii="Arial" w:cs="Arial" w:eastAsia="Arial" w:hAnsi="Arial"/>
          <w:sz w:val="14"/>
          <w:szCs w:val="14"/>
          <w:color w:val="auto"/>
        </w:rPr>
      </w:pPr>
    </w:p>
    <w:p>
      <w:pPr>
        <w:ind w:left="980" w:right="60" w:hanging="218"/>
        <w:spacing w:after="0" w:line="298"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non-CEO NEOs consisted of Messrs. Molluso, Fairclough, Cavoli, and Galvin for each of the years presented, as well as Mr. Alex Ioffe for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31" w:lineRule="exact"/>
        <w:rPr>
          <w:sz w:val="20"/>
          <w:szCs w:val="20"/>
          <w:color w:val="auto"/>
        </w:rPr>
      </w:pPr>
    </w:p>
    <w:p>
      <w:pPr>
        <w:ind w:left="980" w:right="60" w:hanging="218"/>
        <w:spacing w:after="0" w:line="278"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Compensation “actually paid” is calculated in accordance with Item 402(v) of Regulation S-K. The table below set forth each adjustment made during each year presented in the table to calculate the compensation “actually paid” to our CEO during each year in the table:</w:t>
      </w:r>
    </w:p>
    <w:p>
      <w:pPr>
        <w:spacing w:after="0" w:line="83"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002453"/>
              </w:rPr>
              <w:t>CEO</w:t>
            </w:r>
          </w:p>
        </w:tc>
        <w:tc>
          <w:tcPr>
            <w:tcW w:w="2400" w:type="dxa"/>
            <w:vAlign w:val="bottom"/>
          </w:tcPr>
          <w:p>
            <w:pPr>
              <w:jc w:val="right"/>
              <w:ind w:right="208"/>
              <w:spacing w:after="0"/>
              <w:rPr>
                <w:sz w:val="20"/>
                <w:szCs w:val="20"/>
                <w:color w:val="auto"/>
              </w:rPr>
            </w:pPr>
            <w:r>
              <w:rPr>
                <w:rFonts w:ascii="Arial" w:cs="Arial" w:eastAsia="Arial" w:hAnsi="Arial"/>
                <w:sz w:val="14"/>
                <w:szCs w:val="14"/>
                <w:b w:val="1"/>
                <w:bCs w:val="1"/>
                <w:color w:val="002453"/>
              </w:rPr>
              <w:t>2022</w:t>
            </w:r>
          </w:p>
        </w:tc>
        <w:tc>
          <w:tcPr>
            <w:tcW w:w="1120" w:type="dxa"/>
            <w:vAlign w:val="bottom"/>
          </w:tcPr>
          <w:p>
            <w:pPr>
              <w:jc w:val="right"/>
              <w:ind w:right="212"/>
              <w:spacing w:after="0"/>
              <w:rPr>
                <w:sz w:val="20"/>
                <w:szCs w:val="20"/>
                <w:color w:val="auto"/>
              </w:rPr>
            </w:pPr>
            <w:r>
              <w:rPr>
                <w:rFonts w:ascii="Arial" w:cs="Arial" w:eastAsia="Arial" w:hAnsi="Arial"/>
                <w:sz w:val="14"/>
                <w:szCs w:val="14"/>
                <w:b w:val="1"/>
                <w:bCs w:val="1"/>
                <w:color w:val="002453"/>
              </w:rPr>
              <w:t>2021</w:t>
            </w:r>
          </w:p>
        </w:tc>
        <w:tc>
          <w:tcPr>
            <w:tcW w:w="1180" w:type="dxa"/>
            <w:vAlign w:val="bottom"/>
          </w:tcPr>
          <w:p>
            <w:pPr>
              <w:jc w:val="right"/>
              <w:ind w:right="252"/>
              <w:spacing w:after="0"/>
              <w:rPr>
                <w:sz w:val="20"/>
                <w:szCs w:val="20"/>
                <w:color w:val="auto"/>
              </w:rPr>
            </w:pPr>
            <w:r>
              <w:rPr>
                <w:rFonts w:ascii="Arial" w:cs="Arial" w:eastAsia="Arial" w:hAnsi="Arial"/>
                <w:sz w:val="14"/>
                <w:szCs w:val="14"/>
                <w:b w:val="1"/>
                <w:bCs w:val="1"/>
                <w:color w:val="002453"/>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2400" w:type="dxa"/>
            <w:vAlign w:val="bottom"/>
          </w:tcPr>
          <w:p>
            <w:pPr>
              <w:ind w:left="1380"/>
              <w:spacing w:after="0" w:line="201"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(Mr. Cifu)</w:t>
            </w:r>
          </w:p>
        </w:tc>
        <w:tc>
          <w:tcPr>
            <w:tcW w:w="1120" w:type="dxa"/>
            <w:vAlign w:val="bottom"/>
          </w:tcPr>
          <w:p>
            <w:pPr>
              <w:jc w:val="right"/>
              <w:ind w:right="32"/>
              <w:spacing w:after="0" w:line="201"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(Mr. Cifu)</w:t>
            </w:r>
          </w:p>
        </w:tc>
        <w:tc>
          <w:tcPr>
            <w:tcW w:w="1240" w:type="dxa"/>
            <w:vAlign w:val="bottom"/>
            <w:gridSpan w:val="2"/>
          </w:tcPr>
          <w:p>
            <w:pPr>
              <w:ind w:left="100"/>
              <w:spacing w:after="0" w:line="201"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(Mr. Cifu)  </w:t>
            </w:r>
            <w:r>
              <w:rPr>
                <w:rFonts w:ascii="Arial" w:cs="Arial" w:eastAsia="Arial" w:hAnsi="Arial"/>
                <w:sz w:val="23"/>
                <w:szCs w:val="23"/>
                <w:b w:val="1"/>
                <w:bCs w:val="1"/>
                <w:color w:val="002453"/>
                <w:vertAlign w:val="subscript"/>
              </w:rPr>
              <w:t>​</w:t>
            </w:r>
          </w:p>
        </w:tc>
        <w:tc>
          <w:tcPr>
            <w:tcW w:w="0" w:type="dxa"/>
            <w:vAlign w:val="bottom"/>
          </w:tcPr>
          <w:p>
            <w:pPr>
              <w:spacing w:after="0"/>
              <w:rPr>
                <w:sz w:val="1"/>
                <w:szCs w:val="1"/>
                <w:color w:val="auto"/>
              </w:rPr>
            </w:pPr>
          </w:p>
        </w:tc>
      </w:tr>
      <w:tr>
        <w:trPr>
          <w:trHeight w:val="264"/>
        </w:trPr>
        <w:tc>
          <w:tcPr>
            <w:tcW w:w="448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Summary Compensation Table Total</w:t>
            </w:r>
          </w:p>
        </w:tc>
        <w:tc>
          <w:tcPr>
            <w:tcW w:w="4700" w:type="dxa"/>
            <w:vAlign w:val="bottom"/>
            <w:tcBorders>
              <w:top w:val="single" w:sz="8" w:color="00C08A"/>
            </w:tcBorders>
            <w:gridSpan w:val="3"/>
            <w:shd w:val="clear" w:color="auto" w:fill="CCEEFF"/>
          </w:tcPr>
          <w:p>
            <w:pPr>
              <w:ind w:left="138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​12,052,261</w:t>
            </w:r>
            <w:r>
              <w:rPr>
                <w:rFonts w:ascii="Arial" w:cs="Arial" w:eastAsia="Arial" w:hAnsi="Arial"/>
                <w:sz w:val="30"/>
                <w:szCs w:val="30"/>
                <w:color w:val="auto"/>
                <w:vertAlign w:val="superscript"/>
              </w:rPr>
              <w:t>​​ ​​</w:t>
            </w:r>
            <w:r>
              <w:rPr>
                <w:rFonts w:ascii="Arial" w:cs="Arial" w:eastAsia="Arial" w:hAnsi="Arial"/>
                <w:sz w:val="16"/>
                <w:szCs w:val="16"/>
                <w:color w:val="auto"/>
              </w:rPr>
              <w:t>​10,107,261</w:t>
            </w:r>
            <w:r>
              <w:rPr>
                <w:rFonts w:ascii="Arial" w:cs="Arial" w:eastAsia="Arial" w:hAnsi="Arial"/>
                <w:sz w:val="30"/>
                <w:szCs w:val="30"/>
                <w:color w:val="auto"/>
                <w:vertAlign w:val="superscript"/>
              </w:rPr>
              <w:t>​​ ​​</w:t>
            </w:r>
            <w:r>
              <w:rPr>
                <w:rFonts w:ascii="Arial" w:cs="Arial" w:eastAsia="Arial" w:hAnsi="Arial"/>
                <w:sz w:val="16"/>
                <w:szCs w:val="16"/>
                <w:color w:val="auto"/>
              </w:rPr>
              <w:t>​12,263,795</w:t>
            </w:r>
          </w:p>
        </w:tc>
        <w:tc>
          <w:tcPr>
            <w:tcW w:w="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940"/>
        <w:spacing w:after="0" w:line="289" w:lineRule="auto"/>
        <w:rPr>
          <w:sz w:val="20"/>
          <w:szCs w:val="20"/>
          <w:color w:val="auto"/>
        </w:rPr>
      </w:pPr>
      <w:r>
        <w:rPr>
          <w:rFonts w:ascii="Arial" w:cs="Arial" w:eastAsia="Arial" w:hAnsi="Arial"/>
          <w:sz w:val="18"/>
          <w:szCs w:val="18"/>
          <w:color w:val="auto"/>
        </w:rPr>
        <w:t>Less, value of “Stock Awards”, as reported in Summary Compensation ​ ​​(7,889,500​​) ​​(6,590,500​​) ​​(8,759,525​)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-6985</wp:posOffset>
            </wp:positionV>
            <wp:extent cx="5829300" cy="316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0" cy="316865"/>
                    </a:xfrm>
                    <a:prstGeom prst="rect">
                      <a:avLst/>
                    </a:prstGeom>
                    <a:noFill/>
                  </pic:spPr>
                </pic:pic>
              </a:graphicData>
            </a:graphic>
          </wp:anchor>
        </w:drawing>
      </w:r>
    </w:p>
    <w:p>
      <w:pPr>
        <w:ind w:left="940"/>
        <w:spacing w:after="0" w:line="289" w:lineRule="auto"/>
        <w:rPr>
          <w:sz w:val="20"/>
          <w:szCs w:val="20"/>
          <w:color w:val="auto"/>
        </w:rPr>
      </w:pPr>
      <w:r>
        <w:rPr>
          <w:rFonts w:ascii="Arial" w:cs="Arial" w:eastAsia="Arial" w:hAnsi="Arial"/>
          <w:sz w:val="18"/>
          <w:szCs w:val="18"/>
          <w:color w:val="auto"/>
        </w:rPr>
        <w:t>Plus, year-end fair value of outstanding and unvested awards granted ​ ​​ 2,526,411​​ ​​ 3,706,982​​ ​​ 3,914,514​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-6985</wp:posOffset>
            </wp:positionV>
            <wp:extent cx="58293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ind w:left="940"/>
        <w:spacing w:after="0" w:line="282" w:lineRule="auto"/>
        <w:rPr>
          <w:sz w:val="20"/>
          <w:szCs w:val="20"/>
          <w:color w:val="auto"/>
        </w:rPr>
      </w:pPr>
      <w:r>
        <w:rPr>
          <w:rFonts w:ascii="Arial" w:cs="Arial" w:eastAsia="Arial" w:hAnsi="Arial"/>
          <w:sz w:val="18"/>
          <w:szCs w:val="18"/>
          <w:color w:val="auto"/>
        </w:rPr>
        <w:t>Plus, fair value as of vesting date of equity awards granted and vested ​ ​​ 1,009,158​​ ​​ 6,914,549​​ ​​ 2,699,019​ in the year</w:t>
      </w:r>
    </w:p>
    <w:tbl>
      <w:tblPr>
        <w:tblLayout w:type="fixed"/>
        <w:tblInd w:w="760" w:type="dxa"/>
        <w:tblCellMar>
          <w:top w:w="0" w:type="dxa"/>
          <w:left w:w="0" w:type="dxa"/>
          <w:bottom w:w="0" w:type="dxa"/>
          <w:right w:w="0" w:type="dxa"/>
        </w:tblCellMar>
      </w:tblPr>
      <w:tr>
        <w:trPr>
          <w:trHeight w:val="156"/>
        </w:trPr>
        <w:tc>
          <w:tcPr>
            <w:tcW w:w="5660" w:type="dxa"/>
            <w:vAlign w:val="bottom"/>
            <w:tcBorders>
              <w:top w:val="single" w:sz="8" w:color="00C08A"/>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Plus (less), year over year change in fair value of outstanding and</w:t>
            </w:r>
          </w:p>
        </w:tc>
        <w:tc>
          <w:tcPr>
            <w:tcW w:w="360" w:type="dxa"/>
            <w:vAlign w:val="bottom"/>
            <w:tcBorders>
              <w:top w:val="single" w:sz="8" w:color="00C08A"/>
            </w:tcBorders>
            <w:shd w:val="clear" w:color="auto" w:fill="CCEEFF"/>
          </w:tcPr>
          <w:p>
            <w:pPr>
              <w:ind w:left="200"/>
              <w:spacing w:after="0" w:line="156" w:lineRule="exact"/>
              <w:rPr>
                <w:sz w:val="20"/>
                <w:szCs w:val="20"/>
                <w:color w:val="auto"/>
              </w:rPr>
            </w:pPr>
            <w:r>
              <w:rPr>
                <w:rFonts w:ascii="Arial" w:cs="Arial" w:eastAsia="Arial" w:hAnsi="Arial"/>
                <w:sz w:val="18"/>
                <w:szCs w:val="18"/>
                <w:color w:val="auto"/>
              </w:rPr>
              <w:t>​ ​</w:t>
            </w:r>
          </w:p>
        </w:tc>
        <w:tc>
          <w:tcPr>
            <w:tcW w:w="120" w:type="dxa"/>
            <w:vAlign w:val="bottom"/>
            <w:tcBorders>
              <w:top w:val="single" w:sz="8" w:color="00C08A"/>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00C08A"/>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08A"/>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00C08A"/>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251,656</w:t>
            </w:r>
          </w:p>
        </w:tc>
        <w:tc>
          <w:tcPr>
            <w:tcW w:w="220" w:type="dxa"/>
            <w:vAlign w:val="bottom"/>
            <w:tcBorders>
              <w:top w:val="single" w:sz="8" w:color="00C08A"/>
            </w:tcBorders>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08A"/>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478,168</w:t>
            </w:r>
          </w:p>
        </w:tc>
        <w:tc>
          <w:tcPr>
            <w:tcW w:w="6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5660" w:type="dxa"/>
            <w:vAlign w:val="bottom"/>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shd w:val="clear" w:color="auto" w:fill="CCEEFF"/>
          </w:tcPr>
          <w:p>
            <w:pPr>
              <w:jc w:val="right"/>
              <w:ind w:right="88"/>
              <w:spacing w:after="0" w:line="80" w:lineRule="exact"/>
              <w:rPr>
                <w:sz w:val="20"/>
                <w:szCs w:val="20"/>
                <w:color w:val="auto"/>
              </w:rPr>
            </w:pPr>
            <w:r>
              <w:rPr>
                <w:rFonts w:ascii="Arial" w:cs="Arial" w:eastAsia="Arial" w:hAnsi="Arial"/>
                <w:sz w:val="9"/>
                <w:szCs w:val="9"/>
                <w:color w:val="auto"/>
              </w:rPr>
              <w:t>(371,530)</w:t>
            </w: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equity awards granted in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660" w:type="dxa"/>
            <w:vAlign w:val="bottom"/>
            <w:tcBorders>
              <w:top w:val="single" w:sz="8" w:color="00C08A"/>
            </w:tcBorders>
            <w:vMerge w:val="restart"/>
          </w:tcPr>
          <w:p>
            <w:pPr>
              <w:ind w:left="180"/>
              <w:spacing w:after="0"/>
              <w:rPr>
                <w:sz w:val="20"/>
                <w:szCs w:val="20"/>
                <w:color w:val="auto"/>
              </w:rPr>
            </w:pPr>
            <w:r>
              <w:rPr>
                <w:rFonts w:ascii="Arial" w:cs="Arial" w:eastAsia="Arial" w:hAnsi="Arial"/>
                <w:sz w:val="18"/>
                <w:szCs w:val="18"/>
                <w:color w:val="auto"/>
              </w:rPr>
              <w:t>Plus (less), year over year change in fair value of equity awards</w:t>
            </w:r>
          </w:p>
        </w:tc>
        <w:tc>
          <w:tcPr>
            <w:tcW w:w="360" w:type="dxa"/>
            <w:vAlign w:val="bottom"/>
            <w:tcBorders>
              <w:top w:val="single" w:sz="8" w:color="00C08A"/>
            </w:tcBorders>
          </w:tcPr>
          <w:p>
            <w:pPr>
              <w:ind w:left="200"/>
              <w:spacing w:after="0" w:line="156" w:lineRule="exact"/>
              <w:rPr>
                <w:sz w:val="20"/>
                <w:szCs w:val="20"/>
                <w:color w:val="auto"/>
              </w:rPr>
            </w:pPr>
            <w:r>
              <w:rPr>
                <w:rFonts w:ascii="Arial" w:cs="Arial" w:eastAsia="Arial" w:hAnsi="Arial"/>
                <w:sz w:val="18"/>
                <w:szCs w:val="18"/>
                <w:color w:val="auto"/>
              </w:rPr>
              <w:t>​ ​</w:t>
            </w:r>
          </w:p>
        </w:tc>
        <w:tc>
          <w:tcPr>
            <w:tcW w:w="12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08A"/>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229,648</w:t>
            </w:r>
          </w:p>
        </w:tc>
        <w:tc>
          <w:tcPr>
            <w:tcW w:w="220" w:type="dxa"/>
            <w:vAlign w:val="bottom"/>
            <w:tcBorders>
              <w:top w:val="single" w:sz="8" w:color="00C08A"/>
            </w:tcBorders>
          </w:tcPr>
          <w:p>
            <w:pPr>
              <w:spacing w:after="0" w:line="15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08A"/>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56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tcPr>
          <w:p>
            <w:pPr>
              <w:jc w:val="right"/>
              <w:ind w:right="88"/>
              <w:spacing w:after="0" w:line="80" w:lineRule="exact"/>
              <w:rPr>
                <w:sz w:val="20"/>
                <w:szCs w:val="20"/>
                <w:color w:val="auto"/>
              </w:rPr>
            </w:pPr>
            <w:r>
              <w:rPr>
                <w:rFonts w:ascii="Arial" w:cs="Arial" w:eastAsia="Arial" w:hAnsi="Arial"/>
                <w:sz w:val="9"/>
                <w:szCs w:val="9"/>
                <w:color w:val="auto"/>
              </w:rPr>
              <w:t>(597,694)</w:t>
            </w: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20" w:type="dxa"/>
            <w:vAlign w:val="bottom"/>
            <w:gridSpan w:val="2"/>
          </w:tcPr>
          <w:p>
            <w:pPr>
              <w:jc w:val="right"/>
              <w:spacing w:after="0" w:line="80" w:lineRule="exact"/>
              <w:rPr>
                <w:sz w:val="20"/>
                <w:szCs w:val="20"/>
                <w:color w:val="auto"/>
              </w:rPr>
            </w:pPr>
            <w:r>
              <w:rPr>
                <w:rFonts w:ascii="Arial" w:cs="Arial" w:eastAsia="Arial" w:hAnsi="Arial"/>
                <w:sz w:val="9"/>
                <w:szCs w:val="9"/>
                <w:color w:val="auto"/>
              </w:rPr>
              <w:t>(27,258)</w:t>
            </w:r>
          </w:p>
        </w:tc>
        <w:tc>
          <w:tcPr>
            <w:tcW w:w="0" w:type="dxa"/>
            <w:vAlign w:val="bottom"/>
          </w:tcPr>
          <w:p>
            <w:pPr>
              <w:spacing w:after="0"/>
              <w:rPr>
                <w:sz w:val="1"/>
                <w:szCs w:val="1"/>
                <w:color w:val="auto"/>
              </w:rPr>
            </w:pPr>
          </w:p>
        </w:tc>
      </w:tr>
      <w:tr>
        <w:trPr>
          <w:trHeight w:val="217"/>
        </w:trPr>
        <w:tc>
          <w:tcPr>
            <w:tcW w:w="5660" w:type="dxa"/>
            <w:vAlign w:val="bottom"/>
          </w:tcPr>
          <w:p>
            <w:pPr>
              <w:ind w:left="180"/>
              <w:spacing w:after="0"/>
              <w:rPr>
                <w:sz w:val="20"/>
                <w:szCs w:val="20"/>
                <w:color w:val="auto"/>
              </w:rPr>
            </w:pPr>
            <w:r>
              <w:rPr>
                <w:rFonts w:ascii="Arial" w:cs="Arial" w:eastAsia="Arial" w:hAnsi="Arial"/>
                <w:sz w:val="18"/>
                <w:szCs w:val="18"/>
                <w:color w:val="auto"/>
              </w:rPr>
              <w:t>granted in prior years that vested in the year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120" w:type="dxa"/>
            <w:vAlign w:val="bottom"/>
            <w:gridSpan w:val="3"/>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60" w:type="dxa"/>
            <w:vAlign w:val="bottom"/>
            <w:tcBorders>
              <w:top w:val="single" w:sz="8" w:color="00C08A"/>
            </w:tcBorders>
            <w:shd w:val="clear" w:color="auto" w:fill="CCEEFF"/>
          </w:tcPr>
          <w:p>
            <w:pPr>
              <w:ind w:left="180"/>
              <w:spacing w:after="0"/>
              <w:rPr>
                <w:sz w:val="20"/>
                <w:szCs w:val="20"/>
                <w:color w:val="auto"/>
              </w:rPr>
            </w:pPr>
            <w:r>
              <w:rPr>
                <w:rFonts w:ascii="Arial" w:cs="Arial" w:eastAsia="Arial" w:hAnsi="Arial"/>
                <w:sz w:val="18"/>
                <w:szCs w:val="18"/>
                <w:color w:val="auto"/>
              </w:rPr>
              <w:t>Plus, dividends or other earnings paid during covered year, prior to</w:t>
            </w:r>
          </w:p>
        </w:tc>
        <w:tc>
          <w:tcPr>
            <w:tcW w:w="480" w:type="dxa"/>
            <w:vAlign w:val="bottom"/>
            <w:tcBorders>
              <w:top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305,960​​ ​​</w:t>
            </w:r>
          </w:p>
        </w:tc>
        <w:tc>
          <w:tcPr>
            <w:tcW w:w="1120" w:type="dxa"/>
            <w:vAlign w:val="bottom"/>
            <w:tcBorders>
              <w:top w:val="single" w:sz="8" w:color="00C08A"/>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319,551​​ ​​</w:t>
            </w:r>
          </w:p>
        </w:tc>
        <w:tc>
          <w:tcPr>
            <w:tcW w:w="76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271,307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date of award</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60" w:type="dxa"/>
            <w:vAlign w:val="bottom"/>
            <w:tcBorders>
              <w:top w:val="single" w:sz="8" w:color="00C08A"/>
            </w:tcBorders>
          </w:tcPr>
          <w:p>
            <w:pPr>
              <w:spacing w:after="0"/>
              <w:rPr>
                <w:sz w:val="20"/>
                <w:szCs w:val="20"/>
                <w:color w:val="auto"/>
              </w:rPr>
            </w:pPr>
            <w:r>
              <w:rPr>
                <w:rFonts w:ascii="Arial" w:cs="Arial" w:eastAsia="Arial" w:hAnsi="Arial"/>
                <w:sz w:val="18"/>
                <w:szCs w:val="18"/>
                <w:b w:val="1"/>
                <w:bCs w:val="1"/>
                <w:color w:val="auto"/>
              </w:rPr>
              <w:t>Compensation “Actually Paid” to CEO</w:t>
            </w:r>
          </w:p>
        </w:tc>
        <w:tc>
          <w:tcPr>
            <w:tcW w:w="3520" w:type="dxa"/>
            <w:vAlign w:val="bottom"/>
            <w:tcBorders>
              <w:top w:val="single" w:sz="8" w:color="00C08A"/>
            </w:tcBorders>
            <w:gridSpan w:val="8"/>
          </w:tcPr>
          <w:p>
            <w:pPr>
              <w:jc w:val="right"/>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7,035,066</w:t>
            </w:r>
            <w:r>
              <w:rPr>
                <w:rFonts w:ascii="Arial" w:cs="Arial" w:eastAsia="Arial" w:hAnsi="Arial"/>
                <w:sz w:val="28"/>
                <w:szCs w:val="28"/>
                <w:color w:val="auto"/>
                <w:vertAlign w:val="superscript"/>
              </w:rPr>
              <w:t>​​ ​​</w:t>
            </w:r>
            <w:r>
              <w:rPr>
                <w:rFonts w:ascii="Arial" w:cs="Arial" w:eastAsia="Arial" w:hAnsi="Arial"/>
                <w:sz w:val="15"/>
                <w:szCs w:val="15"/>
                <w:color w:val="auto"/>
              </w:rPr>
              <w:t>​14,939,149</w:t>
            </w:r>
            <w:r>
              <w:rPr>
                <w:rFonts w:ascii="Arial" w:cs="Arial" w:eastAsia="Arial" w:hAnsi="Arial"/>
                <w:sz w:val="28"/>
                <w:szCs w:val="28"/>
                <w:color w:val="auto"/>
                <w:vertAlign w:val="superscript"/>
              </w:rPr>
              <w:t>​​ ​​</w:t>
            </w:r>
            <w:r>
              <w:rPr>
                <w:rFonts w:ascii="Arial" w:cs="Arial" w:eastAsia="Arial" w:hAnsi="Arial"/>
                <w:sz w:val="15"/>
                <w:szCs w:val="15"/>
                <w:color w:val="auto"/>
              </w:rPr>
              <w:t>​10,840,019</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100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40" w:type="dxa"/>
            <w:vAlign w:val="bottom"/>
            <w:shd w:val="clear" w:color="auto" w:fill="00C08A"/>
          </w:tcPr>
          <w:p>
            <w:pPr>
              <w:spacing w:after="0" w:line="20" w:lineRule="exact"/>
              <w:rPr>
                <w:sz w:val="1"/>
                <w:szCs w:val="1"/>
                <w:color w:val="auto"/>
              </w:rPr>
            </w:pPr>
          </w:p>
        </w:tc>
        <w:tc>
          <w:tcPr>
            <w:tcW w:w="22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60" w:type="dxa"/>
            <w:vAlign w:val="bottom"/>
            <w:shd w:val="clear" w:color="auto" w:fill="00C08A"/>
          </w:tcPr>
          <w:p>
            <w:pPr>
              <w:spacing w:after="0" w:line="20" w:lineRule="exact"/>
              <w:rPr>
                <w:sz w:val="1"/>
                <w:szCs w:val="1"/>
                <w:color w:val="auto"/>
              </w:rPr>
            </w:pPr>
          </w:p>
        </w:tc>
        <w:tc>
          <w:tcPr>
            <w:tcW w:w="60" w:type="dxa"/>
            <w:vAlign w:val="bottom"/>
            <w:tcBorders>
              <w:left w:val="single" w:sz="8" w:color="00C08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980" w:right="60" w:hanging="218"/>
        <w:spacing w:after="0" w:line="266" w:lineRule="auto"/>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Compensation “actually paid” is calculated in accordance with Item 402(v) of Regulation S-K. The table below set forth each adjustment made during each year presented in the table to calculate the average compensation “actually paid” to our non-CEO NEO’s during each year in the table:</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335"/>
        </w:trPr>
        <w:tc>
          <w:tcPr>
            <w:tcW w:w="4540" w:type="dxa"/>
            <w:vAlign w:val="bottom"/>
          </w:tcPr>
          <w:p>
            <w:pPr>
              <w:spacing w:after="0"/>
              <w:rPr>
                <w:sz w:val="20"/>
                <w:szCs w:val="20"/>
                <w:color w:val="auto"/>
              </w:rPr>
            </w:pPr>
            <w:r>
              <w:rPr>
                <w:rFonts w:ascii="Arial" w:cs="Arial" w:eastAsia="Arial" w:hAnsi="Arial"/>
                <w:sz w:val="14"/>
                <w:szCs w:val="14"/>
                <w:b w:val="1"/>
                <w:bCs w:val="1"/>
                <w:color w:val="002453"/>
              </w:rPr>
              <w:t>Non-CEO NEOs</w:t>
            </w:r>
          </w:p>
        </w:tc>
        <w:tc>
          <w:tcPr>
            <w:tcW w:w="2360" w:type="dxa"/>
            <w:vAlign w:val="bottom"/>
          </w:tcPr>
          <w:p>
            <w:pPr>
              <w:ind w:left="1440"/>
              <w:spacing w:after="0"/>
              <w:rPr>
                <w:sz w:val="20"/>
                <w:szCs w:val="20"/>
                <w:color w:val="auto"/>
              </w:rPr>
            </w:pPr>
            <w:r>
              <w:rPr>
                <w:rFonts w:ascii="Arial" w:cs="Arial" w:eastAsia="Arial" w:hAnsi="Arial"/>
                <w:sz w:val="28"/>
                <w:szCs w:val="28"/>
                <w:b w:val="1"/>
                <w:bCs w:val="1"/>
                <w:color w:val="002453"/>
                <w:w w:val="96"/>
                <w:vertAlign w:val="subscript"/>
              </w:rPr>
              <w:t>​ ​</w:t>
            </w:r>
            <w:r>
              <w:rPr>
                <w:rFonts w:ascii="Arial" w:cs="Arial" w:eastAsia="Arial" w:hAnsi="Arial"/>
                <w:sz w:val="14"/>
                <w:szCs w:val="14"/>
                <w:b w:val="1"/>
                <w:bCs w:val="1"/>
                <w:color w:val="002453"/>
                <w:w w:val="96"/>
              </w:rPr>
              <w:t>2022</w:t>
            </w:r>
          </w:p>
        </w:tc>
        <w:tc>
          <w:tcPr>
            <w:tcW w:w="1080" w:type="dxa"/>
            <w:vAlign w:val="bottom"/>
          </w:tcPr>
          <w:p>
            <w:pPr>
              <w:ind w:left="160"/>
              <w:spacing w:after="0"/>
              <w:rPr>
                <w:sz w:val="20"/>
                <w:szCs w:val="20"/>
                <w:color w:val="auto"/>
              </w:rPr>
            </w:pPr>
            <w:r>
              <w:rPr>
                <w:rFonts w:ascii="Arial" w:cs="Arial" w:eastAsia="Arial" w:hAnsi="Arial"/>
                <w:sz w:val="28"/>
                <w:szCs w:val="28"/>
                <w:b w:val="1"/>
                <w:bCs w:val="1"/>
                <w:color w:val="002453"/>
                <w:w w:val="96"/>
                <w:vertAlign w:val="subscript"/>
              </w:rPr>
              <w:t>​ ​</w:t>
            </w:r>
            <w:r>
              <w:rPr>
                <w:rFonts w:ascii="Arial" w:cs="Arial" w:eastAsia="Arial" w:hAnsi="Arial"/>
                <w:sz w:val="14"/>
                <w:szCs w:val="14"/>
                <w:b w:val="1"/>
                <w:bCs w:val="1"/>
                <w:color w:val="002453"/>
                <w:w w:val="96"/>
              </w:rPr>
              <w:t>2021</w:t>
            </w:r>
          </w:p>
        </w:tc>
        <w:tc>
          <w:tcPr>
            <w:tcW w:w="1260" w:type="dxa"/>
            <w:vAlign w:val="bottom"/>
            <w:gridSpan w:val="2"/>
          </w:tcPr>
          <w:p>
            <w:pPr>
              <w:jc w:val="right"/>
              <w:spacing w:after="0"/>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2020</w:t>
            </w:r>
            <w:r>
              <w:rPr>
                <w:rFonts w:ascii="Arial" w:cs="Arial" w:eastAsia="Arial" w:hAnsi="Arial"/>
                <w:sz w:val="29"/>
                <w:szCs w:val="29"/>
                <w:b w:val="1"/>
                <w:bCs w:val="1"/>
                <w:color w:val="002453"/>
                <w:vertAlign w:val="subscript"/>
              </w:rPr>
              <w:t>​</w:t>
            </w:r>
          </w:p>
        </w:tc>
      </w:tr>
      <w:tr>
        <w:trPr>
          <w:trHeight w:val="264"/>
        </w:trPr>
        <w:tc>
          <w:tcPr>
            <w:tcW w:w="454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Summary Compensation Table Total</w:t>
            </w:r>
          </w:p>
        </w:tc>
        <w:tc>
          <w:tcPr>
            <w:tcW w:w="4640" w:type="dxa"/>
            <w:vAlign w:val="bottom"/>
            <w:tcBorders>
              <w:top w:val="single" w:sz="8" w:color="00C08A"/>
            </w:tcBorders>
            <w:gridSpan w:val="3"/>
            <w:shd w:val="clear" w:color="auto" w:fill="CCEEFF"/>
          </w:tcPr>
          <w:p>
            <w:pPr>
              <w:ind w:left="144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​3,452,212</w:t>
            </w:r>
            <w:r>
              <w:rPr>
                <w:rFonts w:ascii="Arial" w:cs="Arial" w:eastAsia="Arial" w:hAnsi="Arial"/>
                <w:sz w:val="30"/>
                <w:szCs w:val="30"/>
                <w:color w:val="auto"/>
                <w:vertAlign w:val="superscript"/>
              </w:rPr>
              <w:t>​​ ​​</w:t>
            </w:r>
            <w:r>
              <w:rPr>
                <w:rFonts w:ascii="Arial" w:cs="Arial" w:eastAsia="Arial" w:hAnsi="Arial"/>
                <w:sz w:val="16"/>
                <w:szCs w:val="16"/>
                <w:color w:val="auto"/>
              </w:rPr>
              <w:t>​3,309,375</w:t>
            </w:r>
            <w:r>
              <w:rPr>
                <w:rFonts w:ascii="Arial" w:cs="Arial" w:eastAsia="Arial" w:hAnsi="Arial"/>
                <w:sz w:val="30"/>
                <w:szCs w:val="30"/>
                <w:color w:val="auto"/>
                <w:vertAlign w:val="superscript"/>
              </w:rPr>
              <w:t>​​ ​​</w:t>
            </w:r>
            <w:r>
              <w:rPr>
                <w:rFonts w:ascii="Arial" w:cs="Arial" w:eastAsia="Arial" w:hAnsi="Arial"/>
                <w:sz w:val="16"/>
                <w:szCs w:val="16"/>
                <w:color w:val="auto"/>
              </w:rPr>
              <w:t>​4,152,733</w:t>
            </w:r>
          </w:p>
        </w:tc>
        <w:tc>
          <w:tcPr>
            <w:tcW w:w="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940"/>
        <w:spacing w:after="0" w:line="282" w:lineRule="auto"/>
        <w:rPr>
          <w:sz w:val="20"/>
          <w:szCs w:val="20"/>
          <w:color w:val="auto"/>
        </w:rPr>
      </w:pPr>
      <w:r>
        <w:rPr>
          <w:rFonts w:ascii="Arial" w:cs="Arial" w:eastAsia="Arial" w:hAnsi="Arial"/>
          <w:sz w:val="18"/>
          <w:szCs w:val="18"/>
          <w:color w:val="auto"/>
        </w:rPr>
        <w:t>Less, value of “Stock Awards”, as reported in Summary Compensation ​ ​​(2,032,213​​) ​​(1,786,875​​) ​​(2,331,500​) Table</w:t>
      </w:r>
    </w:p>
    <w:tbl>
      <w:tblPr>
        <w:tblLayout w:type="fixed"/>
        <w:tblInd w:w="760" w:type="dxa"/>
        <w:tblCellMar>
          <w:top w:w="0" w:type="dxa"/>
          <w:left w:w="0" w:type="dxa"/>
          <w:bottom w:w="0" w:type="dxa"/>
          <w:right w:w="0" w:type="dxa"/>
        </w:tblCellMar>
      </w:tblPr>
      <w:tr>
        <w:trPr>
          <w:trHeight w:val="236"/>
        </w:trPr>
        <w:tc>
          <w:tcPr>
            <w:tcW w:w="5940" w:type="dxa"/>
            <w:vAlign w:val="bottom"/>
            <w:tcBorders>
              <w:top w:val="single" w:sz="8" w:color="00C08A"/>
            </w:tcBorders>
            <w:shd w:val="clear" w:color="auto" w:fill="CCEEFF"/>
          </w:tcPr>
          <w:p>
            <w:pPr>
              <w:ind w:left="180"/>
              <w:spacing w:after="0"/>
              <w:rPr>
                <w:sz w:val="20"/>
                <w:szCs w:val="20"/>
                <w:color w:val="auto"/>
              </w:rPr>
            </w:pPr>
            <w:r>
              <w:rPr>
                <w:rFonts w:ascii="Arial" w:cs="Arial" w:eastAsia="Arial" w:hAnsi="Arial"/>
                <w:sz w:val="18"/>
                <w:szCs w:val="18"/>
                <w:color w:val="auto"/>
              </w:rPr>
              <w:t>Plus, year-end fair value of outstanding and unvested awards granted in</w:t>
            </w:r>
          </w:p>
        </w:tc>
        <w:tc>
          <w:tcPr>
            <w:tcW w:w="300" w:type="dxa"/>
            <w:vAlign w:val="bottom"/>
            <w:tcBorders>
              <w:top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tcBorders>
              <w:top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638,834​​ ​​</w:t>
            </w:r>
          </w:p>
        </w:tc>
        <w:tc>
          <w:tcPr>
            <w:tcW w:w="1820" w:type="dxa"/>
            <w:vAlign w:val="bottom"/>
            <w:tcBorders>
              <w:top w:val="single" w:sz="8" w:color="00C08A"/>
            </w:tcBorders>
            <w:gridSpan w:val="4"/>
            <w:shd w:val="clear" w:color="auto" w:fill="CCEEFF"/>
          </w:tcPr>
          <w:p>
            <w:pPr>
              <w:jc w:val="right"/>
              <w:spacing w:after="0"/>
              <w:rPr>
                <w:sz w:val="20"/>
                <w:szCs w:val="20"/>
                <w:color w:val="auto"/>
              </w:rPr>
            </w:pPr>
            <w:r>
              <w:rPr>
                <w:rFonts w:ascii="Arial" w:cs="Arial" w:eastAsia="Arial" w:hAnsi="Arial"/>
                <w:sz w:val="18"/>
                <w:szCs w:val="18"/>
                <w:color w:val="auto"/>
              </w:rPr>
              <w:t>563,080​​ ​​2,912,547</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year</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40" w:type="dxa"/>
            <w:vAlign w:val="bottom"/>
            <w:tcBorders>
              <w:top w:val="single" w:sz="8" w:color="00C08A"/>
            </w:tcBorders>
            <w:gridSpan w:val="3"/>
          </w:tcPr>
          <w:p>
            <w:pPr>
              <w:ind w:left="180"/>
              <w:spacing w:after="0"/>
              <w:rPr>
                <w:sz w:val="20"/>
                <w:szCs w:val="20"/>
                <w:color w:val="auto"/>
              </w:rPr>
            </w:pPr>
            <w:r>
              <w:rPr>
                <w:rFonts w:ascii="Arial" w:cs="Arial" w:eastAsia="Arial" w:hAnsi="Arial"/>
                <w:sz w:val="18"/>
                <w:szCs w:val="18"/>
                <w:color w:val="auto"/>
              </w:rPr>
              <w:t>Plus, fair value as of vesting date of equity awards granted and vested in ​ ​​</w:t>
            </w:r>
          </w:p>
        </w:tc>
        <w:tc>
          <w:tcPr>
            <w:tcW w:w="112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414,794​​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385,950​​ ​​</w:t>
            </w:r>
          </w:p>
        </w:tc>
        <w:tc>
          <w:tcPr>
            <w:tcW w:w="76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883,726</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940" w:type="dxa"/>
            <w:vAlign w:val="bottom"/>
          </w:tcPr>
          <w:p>
            <w:pPr>
              <w:ind w:left="180"/>
              <w:spacing w:after="0"/>
              <w:rPr>
                <w:sz w:val="20"/>
                <w:szCs w:val="20"/>
                <w:color w:val="auto"/>
              </w:rPr>
            </w:pPr>
            <w:r>
              <w:rPr>
                <w:rFonts w:ascii="Arial" w:cs="Arial" w:eastAsia="Arial" w:hAnsi="Arial"/>
                <w:sz w:val="18"/>
                <w:szCs w:val="18"/>
                <w:color w:val="auto"/>
              </w:rPr>
              <w:t>the year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98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72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9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Plus (less), year over year change in fair value of outstanding and</w:t>
            </w:r>
          </w:p>
        </w:tc>
        <w:tc>
          <w:tcPr>
            <w:tcW w:w="2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307,181</w:t>
            </w:r>
          </w:p>
        </w:tc>
        <w:tc>
          <w:tcPr>
            <w:tcW w:w="2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59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80" w:type="dxa"/>
            <w:vAlign w:val="bottom"/>
            <w:shd w:val="clear" w:color="auto" w:fill="CCEEFF"/>
          </w:tcPr>
          <w:p>
            <w:pPr>
              <w:jc w:val="right"/>
              <w:ind w:right="81"/>
              <w:spacing w:after="0" w:line="80" w:lineRule="exact"/>
              <w:rPr>
                <w:sz w:val="20"/>
                <w:szCs w:val="20"/>
                <w:color w:val="auto"/>
              </w:rPr>
            </w:pPr>
            <w:r>
              <w:rPr>
                <w:rFonts w:ascii="Arial" w:cs="Arial" w:eastAsia="Arial" w:hAnsi="Arial"/>
                <w:sz w:val="9"/>
                <w:szCs w:val="9"/>
                <w:color w:val="auto"/>
              </w:rPr>
              <w:t>(620,849)</w:t>
            </w:r>
          </w:p>
        </w:tc>
        <w:tc>
          <w:tcPr>
            <w:tcW w:w="14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equity awards granted in prior years</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rPr>
              <w:t>Plus (less), year over year change in fair value of equity awards granted</w:t>
            </w:r>
          </w:p>
        </w:tc>
        <w:tc>
          <w:tcPr>
            <w:tcW w:w="30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 ​​</w:t>
            </w:r>
          </w:p>
        </w:tc>
        <w:tc>
          <w:tcPr>
            <w:tcW w:w="112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4,997​​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117,898​​ ​​</w:t>
            </w:r>
          </w:p>
        </w:tc>
        <w:tc>
          <w:tcPr>
            <w:tcW w:w="76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224,850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940" w:type="dxa"/>
            <w:vAlign w:val="bottom"/>
          </w:tcPr>
          <w:p>
            <w:pPr>
              <w:ind w:left="180"/>
              <w:spacing w:after="0"/>
              <w:rPr>
                <w:sz w:val="20"/>
                <w:szCs w:val="20"/>
                <w:color w:val="auto"/>
              </w:rPr>
            </w:pPr>
            <w:r>
              <w:rPr>
                <w:rFonts w:ascii="Arial" w:cs="Arial" w:eastAsia="Arial" w:hAnsi="Arial"/>
                <w:sz w:val="18"/>
                <w:szCs w:val="18"/>
                <w:color w:val="auto"/>
              </w:rPr>
              <w:t>in prior years that vested in the year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98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72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9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Less, fair value of awards granted prior to covered year that were</w:t>
            </w:r>
          </w:p>
        </w:tc>
        <w:tc>
          <w:tcPr>
            <w:tcW w:w="2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(315,799</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59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80" w:type="dxa"/>
            <w:vAlign w:val="bottom"/>
            <w:shd w:val="clear" w:color="auto" w:fill="CCEEFF"/>
          </w:tcPr>
          <w:p>
            <w:pPr>
              <w:jc w:val="right"/>
              <w:ind w:right="141"/>
              <w:spacing w:after="0" w:line="80" w:lineRule="exact"/>
              <w:rPr>
                <w:sz w:val="20"/>
                <w:szCs w:val="20"/>
                <w:color w:val="auto"/>
              </w:rPr>
            </w:pPr>
            <w:r>
              <w:rPr>
                <w:rFonts w:ascii="Arial" w:cs="Arial" w:eastAsia="Arial" w:hAnsi="Arial"/>
                <w:sz w:val="9"/>
                <w:szCs w:val="9"/>
                <w:color w:val="auto"/>
              </w:rPr>
              <w:t>—</w:t>
            </w:r>
          </w:p>
        </w:tc>
        <w:tc>
          <w:tcPr>
            <w:tcW w:w="14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60" w:type="dxa"/>
            <w:vAlign w:val="bottom"/>
          </w:tcPr>
          <w:p>
            <w:pPr>
              <w:spacing w:after="0" w:line="80"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 during covered year</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rPr>
              <w:t>Plus, dividends or other earnings paid during covered year, prior to</w:t>
            </w:r>
          </w:p>
        </w:tc>
        <w:tc>
          <w:tcPr>
            <w:tcW w:w="30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 ​​</w:t>
            </w:r>
          </w:p>
        </w:tc>
        <w:tc>
          <w:tcPr>
            <w:tcW w:w="112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101,362​​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137,112​​ ​​</w:t>
            </w:r>
          </w:p>
        </w:tc>
        <w:tc>
          <w:tcPr>
            <w:tcW w:w="76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128,129</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940" w:type="dxa"/>
            <w:vAlign w:val="bottom"/>
          </w:tcPr>
          <w:p>
            <w:pPr>
              <w:ind w:left="180"/>
              <w:spacing w:after="0"/>
              <w:rPr>
                <w:sz w:val="20"/>
                <w:szCs w:val="20"/>
                <w:color w:val="auto"/>
              </w:rPr>
            </w:pPr>
            <w:r>
              <w:rPr>
                <w:rFonts w:ascii="Arial" w:cs="Arial" w:eastAsia="Arial" w:hAnsi="Arial"/>
                <w:sz w:val="18"/>
                <w:szCs w:val="18"/>
                <w:color w:val="auto"/>
              </w:rPr>
              <w:t>vesting date of award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00C08A"/>
            </w:tcBorders>
          </w:tcPr>
          <w:p>
            <w:pPr>
              <w:spacing w:after="0"/>
              <w:rPr>
                <w:sz w:val="2"/>
                <w:szCs w:val="2"/>
                <w:color w:val="auto"/>
              </w:rPr>
            </w:pPr>
          </w:p>
        </w:tc>
        <w:tc>
          <w:tcPr>
            <w:tcW w:w="3240" w:type="dxa"/>
            <w:vAlign w:val="bottom"/>
            <w:tcBorders>
              <w:bottom w:val="single" w:sz="8" w:color="00C08A"/>
            </w:tcBorders>
            <w:gridSpan w:val="8"/>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Average Compensation “Actually Paid” to Non-CEO NEOs</w:t>
            </w:r>
          </w:p>
        </w:tc>
        <w:tc>
          <w:tcPr>
            <w:tcW w:w="3240" w:type="dxa"/>
            <w:vAlign w:val="bottom"/>
            <w:tcBorders>
              <w:bottom w:val="single" w:sz="8" w:color="00C08A"/>
            </w:tcBorders>
            <w:gridSpan w:val="8"/>
            <w:shd w:val="clear" w:color="auto" w:fill="CCEEFF"/>
          </w:tcPr>
          <w:p>
            <w:pPr>
              <w:jc w:val="right"/>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​1,959,138</w:t>
            </w:r>
            <w:r>
              <w:rPr>
                <w:rFonts w:ascii="Arial" w:cs="Arial" w:eastAsia="Arial" w:hAnsi="Arial"/>
                <w:sz w:val="28"/>
                <w:szCs w:val="28"/>
                <w:color w:val="auto"/>
                <w:vertAlign w:val="superscript"/>
              </w:rPr>
              <w:t>​​ ​​</w:t>
            </w:r>
            <w:r>
              <w:rPr>
                <w:rFonts w:ascii="Arial" w:cs="Arial" w:eastAsia="Arial" w:hAnsi="Arial"/>
                <w:sz w:val="15"/>
                <w:szCs w:val="15"/>
                <w:color w:val="auto"/>
              </w:rPr>
              <w:t>​3,033,721</w:t>
            </w:r>
            <w:r>
              <w:rPr>
                <w:rFonts w:ascii="Arial" w:cs="Arial" w:eastAsia="Arial" w:hAnsi="Arial"/>
                <w:sz w:val="28"/>
                <w:szCs w:val="28"/>
                <w:color w:val="auto"/>
                <w:vertAlign w:val="superscript"/>
              </w:rPr>
              <w:t>​​ ​​</w:t>
            </w:r>
            <w:r>
              <w:rPr>
                <w:rFonts w:ascii="Arial" w:cs="Arial" w:eastAsia="Arial" w:hAnsi="Arial"/>
                <w:sz w:val="15"/>
                <w:szCs w:val="15"/>
                <w:color w:val="auto"/>
              </w:rPr>
              <w:t>​5,679,546</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980" w:right="560" w:hanging="218"/>
        <w:spacing w:after="0" w:line="278"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Assumes $100 was invested in our Class A Common Stock on December 31, 2019, and that dividends were reinvested on the date of payment without payment of any commissions or consideration of income taxes.</w:t>
      </w:r>
    </w:p>
    <w:p>
      <w:pPr>
        <w:spacing w:after="0" w:line="99" w:lineRule="exact"/>
        <w:rPr>
          <w:rFonts w:ascii="Arial" w:cs="Arial" w:eastAsia="Arial" w:hAnsi="Arial"/>
          <w:sz w:val="14"/>
          <w:szCs w:val="14"/>
          <w:color w:val="auto"/>
        </w:rPr>
      </w:pPr>
    </w:p>
    <w:p>
      <w:pPr>
        <w:ind w:left="980" w:right="120" w:hanging="218"/>
        <w:spacing w:after="0" w:line="270"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peer group indices used by the Company consists of the NYSE Arca Securities Broker/Dealer Index. The calculation assumes $100 was invested in our Class A Common Stock on December 31, 2019, and that dividends were reinvested on the date of payment without payment of any commissions or consideration of income taxes.</w:t>
      </w:r>
    </w:p>
    <w:p>
      <w:pPr>
        <w:spacing w:after="0" w:line="104" w:lineRule="exact"/>
        <w:rPr>
          <w:rFonts w:ascii="Arial" w:cs="Arial" w:eastAsia="Arial" w:hAnsi="Arial"/>
          <w:sz w:val="14"/>
          <w:szCs w:val="14"/>
          <w:color w:val="auto"/>
        </w:rPr>
      </w:pPr>
    </w:p>
    <w:p>
      <w:pPr>
        <w:ind w:left="980" w:right="640" w:hanging="218"/>
        <w:spacing w:after="0" w:line="271"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“EBITDA” and “Adjusted EBITDA” are non-GAAP financial measures of financial performance. “EBITDA” measures our operating performance by adjusting net income to exclude Financing interest expense on long-term borrowings, Debt issue cost related to debt</w:t>
      </w:r>
    </w:p>
    <w:p>
      <w:pPr>
        <w:ind w:left="980" w:right="180"/>
        <w:spacing w:after="0" w:line="268" w:lineRule="auto"/>
        <w:rPr>
          <w:rFonts w:ascii="Arial" w:cs="Arial" w:eastAsia="Arial" w:hAnsi="Arial"/>
          <w:sz w:val="14"/>
          <w:szCs w:val="14"/>
          <w:color w:val="auto"/>
        </w:rPr>
      </w:pPr>
      <w:r>
        <w:rPr>
          <w:rFonts w:ascii="Arial" w:cs="Arial" w:eastAsia="Arial" w:hAnsi="Arial"/>
          <w:sz w:val="14"/>
          <w:szCs w:val="14"/>
          <w:color w:val="auto"/>
        </w:rPr>
        <w:t>refinancing, prepayment, and commitment fees, Depreciation and amortization, Amortization of purchased intangibles and acquired capitalized software, and Income tax expense, and “Adjusted EBITDA” measures our operating performance by further adjusting EBITDA to exclude severance, transaction advisory fees and expenses, termination of office leases, charges related to share-based compensation and</w:t>
      </w:r>
    </w:p>
    <w:p>
      <w:pPr>
        <w:jc w:val="both"/>
        <w:ind w:left="980" w:right="120"/>
        <w:spacing w:after="0" w:line="270" w:lineRule="auto"/>
        <w:rPr>
          <w:rFonts w:ascii="Arial" w:cs="Arial" w:eastAsia="Arial" w:hAnsi="Arial"/>
          <w:sz w:val="14"/>
          <w:szCs w:val="14"/>
          <w:color w:val="auto"/>
        </w:rPr>
      </w:pPr>
      <w:r>
        <w:rPr>
          <w:rFonts w:ascii="Arial" w:cs="Arial" w:eastAsia="Arial" w:hAnsi="Arial"/>
          <w:sz w:val="14"/>
          <w:szCs w:val="14"/>
          <w:color w:val="auto"/>
        </w:rPr>
        <w:t>other expenses, which includes reserves for legal matters, COVID-19 one-time costs and donations and Other, net, which includes gains and losses from strategic investments and the sales of businesses. Reconciliations of Net Income to EBITDA and Adjusted EBITDA are available at https://ir.virtu.com/financials-and-filings/quarterly-results/default.aspx.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200660</wp:posOffset>
            </wp:positionV>
            <wp:extent cx="75438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Relationship Between “Compensation Actually Paid” and Performance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charts that follow depict the relationship of “compensation actually paid” (“CAP”)​ to our CEO and other NEOs to</w:t>
      </w:r>
    </w:p>
    <w:p>
      <w:pPr>
        <w:spacing w:after="0" w:line="23" w:lineRule="exact"/>
        <w:rPr>
          <w:sz w:val="20"/>
          <w:szCs w:val="20"/>
          <w:color w:val="auto"/>
        </w:rPr>
      </w:pPr>
    </w:p>
    <w:p>
      <w:pPr>
        <w:ind w:left="760" w:right="240" w:firstLine="2"/>
        <w:spacing w:after="0" w:line="261" w:lineRule="auto"/>
        <w:tabs>
          <w:tab w:leader="none" w:pos="9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TSR of the Company and its peer group (as described in Footnote 6 above), (ii) the Company’s net income, and (iii) the Company’s annual Adjusted EBITDA:</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Total Shareholder Return</w:t>
      </w:r>
    </w:p>
    <w:p>
      <w:pPr>
        <w:spacing w:after="0" w:line="135" w:lineRule="exact"/>
        <w:rPr>
          <w:sz w:val="20"/>
          <w:szCs w:val="20"/>
          <w:color w:val="auto"/>
        </w:rPr>
      </w:pPr>
    </w:p>
    <w:p>
      <w:pPr>
        <w:ind w:left="760" w:right="100"/>
        <w:spacing w:after="0" w:line="264"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TSR. This is primarily due to the Company’s use of annual and long-term equity incentives, the value of which are tied directly to stock price performance and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98425</wp:posOffset>
            </wp:positionV>
            <wp:extent cx="5066030" cy="2674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6603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Annual Net Income</w:t>
      </w:r>
    </w:p>
    <w:p>
      <w:pPr>
        <w:spacing w:after="0" w:line="135" w:lineRule="exact"/>
        <w:rPr>
          <w:sz w:val="20"/>
          <w:szCs w:val="20"/>
          <w:color w:val="auto"/>
        </w:rPr>
      </w:pPr>
    </w:p>
    <w:p>
      <w:pPr>
        <w:ind w:left="760" w:right="240"/>
        <w:spacing w:after="0" w:line="264"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Net Income. This is primarily due to the Company’s use of quantitative financial performance metrics in determining annual bonus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98425</wp:posOffset>
            </wp:positionV>
            <wp:extent cx="5134610" cy="25285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3461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Annual Adjusted EBITDA</w:t>
      </w:r>
    </w:p>
    <w:p>
      <w:pPr>
        <w:spacing w:after="0" w:line="135" w:lineRule="exact"/>
        <w:rPr>
          <w:sz w:val="20"/>
          <w:szCs w:val="20"/>
          <w:color w:val="auto"/>
        </w:rPr>
      </w:pPr>
    </w:p>
    <w:p>
      <w:pPr>
        <w:jc w:val="both"/>
        <w:ind w:left="760" w:right="560"/>
        <w:spacing w:after="0" w:line="256"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Adjusted EBITDA. This is primarily due to the Company’s use of quantitative financial performance metrics in determining annual bonus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94615</wp:posOffset>
            </wp:positionV>
            <wp:extent cx="5100320" cy="2562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003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Most Important Financial Performance Measures</w:t>
      </w:r>
    </w:p>
    <w:p>
      <w:pPr>
        <w:spacing w:after="0" w:line="135" w:lineRule="exact"/>
        <w:rPr>
          <w:sz w:val="20"/>
          <w:szCs w:val="20"/>
          <w:color w:val="auto"/>
        </w:rPr>
      </w:pPr>
    </w:p>
    <w:p>
      <w:pPr>
        <w:ind w:left="760" w:right="160"/>
        <w:spacing w:after="0" w:line="254" w:lineRule="auto"/>
        <w:rPr>
          <w:sz w:val="20"/>
          <w:szCs w:val="20"/>
          <w:color w:val="auto"/>
        </w:rPr>
      </w:pPr>
      <w:r>
        <w:rPr>
          <w:rFonts w:ascii="Arial" w:cs="Arial" w:eastAsia="Arial" w:hAnsi="Arial"/>
          <w:sz w:val="18"/>
          <w:szCs w:val="18"/>
          <w:color w:val="auto"/>
        </w:rPr>
        <w:t>The following provides a list of the financial performance measures that we believe are the most important financial performance measures used to link the compensation awarded to our named executive officers to the Company’s performance. For more information, please see the “Executive Compensation — Compensation Discussion and Analysis” section above.</w:t>
      </w:r>
    </w:p>
    <w:p>
      <w:pPr>
        <w:spacing w:after="0" w:line="109" w:lineRule="exact"/>
        <w:rPr>
          <w:sz w:val="20"/>
          <w:szCs w:val="20"/>
          <w:color w:val="auto"/>
        </w:rPr>
      </w:pPr>
    </w:p>
    <w:p>
      <w:pPr>
        <w:ind w:left="1340" w:hanging="2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Adjusted EBITDA</w:t>
      </w:r>
    </w:p>
    <w:p>
      <w:pPr>
        <w:spacing w:after="0" w:line="130" w:lineRule="exact"/>
        <w:rPr>
          <w:rFonts w:ascii="Arial" w:cs="Arial" w:eastAsia="Arial" w:hAnsi="Arial"/>
          <w:sz w:val="18"/>
          <w:szCs w:val="18"/>
          <w:color w:val="auto"/>
        </w:rPr>
      </w:pPr>
    </w:p>
    <w:p>
      <w:pPr>
        <w:ind w:left="1340" w:hanging="2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Net Trading Income</w:t>
      </w:r>
    </w:p>
    <w:p>
      <w:pPr>
        <w:spacing w:after="0" w:line="130" w:lineRule="exact"/>
        <w:rPr>
          <w:rFonts w:ascii="Arial" w:cs="Arial" w:eastAsia="Arial" w:hAnsi="Arial"/>
          <w:sz w:val="18"/>
          <w:szCs w:val="18"/>
          <w:color w:val="auto"/>
        </w:rPr>
      </w:pPr>
    </w:p>
    <w:p>
      <w:pPr>
        <w:ind w:left="1340" w:hanging="2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Net Trading Income from Growth Initiatives</w:t>
      </w:r>
    </w:p>
    <w:p>
      <w:pPr>
        <w:spacing w:after="0" w:line="130" w:lineRule="exact"/>
        <w:rPr>
          <w:rFonts w:ascii="Arial" w:cs="Arial" w:eastAsia="Arial" w:hAnsi="Arial"/>
          <w:sz w:val="18"/>
          <w:szCs w:val="18"/>
          <w:color w:val="auto"/>
        </w:rPr>
      </w:pPr>
    </w:p>
    <w:p>
      <w:pPr>
        <w:ind w:left="1340" w:hanging="2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Expenses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Employment Agreements and Restrictive Covenant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Cifu</w:t>
      </w:r>
    </w:p>
    <w:p>
      <w:pPr>
        <w:spacing w:after="0" w:line="135"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On April 29, 2022, we entered into a new employment agreement (the “New CEO Employment Agreement”) with Mr. Cifu, which amended and restated the terms of his prior employment agreement dated November 15, 2017 (the “Prior CEO Employment Agreement”), pursuant to which Mr. Cifu will continue to serve as our Chief Executive Officer and report to our board of directors. Mr. Cifu’s duties, responsibilities and permitted activities are substantially identical to his prior employment agreement.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 Mr. Cifu is permitted to continue to be engaged in, or provide services to, certain specified businesses and activities (including, but not necessarily limited to, his role as the Vice Chairman and Alternate Governor of the Florida Panthers, a National Hockey League franchise), and to become engaged in, or provide services to, any other business or activity in which Mr. Vincent Viola, our founder and Chairman Emeritus, is permitted to become engaged in, to the extent that Mr. Cifu’s level of participation in such businesses or activities is consistent with his participation in the aforementioned specified businesses or activities prior to the effective date of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210185</wp:posOffset>
            </wp:positionV>
            <wp:extent cx="754380" cy="240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New CEO Employment Agreement has an initial term ending on February 28, 2028, extended from</w:t>
      </w:r>
    </w:p>
    <w:p>
      <w:pPr>
        <w:ind w:left="760" w:right="80"/>
        <w:spacing w:after="0" w:line="245" w:lineRule="auto"/>
        <w:rPr>
          <w:sz w:val="20"/>
          <w:szCs w:val="20"/>
          <w:color w:val="auto"/>
        </w:rPr>
      </w:pPr>
      <w:r>
        <w:rPr>
          <w:rFonts w:ascii="Arial" w:cs="Arial" w:eastAsia="Arial" w:hAnsi="Arial"/>
          <w:sz w:val="18"/>
          <w:szCs w:val="18"/>
          <w:color w:val="auto"/>
        </w:rPr>
        <w:t>November 22, 2022 under the Prior CEO Employment Agreement, with automatic renewals for successive one-year terms thereafter unless either we or Mr. Cifu provides notice of non-renewal at least ninety days in advance of the expiration of the then 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91" w:lineRule="exact"/>
        <w:rPr>
          <w:sz w:val="20"/>
          <w:szCs w:val="20"/>
          <w:color w:val="auto"/>
        </w:rPr>
      </w:pPr>
    </w:p>
    <w:p>
      <w:pPr>
        <w:ind w:left="760" w:right="140"/>
        <w:spacing w:after="0" w:line="241" w:lineRule="auto"/>
        <w:rPr>
          <w:sz w:val="20"/>
          <w:szCs w:val="20"/>
          <w:color w:val="auto"/>
        </w:rPr>
      </w:pPr>
      <w:r>
        <w:rPr>
          <w:rFonts w:ascii="Arial" w:cs="Arial" w:eastAsia="Arial" w:hAnsi="Arial"/>
          <w:sz w:val="18"/>
          <w:szCs w:val="18"/>
          <w:color w:val="auto"/>
        </w:rPr>
        <w:t>Under the New CEO Employment Agreement, Mr. Cifu’s base salary is $1,200,000, as compared to $1,000,000 under the Prior CEO Employment Agreement, and Mr. Cifu is eligible to earn an annual bonus with a target bonus opportunity equal to $3,000,000 and a maximum bonus opportunity equal to $6,000,000, as compared to a target bonus opportunity of $2,500,000 and a maximum bonus opportunity equal to $5,000,000 under the Prior CEO Employment Agreement. 50% of the annual bonus will be based on the achievement of quantitative targets composed of specific components of the Company’s annual budget and 50% of the annual bonus will be based on the achievement of qualitative goals, as compared to 80% based on the achievement of quantitative targets and 20% based on the achievement of qualitative targets under the Prior CEO Employment Agreement. To the extent earned, a maximum of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deferred share units (“</w:t>
      </w:r>
      <w:r>
        <w:rPr>
          <w:rFonts w:ascii="Arial" w:cs="Arial" w:eastAsia="Arial" w:hAnsi="Arial"/>
          <w:sz w:val="18"/>
          <w:szCs w:val="18"/>
          <w:b w:val="1"/>
          <w:bCs w:val="1"/>
          <w:color w:val="auto"/>
        </w:rPr>
        <w:t>DSUs</w:t>
      </w:r>
      <w:r>
        <w:rPr>
          <w:rFonts w:ascii="Arial" w:cs="Arial" w:eastAsia="Arial" w:hAnsi="Arial"/>
          <w:sz w:val="18"/>
          <w:szCs w:val="18"/>
          <w:color w:val="auto"/>
        </w:rPr>
        <w:t>”), which is consistent with the Prior CEO Employment Agreement.</w:t>
      </w:r>
    </w:p>
    <w:p>
      <w:pPr>
        <w:spacing w:after="0" w:line="98" w:lineRule="exact"/>
        <w:rPr>
          <w:sz w:val="20"/>
          <w:szCs w:val="20"/>
          <w:color w:val="auto"/>
        </w:rPr>
      </w:pPr>
    </w:p>
    <w:p>
      <w:pPr>
        <w:ind w:left="760" w:right="220"/>
        <w:spacing w:after="0" w:line="257" w:lineRule="auto"/>
        <w:rPr>
          <w:sz w:val="20"/>
          <w:szCs w:val="20"/>
          <w:color w:val="auto"/>
        </w:rPr>
      </w:pPr>
      <w:r>
        <w:rPr>
          <w:rFonts w:ascii="Arial" w:cs="Arial" w:eastAsia="Arial" w:hAnsi="Arial"/>
          <w:sz w:val="17"/>
          <w:szCs w:val="17"/>
          <w:color w:val="auto"/>
        </w:rPr>
        <w:t>Consistent with the Prior CEO Employment Agreement, the New CEO Employment Agreement provides that, Mr. Cifu is eligible to receive an equity award at the beginning of each calendar year during the term (each such award to any executive, an “</w:t>
      </w:r>
      <w:r>
        <w:rPr>
          <w:rFonts w:ascii="Arial" w:cs="Arial" w:eastAsia="Arial" w:hAnsi="Arial"/>
          <w:sz w:val="17"/>
          <w:szCs w:val="17"/>
          <w:b w:val="1"/>
          <w:bCs w:val="1"/>
          <w:color w:val="auto"/>
        </w:rPr>
        <w:t>annual equity grant</w:t>
      </w:r>
      <w:r>
        <w:rPr>
          <w:rFonts w:ascii="Arial" w:cs="Arial" w:eastAsia="Arial" w:hAnsi="Arial"/>
          <w:sz w:val="17"/>
          <w:szCs w:val="17"/>
          <w:color w:val="auto"/>
        </w:rPr>
        <w:t>”). It is our board of directors’ current intention that the annual equity grant will be in the form of 150,000 restricted shares of Class A common stock that are subject to performance and service conditions. The number of shares earned under each annual equity grant under the New CEO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Cifu’s continued employment through each applicable vesting date and in each case subject to the terms of the applicable award agreement.</w:t>
      </w:r>
    </w:p>
    <w:p>
      <w:pPr>
        <w:spacing w:after="0" w:line="80" w:lineRule="exact"/>
        <w:rPr>
          <w:sz w:val="20"/>
          <w:szCs w:val="20"/>
          <w:color w:val="auto"/>
        </w:rPr>
      </w:pPr>
    </w:p>
    <w:p>
      <w:pPr>
        <w:ind w:left="760" w:right="80"/>
        <w:spacing w:after="0" w:line="241" w:lineRule="auto"/>
        <w:rPr>
          <w:sz w:val="20"/>
          <w:szCs w:val="20"/>
          <w:color w:val="auto"/>
        </w:rPr>
      </w:pPr>
      <w:r>
        <w:rPr>
          <w:rFonts w:ascii="Arial" w:cs="Arial" w:eastAsia="Arial" w:hAnsi="Arial"/>
          <w:sz w:val="18"/>
          <w:szCs w:val="18"/>
          <w:color w:val="auto"/>
        </w:rPr>
        <w:t>Consistent with the Prior CEO Employment Agreement, the New CEO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p>
    <w:p>
      <w:pPr>
        <w:spacing w:after="0" w:line="95" w:lineRule="exact"/>
        <w:rPr>
          <w:sz w:val="20"/>
          <w:szCs w:val="20"/>
          <w:color w:val="auto"/>
        </w:rPr>
      </w:pPr>
    </w:p>
    <w:p>
      <w:pPr>
        <w:ind w:left="760" w:right="120"/>
        <w:spacing w:after="0" w:line="242" w:lineRule="auto"/>
        <w:rPr>
          <w:sz w:val="20"/>
          <w:szCs w:val="20"/>
          <w:color w:val="auto"/>
        </w:rPr>
      </w:pPr>
      <w:r>
        <w:rPr>
          <w:rFonts w:ascii="Arial" w:cs="Arial" w:eastAsia="Arial" w:hAnsi="Arial"/>
          <w:sz w:val="18"/>
          <w:szCs w:val="18"/>
          <w:color w:val="auto"/>
        </w:rPr>
        <w:t>Consistent with the Prior CEO Employment Agreement, the New CEO Employment Agreement includes an acknowledgment that Mr. Cifu continues to be bound by the confidentiality and restrictive covenant provisions set forth in the Amended and Restated Virtu Financial LLC Agreement, which provides for confidentiality and non-disparagement restrictions, as well as non-compete and non-solicitation restrictions until the third anniversary on which Mr. Cifu ceases to be an officer, director or employee of the Company. Consistent with the Prior CEO Employment Agreement, the New CEO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Code.</w:t>
      </w:r>
    </w:p>
    <w:p>
      <w:pPr>
        <w:spacing w:after="0" w:line="94" w:lineRule="exact"/>
        <w:rPr>
          <w:sz w:val="20"/>
          <w:szCs w:val="20"/>
          <w:color w:val="auto"/>
        </w:rPr>
      </w:pPr>
    </w:p>
    <w:p>
      <w:pPr>
        <w:ind w:left="760" w:right="180"/>
        <w:spacing w:after="0" w:line="248" w:lineRule="auto"/>
        <w:rPr>
          <w:sz w:val="20"/>
          <w:szCs w:val="20"/>
          <w:color w:val="auto"/>
        </w:rPr>
      </w:pPr>
      <w:r>
        <w:rPr>
          <w:rFonts w:ascii="Arial" w:cs="Arial" w:eastAsia="Arial" w:hAnsi="Arial"/>
          <w:sz w:val="18"/>
          <w:szCs w:val="18"/>
          <w:color w:val="auto"/>
        </w:rPr>
        <w:t>Finally, consistent with the Prior CEO Employment Agreement, the New CEO Employment Agreement provides for severance upon certain terminations of employment as described below under “Potential Payments Upon Termination of Employment or Change in Control.”</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Molluso</w:t>
      </w:r>
    </w:p>
    <w:p>
      <w:pPr>
        <w:spacing w:after="0" w:line="135" w:lineRule="exact"/>
        <w:rPr>
          <w:sz w:val="20"/>
          <w:szCs w:val="20"/>
          <w:color w:val="auto"/>
        </w:rPr>
      </w:pPr>
    </w:p>
    <w:p>
      <w:pPr>
        <w:ind w:left="760" w:right="420"/>
        <w:spacing w:after="0" w:line="248" w:lineRule="auto"/>
        <w:rPr>
          <w:sz w:val="20"/>
          <w:szCs w:val="20"/>
          <w:color w:val="auto"/>
        </w:rPr>
      </w:pPr>
      <w:r>
        <w:rPr>
          <w:rFonts w:ascii="Arial" w:cs="Arial" w:eastAsia="Arial" w:hAnsi="Arial"/>
          <w:sz w:val="18"/>
          <w:szCs w:val="18"/>
          <w:color w:val="auto"/>
        </w:rPr>
        <w:t>Virtu East entered into a new employment agreement with Mr. Molluso on December 1, 2022 (the “New Molluso Employment Agreement”), which amended and restated the terms of his prior employment agreement dated April 30,</w:t>
      </w:r>
    </w:p>
    <w:p>
      <w:pPr>
        <w:spacing w:after="0" w:line="26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80"/>
        <w:spacing w:after="0" w:line="270" w:lineRule="auto"/>
        <w:rPr>
          <w:sz w:val="20"/>
          <w:szCs w:val="20"/>
          <w:color w:val="auto"/>
        </w:rPr>
      </w:pPr>
      <w:r>
        <w:rPr>
          <w:rFonts w:ascii="Arial" w:cs="Arial" w:eastAsia="Arial" w:hAnsi="Arial"/>
          <w:sz w:val="17"/>
          <w:szCs w:val="17"/>
          <w:color w:val="auto"/>
        </w:rPr>
        <w:t>2020 (the “Prior Molluso Employment Agreement”), pursuant to which Mr. Molluso will continue to serve as our Co-President and Co-Chief Operating Officer, reporting to our Chief Executive Officer. The New Molluso Employment Agreement, consistent with the Prior Molluso Employment Agreement, further provides that to the extent such activities do not significantly interfere with the performance of his duties, service and responsibilities, Mr. Molluso is permitted to manage his personal, financial and legal affairs, serve on civic or charitable boards and committees and, to the extent approved by our board of directors, serve on corporate boards and committees.</w:t>
      </w:r>
    </w:p>
    <w:p>
      <w:pPr>
        <w:spacing w:after="0" w:line="85"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New Molluso Employment Agreement employment agreement has an initial term of three years ending on April 30, 2026, extended from April 30, 2023 under the Prior Molluso Employment Agreement, with automatic renewals for successive one-year terms thereafter unless either we or Mr. Molluso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100" w:lineRule="exact"/>
        <w:rPr>
          <w:sz w:val="20"/>
          <w:szCs w:val="20"/>
          <w:color w:val="auto"/>
        </w:rPr>
      </w:pPr>
    </w:p>
    <w:p>
      <w:pPr>
        <w:ind w:left="760" w:right="160"/>
        <w:spacing w:after="0" w:line="251" w:lineRule="auto"/>
        <w:rPr>
          <w:sz w:val="20"/>
          <w:szCs w:val="20"/>
          <w:color w:val="auto"/>
        </w:rPr>
      </w:pPr>
      <w:r>
        <w:rPr>
          <w:rFonts w:ascii="Arial" w:cs="Arial" w:eastAsia="Arial" w:hAnsi="Arial"/>
          <w:sz w:val="18"/>
          <w:szCs w:val="18"/>
          <w:color w:val="auto"/>
        </w:rPr>
        <w:t>Under the New Molluso Employment Agreement, Mr. Molluso’s base salary is $600,000, as compared to $500,000 under the Prior Molluso Employment Agreement, and Mr. Molluso is eligible to earn an annual bonus with a target amount of $2,000,000 and a maximum bonus opportunity equal to $3,000,000. Under the Prior Molluso Employment Agreement, Mr. Molluso was entitled to an annual bonus with a minimum amount of $2,500,000 with respect to the fiscal year ended December 31, 2020, and $1,500,000 with respect to the fiscal years ended December 31, 2021 and December 31, 2022, and a maximum bonus opportunity equal to $2,500,000 for such periods. Under the New Molluso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targets and 20% based on the achievement of qualitative targets under the Prior Molluso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101" w:lineRule="exact"/>
        <w:rPr>
          <w:sz w:val="20"/>
          <w:szCs w:val="20"/>
          <w:color w:val="auto"/>
        </w:rPr>
      </w:pPr>
    </w:p>
    <w:p>
      <w:pPr>
        <w:ind w:left="760" w:right="120"/>
        <w:spacing w:after="0" w:line="251" w:lineRule="auto"/>
        <w:rPr>
          <w:sz w:val="20"/>
          <w:szCs w:val="20"/>
          <w:color w:val="auto"/>
        </w:rPr>
      </w:pPr>
      <w:r>
        <w:rPr>
          <w:rFonts w:ascii="Arial" w:cs="Arial" w:eastAsia="Arial" w:hAnsi="Arial"/>
          <w:sz w:val="18"/>
          <w:szCs w:val="18"/>
          <w:color w:val="auto"/>
        </w:rPr>
        <w:t>The New Molluso Employment Agreement provides that Mr. Molluso will be eligible to receive an annual equity grant at the beginning of each calendar year. It is our board of directors’ current intention that the annual equity grant will be in the form of 75,000 restricted shares of Class A common stock that are subject to performance and service conditions. The number of shares earned under each annual equity grant under the New Molluso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Molluso’s continued employment through each applicable vesting date and in each case subject to the terms of the applicable award agreement.</w:t>
      </w:r>
    </w:p>
    <w:p>
      <w:pPr>
        <w:spacing w:after="0" w:line="103" w:lineRule="exact"/>
        <w:rPr>
          <w:sz w:val="20"/>
          <w:szCs w:val="20"/>
          <w:color w:val="auto"/>
        </w:rPr>
      </w:pPr>
    </w:p>
    <w:p>
      <w:pPr>
        <w:ind w:left="760" w:right="460"/>
        <w:spacing w:after="0" w:line="265" w:lineRule="auto"/>
        <w:rPr>
          <w:sz w:val="20"/>
          <w:szCs w:val="20"/>
          <w:color w:val="auto"/>
        </w:rPr>
      </w:pPr>
      <w:r>
        <w:rPr>
          <w:rFonts w:ascii="Arial" w:cs="Arial" w:eastAsia="Arial" w:hAnsi="Arial"/>
          <w:sz w:val="17"/>
          <w:szCs w:val="17"/>
          <w:color w:val="auto"/>
        </w:rPr>
        <w:t>The Prior Molluso Employment Agreement provided for a special long-term equity award in the form of 150,000 restricted shares of Class A common stock that are subject to performance and service conditions, which was issued on June 22, 2020. The number of shares earned under each annual equity grant will be based on</w:t>
      </w:r>
    </w:p>
    <w:p>
      <w:pPr>
        <w:jc w:val="both"/>
        <w:ind w:left="760" w:right="160"/>
        <w:spacing w:after="0" w:line="254" w:lineRule="auto"/>
        <w:rPr>
          <w:sz w:val="20"/>
          <w:szCs w:val="20"/>
          <w:color w:val="auto"/>
        </w:rPr>
      </w:pPr>
      <w:r>
        <w:rPr>
          <w:rFonts w:ascii="Arial" w:cs="Arial" w:eastAsia="Arial" w:hAnsi="Arial"/>
          <w:sz w:val="18"/>
          <w:szCs w:val="18"/>
          <w:color w:val="auto"/>
        </w:rPr>
        <w:t>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96" w:lineRule="exact"/>
        <w:rPr>
          <w:sz w:val="20"/>
          <w:szCs w:val="20"/>
          <w:color w:val="auto"/>
        </w:rPr>
      </w:pPr>
    </w:p>
    <w:p>
      <w:pPr>
        <w:ind w:left="760" w:right="240"/>
        <w:spacing w:after="0" w:line="252" w:lineRule="auto"/>
        <w:rPr>
          <w:sz w:val="20"/>
          <w:szCs w:val="20"/>
          <w:color w:val="auto"/>
        </w:rPr>
      </w:pPr>
      <w:r>
        <w:rPr>
          <w:rFonts w:ascii="Arial" w:cs="Arial" w:eastAsia="Arial" w:hAnsi="Arial"/>
          <w:sz w:val="18"/>
          <w:szCs w:val="18"/>
          <w:color w:val="auto"/>
        </w:rPr>
        <w:t>The Prior Molluso Employment Agreement also provided for sign-on bonuses as compensation for forfeited equity interests in his former employer in the form of (i) a grant of 200,000 restricted stock units, vesting in three equal installments on each of January 24, 2021, January 24, 2022 and January 24, 2023 and otherwise issued pursuant to and subject to the terms and conditions of the Plan and a separate award agreement and (ii) a cash sign-on bonus of $2,500,000, $1,666,667 of which is subject to a prorated clawback right of the Company based on the proportion of the term elapsed as of the date that Mr. Molluso’s employment is terminated for Cause (as defined therein) or he resigns without Good Reason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200025</wp:posOffset>
            </wp:positionV>
            <wp:extent cx="754380" cy="24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Consistent with the Prior Molluso Employment Agreement, the New Molluso Employment Agreement further provides that Mr. Molluso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The employment agreement includes an acknowledgment that Mr. Molluso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Molluso ceases to be an officer or employee of the Company. Consistent with the Prior Molluso Employment Agreement, the New Molluso Employment Agreement provides for severance upon certain terminations of employment as described below under “Potential Payments Upon Termination of Employment or Change in Control.”</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Fairclough</w:t>
      </w:r>
    </w:p>
    <w:p>
      <w:pPr>
        <w:spacing w:after="0" w:line="135" w:lineRule="exact"/>
        <w:rPr>
          <w:sz w:val="20"/>
          <w:szCs w:val="20"/>
          <w:color w:val="auto"/>
        </w:rPr>
      </w:pPr>
    </w:p>
    <w:p>
      <w:pPr>
        <w:ind w:left="760" w:right="140"/>
        <w:spacing w:after="0" w:line="251" w:lineRule="auto"/>
        <w:rPr>
          <w:sz w:val="20"/>
          <w:szCs w:val="20"/>
          <w:color w:val="auto"/>
        </w:rPr>
      </w:pPr>
      <w:r>
        <w:rPr>
          <w:rFonts w:ascii="Arial" w:cs="Arial" w:eastAsia="Arial" w:hAnsi="Arial"/>
          <w:sz w:val="18"/>
          <w:szCs w:val="18"/>
          <w:color w:val="auto"/>
        </w:rPr>
        <w:t>Virtu East entered into a new employment agreement with Mr. Fairclough on December 1, 2022 (the “New Fairclough Employment Agreement”) which amended and restated the terms of his prior employment agreement dated February 26, 2020 (the “Prior Fairclough Employment Agreement”), pursuant to which Mr. Fairclough continues to serve as our Co-President &amp; Co-Chief Operating Officer, reporting to our Chief Executive Officer. Consistent with the Prior Fairclough Employment Agreement, the New Fairclough Employment Agreement further provides that to the extent such activities do not significantly interfere with the performance of his duties, service and responsibilities, Mr. Fairclough is permitted to manage his personal, financial and legal affairs, serve on civic or charitable boards and committees and, to the extent approved by our board of directors, serve on corporate boards and committees.</w:t>
      </w:r>
    </w:p>
    <w:p>
      <w:pPr>
        <w:spacing w:after="0" w:line="104"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The New Fairclough Employment Agreement has an initial term ending on February 26, 2027, extended from February 26, 2024 under the Prior Fairclough Employment Agreement, with automatic renewals for successive one-year terms thereafter unless either we or Mr. Fairclough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100"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Under the New Fairclough Employment Agreement, Mr. Fairclough’s base salary is $600,000, as compared to $500,000 under the Prior Fairclough Employment Agreement, and Mr. Fairclough is eligible to earn an annual bonus with a target bonus opportunity equal to $2,000,000 and a maximum bonus opportunity equal to $3,000,000, as compared to a target bonus opportunity of $1,500,000 and a maximum bonus opportunity of $2,500,000 under the Prior Fairclough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targets and 20% based on the achievement of qualitative targets under the Prior Fairclough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102" w:lineRule="exact"/>
        <w:rPr>
          <w:sz w:val="20"/>
          <w:szCs w:val="20"/>
          <w:color w:val="auto"/>
        </w:rPr>
      </w:pPr>
    </w:p>
    <w:p>
      <w:pPr>
        <w:ind w:left="760" w:right="60"/>
        <w:spacing w:after="0" w:line="267" w:lineRule="auto"/>
        <w:rPr>
          <w:sz w:val="20"/>
          <w:szCs w:val="20"/>
          <w:color w:val="auto"/>
        </w:rPr>
      </w:pPr>
      <w:r>
        <w:rPr>
          <w:rFonts w:ascii="Arial" w:cs="Arial" w:eastAsia="Arial" w:hAnsi="Arial"/>
          <w:sz w:val="17"/>
          <w:szCs w:val="17"/>
          <w:color w:val="auto"/>
        </w:rPr>
        <w:t>The New Fairclough Employment Agreement provides that Mr. Fairclough will be eligible to receive an annual equity grant at the beginning of each calendar year. It is our board of directors’ current intention that the annual equity grant will be in the form of 75,000 restricted shares of Class A common stock that are subject to performance and service conditions. The number of shares earned under each annual equity grant under the New Fairclough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Fairclough’s continued employment through each applicable vesting date and in each case subject to the terms of the applicable award agreement.</w:t>
      </w:r>
    </w:p>
    <w:p>
      <w:pPr>
        <w:spacing w:after="0" w:line="92" w:lineRule="exact"/>
        <w:rPr>
          <w:sz w:val="20"/>
          <w:szCs w:val="20"/>
          <w:color w:val="auto"/>
        </w:rPr>
      </w:pPr>
    </w:p>
    <w:p>
      <w:pPr>
        <w:ind w:left="760" w:right="240"/>
        <w:spacing w:after="0" w:line="278" w:lineRule="auto"/>
        <w:rPr>
          <w:sz w:val="20"/>
          <w:szCs w:val="20"/>
          <w:color w:val="auto"/>
        </w:rPr>
      </w:pPr>
      <w:r>
        <w:rPr>
          <w:rFonts w:ascii="Arial" w:cs="Arial" w:eastAsia="Arial" w:hAnsi="Arial"/>
          <w:sz w:val="17"/>
          <w:szCs w:val="17"/>
          <w:color w:val="auto"/>
        </w:rPr>
        <w:t>The Prior Fairclough Employment Agreement provided for a special long-term equity award in the form of 150,000 restricted shares of Class A common stock that are subject to performance and service conditions, which was issued on February 27, 2020. The number of shares earned under each annual equity grant will be based on</w:t>
      </w:r>
    </w:p>
    <w:p>
      <w:pPr>
        <w:spacing w:after="0" w:line="25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jc w:val="both"/>
        <w:ind w:left="760" w:right="160"/>
        <w:spacing w:after="0" w:line="243" w:lineRule="auto"/>
        <w:rPr>
          <w:sz w:val="20"/>
          <w:szCs w:val="20"/>
          <w:color w:val="auto"/>
        </w:rPr>
      </w:pPr>
      <w:r>
        <w:rPr>
          <w:rFonts w:ascii="Arial" w:cs="Arial" w:eastAsia="Arial" w:hAnsi="Arial"/>
          <w:sz w:val="18"/>
          <w:szCs w:val="18"/>
          <w:color w:val="auto"/>
        </w:rPr>
        <w:t>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93" w:lineRule="exact"/>
        <w:rPr>
          <w:sz w:val="20"/>
          <w:szCs w:val="20"/>
          <w:color w:val="auto"/>
        </w:rPr>
      </w:pPr>
    </w:p>
    <w:p>
      <w:pPr>
        <w:ind w:left="760" w:right="240"/>
        <w:spacing w:after="0" w:line="243" w:lineRule="auto"/>
        <w:rPr>
          <w:sz w:val="20"/>
          <w:szCs w:val="20"/>
          <w:color w:val="auto"/>
        </w:rPr>
      </w:pPr>
      <w:r>
        <w:rPr>
          <w:rFonts w:ascii="Arial" w:cs="Arial" w:eastAsia="Arial" w:hAnsi="Arial"/>
          <w:sz w:val="18"/>
          <w:szCs w:val="18"/>
          <w:color w:val="auto"/>
        </w:rPr>
        <w:t>Consistent with the Prior Fairclough Employment Agreement, the New Fairclough Employment Agreement further provides that Mr. Fairclough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107" w:lineRule="exact"/>
        <w:rPr>
          <w:sz w:val="20"/>
          <w:szCs w:val="20"/>
          <w:color w:val="auto"/>
        </w:rPr>
      </w:pPr>
    </w:p>
    <w:p>
      <w:pPr>
        <w:ind w:left="760" w:right="360"/>
        <w:spacing w:after="0"/>
        <w:rPr>
          <w:sz w:val="20"/>
          <w:szCs w:val="20"/>
          <w:color w:val="auto"/>
        </w:rPr>
      </w:pPr>
      <w:r>
        <w:rPr>
          <w:rFonts w:ascii="Arial" w:cs="Arial" w:eastAsia="Arial" w:hAnsi="Arial"/>
          <w:sz w:val="18"/>
          <w:szCs w:val="18"/>
          <w:color w:val="auto"/>
        </w:rPr>
        <w:t>Finally, and consistent with the Prior Fairclough Employment Agreement, the New Fairclough Employment Agreement includes an acknowledgment that Mr. Fairclough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Fairclough ceases to be an officer or employee of the Company. Consistent with the Prior Fairclough Employment Agreement, the New Fairclough Employment Agreement provides for severance upon certain terminations of employment as described below under “Potential Payments Upon Termination of Employment or Change in Control.”</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Cavoli</w:t>
      </w:r>
    </w:p>
    <w:p>
      <w:pPr>
        <w:spacing w:after="0" w:line="135"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Virtu East entered into a new employment agreement with Mr. Cavoli on December 1, 2022 (the “New Cavoli Employment Agreement”), which amended and restated the terms of his prior employment agreement dated February 26, 2020 (the “Prior Cavoli Employment Agreement), pursuant to which Mr. Cavoli will continue to serve as our Executive Vice President, Markets and report to our Chief Executive Officer. Consistent with the Prior Cavoli Employment Agreement, the New Cavoli Employment Agreement further provides that to the extent such activities do not significantly interfere with the performance of his duties, service and responsibilities, Mr. Cavoli is permitted to manage his personal, financial and legal affairs, serve on civic or charitable boards and committees and, to the extent approved by our board of directors, serve on corporate boards and committees.</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New Cavoli Employment Agreement has an initial term ending on February 26, 2026, extended from</w:t>
      </w:r>
    </w:p>
    <w:p>
      <w:pPr>
        <w:ind w:left="760" w:right="80"/>
        <w:spacing w:after="0" w:line="245" w:lineRule="auto"/>
        <w:rPr>
          <w:sz w:val="20"/>
          <w:szCs w:val="20"/>
          <w:color w:val="auto"/>
        </w:rPr>
      </w:pPr>
      <w:r>
        <w:rPr>
          <w:rFonts w:ascii="Arial" w:cs="Arial" w:eastAsia="Arial" w:hAnsi="Arial"/>
          <w:sz w:val="18"/>
          <w:szCs w:val="18"/>
          <w:color w:val="auto"/>
        </w:rPr>
        <w:t>February 26, 2023 under the Prior Cavoli Employment Agreement, with automatic renewals for successive one-year terms thereafter unless either we or Mr. Cavoli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91" w:lineRule="exact"/>
        <w:rPr>
          <w:sz w:val="20"/>
          <w:szCs w:val="20"/>
          <w:color w:val="auto"/>
        </w:rPr>
      </w:pPr>
    </w:p>
    <w:p>
      <w:pPr>
        <w:ind w:left="760" w:right="200"/>
        <w:spacing w:after="0"/>
        <w:rPr>
          <w:sz w:val="20"/>
          <w:szCs w:val="20"/>
          <w:color w:val="auto"/>
        </w:rPr>
      </w:pPr>
      <w:r>
        <w:rPr>
          <w:rFonts w:ascii="Arial" w:cs="Arial" w:eastAsia="Arial" w:hAnsi="Arial"/>
          <w:sz w:val="18"/>
          <w:szCs w:val="18"/>
          <w:color w:val="auto"/>
        </w:rPr>
        <w:t>Under the New Cavoli Employment Agreement, Mr. Cavoli’s base salary is $600,000, as compared to $500,000 under the Prior Cavoli Employment Agreement, and Mr. Cavoli is eligible to earn an annual bonus with a target bonus opportunity equal to $2,000,000 and a maximum bonus opportunity equal to $3,000,000, as compared to a target bonus opportunity equal to $1,500,000 and a maximum bonus opportunity equal to $2,500,000 under the Prior Cavoli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goals and 20% based on the achievement of qualitative goals under the Prior Cavoli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104" w:lineRule="exact"/>
        <w:rPr>
          <w:sz w:val="20"/>
          <w:szCs w:val="20"/>
          <w:color w:val="auto"/>
        </w:rPr>
      </w:pPr>
    </w:p>
    <w:p>
      <w:pPr>
        <w:ind w:left="760" w:right="80"/>
        <w:spacing w:after="0" w:line="258" w:lineRule="auto"/>
        <w:rPr>
          <w:sz w:val="20"/>
          <w:szCs w:val="20"/>
          <w:color w:val="auto"/>
        </w:rPr>
      </w:pPr>
      <w:r>
        <w:rPr>
          <w:rFonts w:ascii="Arial" w:cs="Arial" w:eastAsia="Arial" w:hAnsi="Arial"/>
          <w:sz w:val="17"/>
          <w:szCs w:val="17"/>
          <w:color w:val="auto"/>
        </w:rPr>
        <w:t>The New Cavoli Employment Agreement provides that Mr. Cavoli will be eligible to receive an annual equity grant at the beginning of each calendar year. It is our board of directors’ current intention that the annual equity grant will be in the form of 75,000 restricted shares of Class A common stock that are subject to performance and service conditions. The number of shares earned under each annual equity grant under the New Cavoli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400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400"/>
        <w:spacing w:after="0" w:line="277" w:lineRule="auto"/>
        <w:rPr>
          <w:sz w:val="20"/>
          <w:szCs w:val="20"/>
          <w:color w:val="auto"/>
        </w:rPr>
      </w:pPr>
      <w:r>
        <w:rPr>
          <w:rFonts w:ascii="Arial" w:cs="Arial" w:eastAsia="Arial" w:hAnsi="Arial"/>
          <w:sz w:val="18"/>
          <w:szCs w:val="18"/>
          <w:color w:val="auto"/>
        </w:rPr>
        <w:t>the end of the subsequent calendar year, subject to Mr. Cavoli’s continued employment through each applicable vesting date and in each case subject to the terms of the applicable award agreement.</w:t>
      </w:r>
    </w:p>
    <w:p>
      <w:pPr>
        <w:spacing w:after="0" w:line="76" w:lineRule="exact"/>
        <w:rPr>
          <w:sz w:val="20"/>
          <w:szCs w:val="20"/>
          <w:color w:val="auto"/>
        </w:rPr>
      </w:pPr>
    </w:p>
    <w:p>
      <w:pPr>
        <w:ind w:left="760" w:right="200"/>
        <w:spacing w:after="0" w:line="276" w:lineRule="auto"/>
        <w:rPr>
          <w:sz w:val="20"/>
          <w:szCs w:val="20"/>
          <w:color w:val="auto"/>
        </w:rPr>
      </w:pPr>
      <w:r>
        <w:rPr>
          <w:rFonts w:ascii="Arial" w:cs="Arial" w:eastAsia="Arial" w:hAnsi="Arial"/>
          <w:sz w:val="17"/>
          <w:szCs w:val="17"/>
          <w:color w:val="auto"/>
        </w:rPr>
        <w:t>The Prior Cavoli Employment Agreement also provided for a special long-term equity award in the form of 150,000 restricted shares of Class A common stock that are subject to performance and service conditions, which was issued on February 27, 2020. The number of shares earned under each annual equity grant will be based on</w:t>
      </w:r>
    </w:p>
    <w:p>
      <w:pPr>
        <w:spacing w:after="0" w:line="1" w:lineRule="exact"/>
        <w:rPr>
          <w:sz w:val="20"/>
          <w:szCs w:val="20"/>
          <w:color w:val="auto"/>
        </w:rPr>
      </w:pPr>
    </w:p>
    <w:p>
      <w:pPr>
        <w:jc w:val="both"/>
        <w:ind w:left="760" w:right="160"/>
        <w:spacing w:after="0" w:line="264" w:lineRule="auto"/>
        <w:rPr>
          <w:sz w:val="20"/>
          <w:szCs w:val="20"/>
          <w:color w:val="auto"/>
        </w:rPr>
      </w:pPr>
      <w:r>
        <w:rPr>
          <w:rFonts w:ascii="Arial" w:cs="Arial" w:eastAsia="Arial" w:hAnsi="Arial"/>
          <w:sz w:val="18"/>
          <w:szCs w:val="18"/>
          <w:color w:val="auto"/>
        </w:rPr>
        <w:t>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102" w:lineRule="exact"/>
        <w:rPr>
          <w:sz w:val="20"/>
          <w:szCs w:val="20"/>
          <w:color w:val="auto"/>
        </w:rPr>
      </w:pPr>
    </w:p>
    <w:p>
      <w:pPr>
        <w:ind w:left="760" w:right="220"/>
        <w:spacing w:after="0" w:line="264" w:lineRule="auto"/>
        <w:rPr>
          <w:sz w:val="20"/>
          <w:szCs w:val="20"/>
          <w:color w:val="auto"/>
        </w:rPr>
      </w:pPr>
      <w:r>
        <w:rPr>
          <w:rFonts w:ascii="Arial" w:cs="Arial" w:eastAsia="Arial" w:hAnsi="Arial"/>
          <w:sz w:val="18"/>
          <w:szCs w:val="18"/>
          <w:color w:val="auto"/>
        </w:rPr>
        <w:t>Consistent with the Prior Cavoli Employment Agreement, the New Cavoli Employment Agreement further provides that Mr. Cavoli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102" w:lineRule="exact"/>
        <w:rPr>
          <w:sz w:val="20"/>
          <w:szCs w:val="20"/>
          <w:color w:val="auto"/>
        </w:rPr>
      </w:pPr>
    </w:p>
    <w:p>
      <w:pPr>
        <w:ind w:left="760" w:right="160"/>
        <w:spacing w:after="0" w:line="261" w:lineRule="auto"/>
        <w:rPr>
          <w:sz w:val="20"/>
          <w:szCs w:val="20"/>
          <w:color w:val="auto"/>
        </w:rPr>
      </w:pPr>
      <w:r>
        <w:rPr>
          <w:rFonts w:ascii="Arial" w:cs="Arial" w:eastAsia="Arial" w:hAnsi="Arial"/>
          <w:sz w:val="18"/>
          <w:szCs w:val="18"/>
          <w:color w:val="auto"/>
        </w:rPr>
        <w:t>Finally, and consistent with the Prior Cavoli Employment Agreement, the New Cavoli Employment Agreement includes an acknowledgment that Mr. Cavoli continues to be bound by the confidentiality and restrictive covenant provisions set forth in his original agreement, which provides for confidentiality and non-disparagement restrictions, as well as non-compete and non-solicitation restrictions until the eighteen-month anniversary of the date on which Mr. Cavoli ceases to be an officer or employee of the Company.</w:t>
      </w:r>
    </w:p>
    <w:p>
      <w:pPr>
        <w:spacing w:after="0" w:line="103" w:lineRule="exact"/>
        <w:rPr>
          <w:sz w:val="20"/>
          <w:szCs w:val="20"/>
          <w:color w:val="auto"/>
        </w:rPr>
      </w:pPr>
    </w:p>
    <w:p>
      <w:pPr>
        <w:ind w:left="760" w:right="520"/>
        <w:spacing w:after="0" w:line="264" w:lineRule="auto"/>
        <w:rPr>
          <w:sz w:val="20"/>
          <w:szCs w:val="20"/>
          <w:color w:val="auto"/>
        </w:rPr>
      </w:pPr>
      <w:r>
        <w:rPr>
          <w:rFonts w:ascii="Arial" w:cs="Arial" w:eastAsia="Arial" w:hAnsi="Arial"/>
          <w:sz w:val="18"/>
          <w:szCs w:val="18"/>
          <w:color w:val="auto"/>
        </w:rPr>
        <w:t>Consistent with the Prior Cavoli Employment Agreement, the New Cavoli Employment Agreement provides for severance upon certain terminations of employment as described below under “Potential Payments Upon Termination of Employment or Change in Control.”</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Galvin</w:t>
      </w:r>
    </w:p>
    <w:p>
      <w:pPr>
        <w:spacing w:after="0" w:line="135" w:lineRule="exact"/>
        <w:rPr>
          <w:sz w:val="20"/>
          <w:szCs w:val="20"/>
          <w:color w:val="auto"/>
        </w:rPr>
      </w:pPr>
    </w:p>
    <w:p>
      <w:pPr>
        <w:ind w:left="760" w:right="100"/>
        <w:spacing w:after="0" w:line="278" w:lineRule="auto"/>
        <w:rPr>
          <w:sz w:val="20"/>
          <w:szCs w:val="20"/>
          <w:color w:val="auto"/>
        </w:rPr>
      </w:pPr>
      <w:r>
        <w:rPr>
          <w:rFonts w:ascii="Arial" w:cs="Arial" w:eastAsia="Arial" w:hAnsi="Arial"/>
          <w:sz w:val="17"/>
          <w:szCs w:val="17"/>
          <w:color w:val="auto"/>
        </w:rPr>
        <w:t>Virtu East entered into an employment agreement with Mr. Galvin on August 7, 2020, on an “at will” employment basis. The employment agreement provides for a salary of $250,000 per year, which was increased to $300,000 in fiscal year 2021. In addition, the employment agreement provides for eligibility to earn an annual bonus payable in cash and stock, as determined at the sole discretion of Virtu East, except that such bonus was specified in the amount of $450,000 for the year ended December 31, 2020. The employment agreement also provided for a grant of restricted stock units with the number of restricted stock units to be granted determined by dividing $300,000 by the applicable issue price of the Company’s Class A common stock following Mr. Galvin’s start date, and provided that Mr. Galvin is eligible to participate in all benefit programs of Virtu East available to similarly situated employees.</w:t>
      </w:r>
    </w:p>
    <w:p>
      <w:pPr>
        <w:spacing w:after="0" w:line="92" w:lineRule="exact"/>
        <w:rPr>
          <w:sz w:val="20"/>
          <w:szCs w:val="20"/>
          <w:color w:val="auto"/>
        </w:rPr>
      </w:pPr>
    </w:p>
    <w:p>
      <w:pPr>
        <w:ind w:left="760" w:right="260"/>
        <w:spacing w:after="0" w:line="264" w:lineRule="auto"/>
        <w:rPr>
          <w:sz w:val="20"/>
          <w:szCs w:val="20"/>
          <w:color w:val="auto"/>
        </w:rPr>
      </w:pPr>
      <w:r>
        <w:rPr>
          <w:rFonts w:ascii="Arial" w:cs="Arial" w:eastAsia="Arial" w:hAnsi="Arial"/>
          <w:sz w:val="18"/>
          <w:szCs w:val="18"/>
          <w:color w:val="auto"/>
        </w:rPr>
        <w:t>In connection with his employment agreement, Mr. Galvin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12 months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29"/>
          <w:szCs w:val="29"/>
          <w:color w:val="00C08A"/>
        </w:rPr>
        <w:t>OUTSTANDING EQUITY AWARDS AT END OF FISCAL YEAR 2022</w:t>
      </w:r>
    </w:p>
    <w:p>
      <w:pPr>
        <w:spacing w:after="0" w:line="102" w:lineRule="exact"/>
        <w:rPr>
          <w:sz w:val="20"/>
          <w:szCs w:val="20"/>
          <w:color w:val="auto"/>
        </w:rPr>
      </w:pPr>
    </w:p>
    <w:p>
      <w:pPr>
        <w:ind w:left="760" w:right="200"/>
        <w:spacing w:after="0" w:line="261" w:lineRule="auto"/>
        <w:rPr>
          <w:sz w:val="20"/>
          <w:szCs w:val="20"/>
          <w:color w:val="auto"/>
        </w:rPr>
      </w:pPr>
      <w:r>
        <w:rPr>
          <w:rFonts w:ascii="Arial" w:cs="Arial" w:eastAsia="Arial" w:hAnsi="Arial"/>
          <w:sz w:val="18"/>
          <w:szCs w:val="18"/>
          <w:color w:val="auto"/>
        </w:rPr>
        <w:t>The following table provides information about each of the outstanding awards of options to purchase our common stock and restricted stock units held by each named executive officer as of December 31, 2022.</w:t>
      </w:r>
    </w:p>
    <w:p>
      <w:pPr>
        <w:spacing w:after="0" w:line="104"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4"/>
                <w:szCs w:val="14"/>
                <w:b w:val="1"/>
                <w:bCs w:val="1"/>
                <w:color w:val="002453"/>
              </w:rPr>
              <w:t>​</w:t>
            </w:r>
          </w:p>
        </w:tc>
        <w:tc>
          <w:tcPr>
            <w:tcW w:w="780" w:type="dxa"/>
            <w:vAlign w:val="bottom"/>
            <w:gridSpan w:val="3"/>
          </w:tcPr>
          <w:p>
            <w:pPr>
              <w:ind w:left="620"/>
              <w:spacing w:after="0"/>
              <w:rPr>
                <w:sz w:val="20"/>
                <w:szCs w:val="20"/>
                <w:color w:val="auto"/>
              </w:rPr>
            </w:pPr>
            <w:r>
              <w:rPr>
                <w:rFonts w:ascii="Arial" w:cs="Arial" w:eastAsia="Arial" w:hAnsi="Arial"/>
                <w:sz w:val="14"/>
                <w:szCs w:val="14"/>
                <w:b w:val="1"/>
                <w:bCs w:val="1"/>
                <w:color w:val="002453"/>
              </w:rPr>
              <w:t>​ ​</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ind w:left="300"/>
              <w:spacing w:after="0"/>
              <w:rPr>
                <w:sz w:val="20"/>
                <w:szCs w:val="20"/>
                <w:color w:val="auto"/>
              </w:rPr>
            </w:pPr>
            <w:r>
              <w:rPr>
                <w:rFonts w:ascii="Arial" w:cs="Arial" w:eastAsia="Arial" w:hAnsi="Arial"/>
                <w:sz w:val="14"/>
                <w:szCs w:val="14"/>
                <w:b w:val="1"/>
                <w:bCs w:val="1"/>
                <w:color w:val="002453"/>
              </w:rPr>
              <w:t>Option Awards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Arial" w:cs="Arial" w:eastAsia="Arial" w:hAnsi="Arial"/>
                <w:sz w:val="14"/>
                <w:szCs w:val="14"/>
                <w:b w:val="1"/>
                <w:bCs w:val="1"/>
                <w:color w:val="002453"/>
              </w:rPr>
              <w:t>​ ​</w:t>
            </w:r>
          </w:p>
        </w:tc>
        <w:tc>
          <w:tcPr>
            <w:tcW w:w="220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002453"/>
              </w:rPr>
              <w:t>Stock Awards</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C08A"/>
            </w:tcBorders>
          </w:tcPr>
          <w:p>
            <w:pPr>
              <w:spacing w:after="0"/>
              <w:rPr>
                <w:sz w:val="14"/>
                <w:szCs w:val="14"/>
                <w:color w:val="auto"/>
              </w:rPr>
            </w:pPr>
          </w:p>
        </w:tc>
        <w:tc>
          <w:tcPr>
            <w:tcW w:w="860" w:type="dxa"/>
            <w:vAlign w:val="bottom"/>
            <w:tcBorders>
              <w:top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Number of</w:t>
            </w:r>
          </w:p>
        </w:tc>
        <w:tc>
          <w:tcPr>
            <w:tcW w:w="260" w:type="dxa"/>
            <w:vAlign w:val="bottom"/>
            <w:tcBorders>
              <w:top w:val="single" w:sz="8" w:color="00C08A"/>
            </w:tcBorders>
          </w:tcPr>
          <w:p>
            <w:pPr>
              <w:spacing w:after="0"/>
              <w:rPr>
                <w:sz w:val="14"/>
                <w:szCs w:val="14"/>
                <w:color w:val="auto"/>
              </w:rPr>
            </w:pPr>
          </w:p>
        </w:tc>
        <w:tc>
          <w:tcPr>
            <w:tcW w:w="940" w:type="dxa"/>
            <w:vAlign w:val="bottom"/>
            <w:tcBorders>
              <w:top w:val="single" w:sz="8" w:color="00C08A"/>
            </w:tcBorders>
          </w:tcPr>
          <w:p>
            <w:pPr>
              <w:jc w:val="center"/>
              <w:spacing w:after="0"/>
              <w:rPr>
                <w:sz w:val="20"/>
                <w:szCs w:val="20"/>
                <w:color w:val="auto"/>
              </w:rPr>
            </w:pPr>
            <w:r>
              <w:rPr>
                <w:rFonts w:ascii="Arial" w:cs="Arial" w:eastAsia="Arial" w:hAnsi="Arial"/>
                <w:sz w:val="14"/>
                <w:szCs w:val="14"/>
                <w:b w:val="1"/>
                <w:bCs w:val="1"/>
                <w:color w:val="002453"/>
                <w:w w:val="99"/>
              </w:rPr>
              <w:t>Number of</w:t>
            </w:r>
          </w:p>
        </w:tc>
        <w:tc>
          <w:tcPr>
            <w:tcW w:w="220" w:type="dxa"/>
            <w:vAlign w:val="bottom"/>
            <w:tcBorders>
              <w:top w:val="single" w:sz="8" w:color="00C08A"/>
            </w:tcBorders>
          </w:tcPr>
          <w:p>
            <w:pPr>
              <w:spacing w:after="0"/>
              <w:rPr>
                <w:sz w:val="14"/>
                <w:szCs w:val="14"/>
                <w:color w:val="auto"/>
              </w:rPr>
            </w:pPr>
          </w:p>
        </w:tc>
        <w:tc>
          <w:tcPr>
            <w:tcW w:w="620" w:type="dxa"/>
            <w:vAlign w:val="bottom"/>
            <w:tcBorders>
              <w:top w:val="single" w:sz="8" w:color="00C08A"/>
            </w:tcBorders>
          </w:tcPr>
          <w:p>
            <w:pPr>
              <w:spacing w:after="0"/>
              <w:rPr>
                <w:sz w:val="14"/>
                <w:szCs w:val="14"/>
                <w:color w:val="auto"/>
              </w:rPr>
            </w:pPr>
          </w:p>
        </w:tc>
        <w:tc>
          <w:tcPr>
            <w:tcW w:w="220" w:type="dxa"/>
            <w:vAlign w:val="bottom"/>
            <w:tcBorders>
              <w:top w:val="single" w:sz="8" w:color="00C08A"/>
            </w:tcBorders>
          </w:tcPr>
          <w:p>
            <w:pPr>
              <w:spacing w:after="0"/>
              <w:rPr>
                <w:sz w:val="14"/>
                <w:szCs w:val="14"/>
                <w:color w:val="auto"/>
              </w:rPr>
            </w:pPr>
          </w:p>
        </w:tc>
        <w:tc>
          <w:tcPr>
            <w:tcW w:w="720" w:type="dxa"/>
            <w:vAlign w:val="bottom"/>
            <w:tcBorders>
              <w:top w:val="single" w:sz="8" w:color="00C08A"/>
            </w:tcBorders>
          </w:tcPr>
          <w:p>
            <w:pPr>
              <w:spacing w:after="0"/>
              <w:rPr>
                <w:sz w:val="14"/>
                <w:szCs w:val="14"/>
                <w:color w:val="auto"/>
              </w:rPr>
            </w:pPr>
          </w:p>
        </w:tc>
        <w:tc>
          <w:tcPr>
            <w:tcW w:w="20" w:type="dxa"/>
            <w:vAlign w:val="bottom"/>
            <w:tcBorders>
              <w:top w:val="single" w:sz="8" w:color="00C08A"/>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00C08A"/>
            </w:tcBorders>
          </w:tcPr>
          <w:p>
            <w:pPr>
              <w:spacing w:after="0"/>
              <w:rPr>
                <w:sz w:val="14"/>
                <w:szCs w:val="14"/>
                <w:color w:val="auto"/>
              </w:rPr>
            </w:pPr>
          </w:p>
        </w:tc>
        <w:tc>
          <w:tcPr>
            <w:tcW w:w="880" w:type="dxa"/>
            <w:vAlign w:val="bottom"/>
            <w:tcBorders>
              <w:top w:val="single" w:sz="8" w:color="00C08A"/>
            </w:tcBorders>
          </w:tcPr>
          <w:p>
            <w:pPr>
              <w:jc w:val="center"/>
              <w:ind w:right="82"/>
              <w:spacing w:after="0"/>
              <w:rPr>
                <w:sz w:val="20"/>
                <w:szCs w:val="20"/>
                <w:color w:val="auto"/>
              </w:rPr>
            </w:pPr>
            <w:r>
              <w:rPr>
                <w:rFonts w:ascii="Arial" w:cs="Arial" w:eastAsia="Arial" w:hAnsi="Arial"/>
                <w:sz w:val="14"/>
                <w:szCs w:val="14"/>
                <w:b w:val="1"/>
                <w:bCs w:val="1"/>
                <w:color w:val="002453"/>
              </w:rPr>
              <w:t>Equity</w:t>
            </w:r>
          </w:p>
        </w:tc>
        <w:tc>
          <w:tcPr>
            <w:tcW w:w="420" w:type="dxa"/>
            <w:vAlign w:val="bottom"/>
            <w:tcBorders>
              <w:top w:val="single" w:sz="8" w:color="00C08A"/>
            </w:tcBorders>
          </w:tcPr>
          <w:p>
            <w:pPr>
              <w:spacing w:after="0"/>
              <w:rPr>
                <w:sz w:val="14"/>
                <w:szCs w:val="14"/>
                <w:color w:val="auto"/>
              </w:rPr>
            </w:pPr>
          </w:p>
        </w:tc>
        <w:tc>
          <w:tcPr>
            <w:tcW w:w="900" w:type="dxa"/>
            <w:vAlign w:val="bottom"/>
            <w:tcBorders>
              <w:top w:val="single" w:sz="8" w:color="00C08A"/>
            </w:tcBorders>
          </w:tcPr>
          <w:p>
            <w:pPr>
              <w:jc w:val="center"/>
              <w:ind w:right="134"/>
              <w:spacing w:after="0"/>
              <w:rPr>
                <w:sz w:val="20"/>
                <w:szCs w:val="20"/>
                <w:color w:val="auto"/>
              </w:rPr>
            </w:pPr>
            <w:r>
              <w:rPr>
                <w:rFonts w:ascii="Arial" w:cs="Arial" w:eastAsia="Arial" w:hAnsi="Arial"/>
                <w:sz w:val="14"/>
                <w:szCs w:val="14"/>
                <w:b w:val="1"/>
                <w:bCs w:val="1"/>
                <w:color w:val="002453"/>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Securities</w:t>
            </w:r>
          </w:p>
        </w:tc>
        <w:tc>
          <w:tcPr>
            <w:tcW w:w="2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Securities</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Incentive Plan</w:t>
            </w:r>
          </w:p>
        </w:tc>
        <w:tc>
          <w:tcPr>
            <w:tcW w:w="1320" w:type="dxa"/>
            <w:vAlign w:val="bottom"/>
            <w:gridSpan w:val="2"/>
          </w:tcPr>
          <w:p>
            <w:pPr>
              <w:jc w:val="center"/>
              <w:ind w:left="125"/>
              <w:spacing w:after="0" w:line="135" w:lineRule="exact"/>
              <w:rPr>
                <w:sz w:val="20"/>
                <w:szCs w:val="20"/>
                <w:color w:val="auto"/>
              </w:rPr>
            </w:pPr>
            <w:r>
              <w:rPr>
                <w:rFonts w:ascii="Arial" w:cs="Arial" w:eastAsia="Arial" w:hAnsi="Arial"/>
                <w:sz w:val="14"/>
                <w:szCs w:val="14"/>
                <w:b w:val="1"/>
                <w:bCs w:val="1"/>
                <w:color w:val="002453"/>
              </w:rPr>
              <w:t>Incentive Plan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Underlying</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Underlying</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Option</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002453"/>
              </w:rPr>
              <w:t>Awards:</w:t>
            </w:r>
          </w:p>
        </w:tc>
        <w:tc>
          <w:tcPr>
            <w:tcW w:w="420" w:type="dxa"/>
            <w:vAlign w:val="bottom"/>
          </w:tcPr>
          <w:p>
            <w:pPr>
              <w:spacing w:after="0"/>
              <w:rPr>
                <w:sz w:val="12"/>
                <w:szCs w:val="12"/>
                <w:color w:val="auto"/>
              </w:rPr>
            </w:pPr>
          </w:p>
        </w:tc>
        <w:tc>
          <w:tcPr>
            <w:tcW w:w="9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002453"/>
              </w:rPr>
              <w:t>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002453"/>
              </w:rPr>
              <w:t>Unexercised</w:t>
            </w:r>
          </w:p>
        </w:tc>
        <w:tc>
          <w:tcPr>
            <w:tcW w:w="26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002453"/>
              </w:rPr>
              <w:t>Unexercised</w:t>
            </w: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Option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2"/>
              <w:spacing w:after="0" w:line="148" w:lineRule="exact"/>
              <w:rPr>
                <w:sz w:val="20"/>
                <w:szCs w:val="20"/>
                <w:color w:val="auto"/>
              </w:rPr>
            </w:pPr>
            <w:r>
              <w:rPr>
                <w:rFonts w:ascii="Arial" w:cs="Arial" w:eastAsia="Arial" w:hAnsi="Arial"/>
                <w:sz w:val="14"/>
                <w:szCs w:val="14"/>
                <w:b w:val="1"/>
                <w:bCs w:val="1"/>
                <w:color w:val="002453"/>
              </w:rPr>
              <w:t>Number of</w:t>
            </w:r>
          </w:p>
        </w:tc>
        <w:tc>
          <w:tcPr>
            <w:tcW w:w="1320" w:type="dxa"/>
            <w:vAlign w:val="bottom"/>
            <w:gridSpan w:val="2"/>
          </w:tcPr>
          <w:p>
            <w:pPr>
              <w:jc w:val="center"/>
              <w:ind w:left="125"/>
              <w:spacing w:after="0" w:line="148" w:lineRule="exact"/>
              <w:rPr>
                <w:sz w:val="20"/>
                <w:szCs w:val="20"/>
                <w:color w:val="auto"/>
              </w:rPr>
            </w:pPr>
            <w:r>
              <w:rPr>
                <w:rFonts w:ascii="Arial" w:cs="Arial" w:eastAsia="Arial" w:hAnsi="Arial"/>
                <w:sz w:val="14"/>
                <w:szCs w:val="14"/>
                <w:b w:val="1"/>
                <w:bCs w:val="1"/>
                <w:color w:val="002453"/>
              </w:rPr>
              <w:t>Market 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Options</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Options</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Exercise</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002453"/>
              </w:rPr>
              <w:t>Unvested</w:t>
            </w:r>
          </w:p>
        </w:tc>
        <w:tc>
          <w:tcPr>
            <w:tcW w:w="420" w:type="dxa"/>
            <w:vAlign w:val="bottom"/>
          </w:tcPr>
          <w:p>
            <w:pPr>
              <w:spacing w:after="0"/>
              <w:rPr>
                <w:sz w:val="12"/>
                <w:szCs w:val="12"/>
                <w:color w:val="auto"/>
              </w:rPr>
            </w:pPr>
          </w:p>
        </w:tc>
        <w:tc>
          <w:tcPr>
            <w:tcW w:w="9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002453"/>
              </w:rPr>
              <w:t>Unvested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Exercisable</w:t>
            </w:r>
          </w:p>
        </w:tc>
        <w:tc>
          <w:tcPr>
            <w:tcW w:w="1200" w:type="dxa"/>
            <w:vAlign w:val="bottom"/>
            <w:gridSpan w:val="2"/>
          </w:tcPr>
          <w:p>
            <w:pPr>
              <w:jc w:val="center"/>
              <w:ind w:left="134"/>
              <w:spacing w:after="0" w:line="135" w:lineRule="exact"/>
              <w:rPr>
                <w:sz w:val="20"/>
                <w:szCs w:val="20"/>
                <w:color w:val="auto"/>
              </w:rPr>
            </w:pPr>
            <w:r>
              <w:rPr>
                <w:rFonts w:ascii="Arial" w:cs="Arial" w:eastAsia="Arial" w:hAnsi="Arial"/>
                <w:sz w:val="14"/>
                <w:szCs w:val="14"/>
                <w:b w:val="1"/>
                <w:bCs w:val="1"/>
                <w:color w:val="002453"/>
              </w:rPr>
              <w:t>Unexercisable</w:t>
            </w: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Price</w:t>
            </w:r>
          </w:p>
        </w:tc>
        <w:tc>
          <w:tcPr>
            <w:tcW w:w="2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Expiration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Stock Awards</w:t>
            </w:r>
          </w:p>
        </w:tc>
        <w:tc>
          <w:tcPr>
            <w:tcW w:w="1320" w:type="dxa"/>
            <w:vAlign w:val="bottom"/>
            <w:gridSpan w:val="2"/>
          </w:tcPr>
          <w:p>
            <w:pPr>
              <w:jc w:val="center"/>
              <w:ind w:left="105"/>
              <w:spacing w:after="0" w:line="135" w:lineRule="exact"/>
              <w:rPr>
                <w:sz w:val="20"/>
                <w:szCs w:val="20"/>
                <w:color w:val="auto"/>
              </w:rPr>
            </w:pPr>
            <w:r>
              <w:rPr>
                <w:rFonts w:ascii="Arial" w:cs="Arial" w:eastAsia="Arial" w:hAnsi="Arial"/>
                <w:sz w:val="14"/>
                <w:szCs w:val="14"/>
                <w:b w:val="1"/>
                <w:bCs w:val="1"/>
                <w:color w:val="002453"/>
              </w:rPr>
              <w:t>Stock Awards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0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w:t>
            </w:r>
          </w:p>
        </w:tc>
        <w:tc>
          <w:tcPr>
            <w:tcW w:w="780" w:type="dxa"/>
            <w:vAlign w:val="bottom"/>
            <w:tcBorders>
              <w:bottom w:val="single" w:sz="8" w:color="00C08A"/>
            </w:tcBorders>
            <w:gridSpan w:val="3"/>
          </w:tcPr>
          <w:p>
            <w:pPr>
              <w:ind w:left="620"/>
              <w:spacing w:after="0"/>
              <w:rPr>
                <w:sz w:val="20"/>
                <w:szCs w:val="20"/>
                <w:color w:val="auto"/>
              </w:rPr>
            </w:pPr>
            <w:r>
              <w:rPr>
                <w:rFonts w:ascii="Arial" w:cs="Arial" w:eastAsia="Arial" w:hAnsi="Arial"/>
                <w:sz w:val="14"/>
                <w:szCs w:val="14"/>
                <w:b w:val="1"/>
                <w:bCs w:val="1"/>
                <w:color w:val="002453"/>
              </w:rPr>
              <w:t>​ ​</w:t>
            </w:r>
          </w:p>
        </w:tc>
        <w:tc>
          <w:tcPr>
            <w:tcW w:w="86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w w:val="93"/>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94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62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3"/>
              </w:rPr>
              <w:t>($)</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72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8"/>
              </w:rPr>
              <w:t>Date</w:t>
            </w:r>
          </w:p>
        </w:tc>
        <w:tc>
          <w:tcPr>
            <w:tcW w:w="20" w:type="dxa"/>
            <w:vAlign w:val="bottom"/>
            <w:tcBorders>
              <w:bottom w:val="single" w:sz="8" w:color="00C08A"/>
            </w:tcBorders>
          </w:tcPr>
          <w:p>
            <w:pPr>
              <w:spacing w:after="0"/>
              <w:rPr>
                <w:sz w:val="18"/>
                <w:szCs w:val="18"/>
                <w:color w:val="auto"/>
              </w:rPr>
            </w:pPr>
          </w:p>
        </w:tc>
        <w:tc>
          <w:tcPr>
            <w:tcW w:w="340" w:type="dxa"/>
            <w:vAlign w:val="bottom"/>
            <w:tcBorders>
              <w:bottom w:val="single" w:sz="8" w:color="00C08A"/>
            </w:tcBorders>
            <w:gridSpan w:val="2"/>
          </w:tcPr>
          <w:p>
            <w:pPr>
              <w:jc w:val="right"/>
              <w:ind w:right="76"/>
              <w:spacing w:after="0"/>
              <w:rPr>
                <w:sz w:val="20"/>
                <w:szCs w:val="20"/>
                <w:color w:val="auto"/>
              </w:rPr>
            </w:pPr>
            <w:r>
              <w:rPr>
                <w:rFonts w:ascii="Arial" w:cs="Arial" w:eastAsia="Arial" w:hAnsi="Arial"/>
                <w:sz w:val="14"/>
                <w:szCs w:val="14"/>
                <w:b w:val="1"/>
                <w:bCs w:val="1"/>
                <w:color w:val="002453"/>
              </w:rPr>
              <w:t>​ ​</w:t>
            </w:r>
          </w:p>
        </w:tc>
        <w:tc>
          <w:tcPr>
            <w:tcW w:w="880" w:type="dxa"/>
            <w:vAlign w:val="bottom"/>
            <w:tcBorders>
              <w:bottom w:val="single" w:sz="8" w:color="00C08A"/>
            </w:tcBorders>
          </w:tcPr>
          <w:p>
            <w:pPr>
              <w:jc w:val="center"/>
              <w:ind w:right="22"/>
              <w:spacing w:after="0"/>
              <w:rPr>
                <w:sz w:val="20"/>
                <w:szCs w:val="20"/>
                <w:color w:val="auto"/>
              </w:rPr>
            </w:pPr>
            <w:r>
              <w:rPr>
                <w:rFonts w:ascii="Arial" w:cs="Arial" w:eastAsia="Arial" w:hAnsi="Arial"/>
                <w:sz w:val="14"/>
                <w:szCs w:val="14"/>
                <w:b w:val="1"/>
                <w:bCs w:val="1"/>
                <w:color w:val="002453"/>
              </w:rPr>
              <w:t>(#)</w:t>
            </w:r>
          </w:p>
        </w:tc>
        <w:tc>
          <w:tcPr>
            <w:tcW w:w="420" w:type="dxa"/>
            <w:vAlign w:val="bottom"/>
            <w:tcBorders>
              <w:bottom w:val="single" w:sz="8" w:color="00C08A"/>
            </w:tcBorders>
          </w:tcPr>
          <w:p>
            <w:pPr>
              <w:jc w:val="right"/>
              <w:ind w:right="125"/>
              <w:spacing w:after="0"/>
              <w:rPr>
                <w:sz w:val="20"/>
                <w:szCs w:val="20"/>
                <w:color w:val="auto"/>
              </w:rPr>
            </w:pPr>
            <w:r>
              <w:rPr>
                <w:rFonts w:ascii="Arial" w:cs="Arial" w:eastAsia="Arial" w:hAnsi="Arial"/>
                <w:sz w:val="14"/>
                <w:szCs w:val="14"/>
                <w:b w:val="1"/>
                <w:bCs w:val="1"/>
                <w:color w:val="002453"/>
              </w:rPr>
              <w:t>​ ​</w:t>
            </w:r>
          </w:p>
        </w:tc>
        <w:tc>
          <w:tcPr>
            <w:tcW w:w="900" w:type="dxa"/>
            <w:vAlign w:val="bottom"/>
            <w:tcBorders>
              <w:bottom w:val="single" w:sz="8" w:color="00C08A"/>
            </w:tcBorders>
          </w:tcPr>
          <w:p>
            <w:pPr>
              <w:jc w:val="center"/>
              <w:ind w:right="114"/>
              <w:spacing w:after="0"/>
              <w:rPr>
                <w:sz w:val="20"/>
                <w:szCs w:val="20"/>
                <w:color w:val="auto"/>
              </w:rPr>
            </w:pPr>
            <w:r>
              <w:rPr>
                <w:rFonts w:ascii="Arial" w:cs="Arial" w:eastAsia="Arial" w:hAnsi="Arial"/>
                <w:sz w:val="14"/>
                <w:szCs w:val="14"/>
                <w:b w:val="1"/>
                <w:bCs w:val="1"/>
                <w:color w:val="002453"/>
                <w:w w:val="99"/>
              </w:rPr>
              <w:t>($)(1)</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43"/>
        </w:trPr>
        <w:tc>
          <w:tcPr>
            <w:tcW w:w="2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680" w:type="dxa"/>
            <w:vAlign w:val="bottom"/>
            <w:shd w:val="clear" w:color="auto" w:fill="CCEEFF"/>
          </w:tcPr>
          <w:p>
            <w:pPr>
              <w:ind w:left="620"/>
              <w:spacing w:after="0" w:line="143"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ind w:left="40"/>
              <w:spacing w:after="0" w:line="143"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0"/>
              <w:spacing w:after="0" w:line="143"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w:t>
            </w:r>
          </w:p>
        </w:tc>
        <w:tc>
          <w:tcPr>
            <w:tcW w:w="620" w:type="dxa"/>
            <w:vAlign w:val="bottom"/>
            <w:shd w:val="clear" w:color="auto" w:fill="CCEEFF"/>
          </w:tcPr>
          <w:p>
            <w:pPr>
              <w:ind w:left="220"/>
              <w:spacing w:after="0" w:line="14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w:t>
            </w:r>
          </w:p>
        </w:tc>
        <w:tc>
          <w:tcPr>
            <w:tcW w:w="720" w:type="dxa"/>
            <w:vAlign w:val="bottom"/>
            <w:shd w:val="clear" w:color="auto" w:fill="CCEEFF"/>
          </w:tcPr>
          <w:p>
            <w:pPr>
              <w:ind w:left="260"/>
              <w:spacing w:after="0" w:line="143" w:lineRule="exact"/>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6"/>
                <w:szCs w:val="16"/>
                <w:color w:val="auto"/>
              </w:rPr>
              <w:t>​​ ​ ​</w:t>
            </w: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  ​</w:t>
            </w:r>
          </w:p>
        </w:tc>
        <w:tc>
          <w:tcPr>
            <w:tcW w:w="90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547,825</w:t>
            </w:r>
          </w:p>
        </w:tc>
        <w:tc>
          <w:tcPr>
            <w:tcW w:w="60" w:type="dxa"/>
            <w:vAlign w:val="bottom"/>
          </w:tcPr>
          <w:p>
            <w:pPr>
              <w:jc w:val="right"/>
              <w:spacing w:after="0" w:line="14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60" w:type="dxa"/>
            <w:vAlign w:val="bottom"/>
            <w:gridSpan w:val="2"/>
            <w:shd w:val="clear" w:color="auto" w:fill="CCEEFF"/>
          </w:tcPr>
          <w:p>
            <w:pPr>
              <w:ind w:left="340"/>
              <w:spacing w:after="0" w:line="10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ind w:left="360"/>
              <w:spacing w:after="0" w:line="107"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ind w:left="220"/>
              <w:spacing w:after="0" w:line="107"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ind w:left="280"/>
              <w:spacing w:after="0" w:line="10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2"/>
                <w:szCs w:val="12"/>
                <w:color w:val="auto"/>
              </w:rPr>
              <w:t>​ 26,841(2)</w:t>
            </w: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tcBorders>
              <w:right w:val="single" w:sz="8" w:color="CCEEFF"/>
            </w:tcBorders>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ind w:left="40"/>
              <w:spacing w:after="0" w:line="16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738,189</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2"/>
                <w:szCs w:val="12"/>
                <w:color w:val="auto"/>
              </w:rPr>
              <w:t>​ 36,168(3)</w:t>
            </w: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tcBorders>
              <w:right w:val="single" w:sz="8" w:color="CCEEFF"/>
            </w:tcBorders>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ind w:left="40"/>
              <w:spacing w:after="0" w:line="16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ind w:left="340"/>
              <w:spacing w:after="0" w:line="163"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90"/>
              <w:spacing w:after="0" w:line="16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995,661</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2"/>
                <w:szCs w:val="12"/>
                <w:color w:val="auto"/>
              </w:rPr>
              <w:t>​ 48,783(4)</w:t>
            </w: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tcBorders>
              <w:right w:val="single" w:sz="8" w:color="CCEEFF"/>
            </w:tcBorders>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ind w:left="40"/>
              <w:spacing w:after="0" w:line="16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ind w:left="340"/>
              <w:spacing w:after="0" w:line="163"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90"/>
              <w:spacing w:after="0" w:line="16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2000" w:type="dxa"/>
            <w:vAlign w:val="bottom"/>
            <w:tcBorders>
              <w:bottom w:val="single" w:sz="8" w:color="00C08A"/>
            </w:tcBorders>
            <w:shd w:val="clear" w:color="auto" w:fill="CCEEFF"/>
          </w:tcPr>
          <w:p>
            <w:pPr>
              <w:spacing w:after="0"/>
              <w:rPr>
                <w:sz w:val="10"/>
                <w:szCs w:val="10"/>
                <w:color w:val="auto"/>
              </w:rPr>
            </w:pPr>
          </w:p>
        </w:tc>
        <w:tc>
          <w:tcPr>
            <w:tcW w:w="680" w:type="dxa"/>
            <w:vAlign w:val="bottom"/>
            <w:tcBorders>
              <w:bottom w:val="single" w:sz="8" w:color="00C08A"/>
            </w:tcBorders>
            <w:shd w:val="clear" w:color="auto" w:fill="CCEEFF"/>
          </w:tcPr>
          <w:p>
            <w:pPr>
              <w:spacing w:after="0"/>
              <w:rPr>
                <w:sz w:val="10"/>
                <w:szCs w:val="10"/>
                <w:color w:val="auto"/>
              </w:rPr>
            </w:pPr>
          </w:p>
        </w:tc>
        <w:tc>
          <w:tcPr>
            <w:tcW w:w="80" w:type="dxa"/>
            <w:vAlign w:val="bottom"/>
            <w:tcBorders>
              <w:bottom w:val="single" w:sz="8" w:color="00C08A"/>
            </w:tcBorders>
            <w:shd w:val="clear" w:color="auto" w:fill="CCEEFF"/>
          </w:tcPr>
          <w:p>
            <w:pPr>
              <w:spacing w:after="0"/>
              <w:rPr>
                <w:sz w:val="10"/>
                <w:szCs w:val="10"/>
                <w:color w:val="auto"/>
              </w:rPr>
            </w:pPr>
          </w:p>
        </w:tc>
        <w:tc>
          <w:tcPr>
            <w:tcW w:w="20" w:type="dxa"/>
            <w:vAlign w:val="bottom"/>
            <w:tcBorders>
              <w:bottom w:val="single" w:sz="8" w:color="00C08A"/>
            </w:tcBorders>
            <w:shd w:val="clear" w:color="auto" w:fill="CCEEFF"/>
          </w:tcPr>
          <w:p>
            <w:pPr>
              <w:spacing w:after="0"/>
              <w:rPr>
                <w:sz w:val="10"/>
                <w:szCs w:val="10"/>
                <w:color w:val="auto"/>
              </w:rPr>
            </w:pPr>
          </w:p>
        </w:tc>
        <w:tc>
          <w:tcPr>
            <w:tcW w:w="520" w:type="dxa"/>
            <w:vAlign w:val="bottom"/>
            <w:tcBorders>
              <w:bottom w:val="single" w:sz="8" w:color="00C08A"/>
            </w:tcBorders>
            <w:shd w:val="clear" w:color="auto" w:fill="CCEEFF"/>
          </w:tcPr>
          <w:p>
            <w:pPr>
              <w:spacing w:after="0"/>
              <w:rPr>
                <w:sz w:val="10"/>
                <w:szCs w:val="10"/>
                <w:color w:val="auto"/>
              </w:rPr>
            </w:pPr>
          </w:p>
        </w:tc>
        <w:tc>
          <w:tcPr>
            <w:tcW w:w="340" w:type="dxa"/>
            <w:vAlign w:val="bottom"/>
            <w:tcBorders>
              <w:bottom w:val="single" w:sz="8" w:color="00C08A"/>
            </w:tcBorders>
            <w:shd w:val="clear" w:color="auto" w:fill="CCEEFF"/>
          </w:tcPr>
          <w:p>
            <w:pPr>
              <w:spacing w:after="0"/>
              <w:rPr>
                <w:sz w:val="10"/>
                <w:szCs w:val="10"/>
                <w:color w:val="auto"/>
              </w:rPr>
            </w:pPr>
          </w:p>
        </w:tc>
        <w:tc>
          <w:tcPr>
            <w:tcW w:w="260" w:type="dxa"/>
            <w:vAlign w:val="bottom"/>
            <w:tcBorders>
              <w:bottom w:val="single" w:sz="8" w:color="00C08A"/>
            </w:tcBorders>
            <w:shd w:val="clear" w:color="auto" w:fill="CCEEFF"/>
          </w:tcPr>
          <w:p>
            <w:pPr>
              <w:spacing w:after="0"/>
              <w:rPr>
                <w:sz w:val="10"/>
                <w:szCs w:val="10"/>
                <w:color w:val="auto"/>
              </w:rPr>
            </w:pPr>
          </w:p>
        </w:tc>
        <w:tc>
          <w:tcPr>
            <w:tcW w:w="940" w:type="dxa"/>
            <w:vAlign w:val="bottom"/>
            <w:tcBorders>
              <w:bottom w:val="single" w:sz="8" w:color="00C08A"/>
            </w:tcBorders>
            <w:shd w:val="clear" w:color="auto" w:fill="CCEEFF"/>
          </w:tcPr>
          <w:p>
            <w:pPr>
              <w:spacing w:after="0"/>
              <w:rPr>
                <w:sz w:val="10"/>
                <w:szCs w:val="10"/>
                <w:color w:val="auto"/>
              </w:rPr>
            </w:pPr>
          </w:p>
        </w:tc>
        <w:tc>
          <w:tcPr>
            <w:tcW w:w="220" w:type="dxa"/>
            <w:vAlign w:val="bottom"/>
            <w:tcBorders>
              <w:bottom w:val="single" w:sz="8" w:color="00C08A"/>
            </w:tcBorders>
            <w:shd w:val="clear" w:color="auto" w:fill="CCEEFF"/>
          </w:tcPr>
          <w:p>
            <w:pPr>
              <w:spacing w:after="0"/>
              <w:rPr>
                <w:sz w:val="10"/>
                <w:szCs w:val="10"/>
                <w:color w:val="auto"/>
              </w:rPr>
            </w:pPr>
          </w:p>
        </w:tc>
        <w:tc>
          <w:tcPr>
            <w:tcW w:w="620" w:type="dxa"/>
            <w:vAlign w:val="bottom"/>
            <w:tcBorders>
              <w:bottom w:val="single" w:sz="8" w:color="00C08A"/>
            </w:tcBorders>
            <w:shd w:val="clear" w:color="auto" w:fill="CCEEFF"/>
          </w:tcPr>
          <w:p>
            <w:pPr>
              <w:spacing w:after="0"/>
              <w:rPr>
                <w:sz w:val="10"/>
                <w:szCs w:val="10"/>
                <w:color w:val="auto"/>
              </w:rPr>
            </w:pPr>
          </w:p>
        </w:tc>
        <w:tc>
          <w:tcPr>
            <w:tcW w:w="220" w:type="dxa"/>
            <w:vAlign w:val="bottom"/>
            <w:tcBorders>
              <w:bottom w:val="single" w:sz="8" w:color="00C08A"/>
            </w:tcBorders>
            <w:shd w:val="clear" w:color="auto" w:fill="CCEEFF"/>
          </w:tcPr>
          <w:p>
            <w:pPr>
              <w:spacing w:after="0"/>
              <w:rPr>
                <w:sz w:val="10"/>
                <w:szCs w:val="10"/>
                <w:color w:val="auto"/>
              </w:rPr>
            </w:pPr>
          </w:p>
        </w:tc>
        <w:tc>
          <w:tcPr>
            <w:tcW w:w="720" w:type="dxa"/>
            <w:vAlign w:val="bottom"/>
            <w:tcBorders>
              <w:bottom w:val="single" w:sz="8" w:color="00C08A"/>
            </w:tcBorders>
            <w:shd w:val="clear" w:color="auto" w:fill="CCEEFF"/>
          </w:tcPr>
          <w:p>
            <w:pPr>
              <w:spacing w:after="0"/>
              <w:rPr>
                <w:sz w:val="10"/>
                <w:szCs w:val="10"/>
                <w:color w:val="auto"/>
              </w:rPr>
            </w:pPr>
          </w:p>
        </w:tc>
        <w:tc>
          <w:tcPr>
            <w:tcW w:w="20" w:type="dxa"/>
            <w:vAlign w:val="bottom"/>
            <w:tcBorders>
              <w:bottom w:val="single" w:sz="8" w:color="00C08A"/>
            </w:tcBorders>
            <w:shd w:val="clear" w:color="auto" w:fill="CCEEFF"/>
          </w:tcPr>
          <w:p>
            <w:pPr>
              <w:spacing w:after="0"/>
              <w:rPr>
                <w:sz w:val="10"/>
                <w:szCs w:val="10"/>
                <w:color w:val="auto"/>
              </w:rPr>
            </w:pPr>
          </w:p>
        </w:tc>
        <w:tc>
          <w:tcPr>
            <w:tcW w:w="220" w:type="dxa"/>
            <w:vAlign w:val="bottom"/>
            <w:tcBorders>
              <w:bottom w:val="single" w:sz="8" w:color="00C08A"/>
            </w:tcBorders>
            <w:shd w:val="clear" w:color="auto" w:fill="CCEEFF"/>
          </w:tcPr>
          <w:p>
            <w:pPr>
              <w:spacing w:after="0"/>
              <w:rPr>
                <w:sz w:val="10"/>
                <w:szCs w:val="10"/>
                <w:color w:val="auto"/>
              </w:rPr>
            </w:pPr>
          </w:p>
        </w:tc>
        <w:tc>
          <w:tcPr>
            <w:tcW w:w="1000" w:type="dxa"/>
            <w:vAlign w:val="bottom"/>
            <w:tcBorders>
              <w:bottom w:val="single" w:sz="8" w:color="00C08A"/>
            </w:tcBorders>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​150,000(5)</w:t>
            </w:r>
          </w:p>
        </w:tc>
        <w:tc>
          <w:tcPr>
            <w:tcW w:w="1320" w:type="dxa"/>
            <w:vAlign w:val="bottom"/>
            <w:tcBorders>
              <w:bottom w:val="single" w:sz="8" w:color="00C08A"/>
              <w:right w:val="single" w:sz="8" w:color="CCEEFF"/>
            </w:tcBorders>
            <w:gridSpan w:val="2"/>
            <w:shd w:val="clear" w:color="auto" w:fill="CCEEFF"/>
          </w:tcPr>
          <w:p>
            <w:pPr>
              <w:jc w:val="right"/>
              <w:ind w:right="54"/>
              <w:spacing w:after="0" w:line="121" w:lineRule="exact"/>
              <w:rPr>
                <w:sz w:val="20"/>
                <w:szCs w:val="20"/>
                <w:color w:val="auto"/>
              </w:rPr>
            </w:pPr>
            <w:r>
              <w:rPr>
                <w:rFonts w:ascii="Arial" w:cs="Arial" w:eastAsia="Arial" w:hAnsi="Arial"/>
                <w:sz w:val="13"/>
                <w:szCs w:val="13"/>
                <w:color w:val="auto"/>
              </w:rPr>
              <w:t>​3,061,500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Joseph Molluso</w:t>
            </w:r>
          </w:p>
        </w:tc>
        <w:tc>
          <w:tcPr>
            <w:tcW w:w="760" w:type="dxa"/>
            <w:vAlign w:val="bottom"/>
            <w:gridSpan w:val="2"/>
          </w:tcPr>
          <w:p>
            <w:pPr>
              <w:ind w:left="620"/>
              <w:spacing w:after="0" w:line="143" w:lineRule="exact"/>
              <w:rPr>
                <w:sz w:val="20"/>
                <w:szCs w:val="20"/>
                <w:color w:val="auto"/>
              </w:rPr>
            </w:pPr>
            <w:r>
              <w:rPr>
                <w:rFonts w:ascii="Arial" w:cs="Arial" w:eastAsia="Arial" w:hAnsi="Arial"/>
                <w:sz w:val="16"/>
                <w:szCs w:val="16"/>
                <w:color w:val="auto"/>
              </w:rPr>
              <w:t>​ ​</w:t>
            </w:r>
          </w:p>
        </w:tc>
        <w:tc>
          <w:tcPr>
            <w:tcW w:w="20" w:type="dxa"/>
            <w:vAlign w:val="bottom"/>
          </w:tcPr>
          <w:p>
            <w:pPr>
              <w:spacing w:after="0"/>
              <w:rPr>
                <w:sz w:val="12"/>
                <w:szCs w:val="12"/>
                <w:color w:val="auto"/>
              </w:rPr>
            </w:pPr>
          </w:p>
        </w:tc>
        <w:tc>
          <w:tcPr>
            <w:tcW w:w="520" w:type="dxa"/>
            <w:vAlign w:val="bottom"/>
          </w:tcPr>
          <w:p>
            <w:pPr>
              <w:ind w:left="340"/>
              <w:spacing w:after="0" w:line="143"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2"/>
                <w:szCs w:val="12"/>
                <w:color w:val="auto"/>
              </w:rPr>
            </w:pPr>
          </w:p>
        </w:tc>
        <w:tc>
          <w:tcPr>
            <w:tcW w:w="260" w:type="dxa"/>
            <w:vAlign w:val="bottom"/>
          </w:tcPr>
          <w:p>
            <w:pPr>
              <w:jc w:val="right"/>
              <w:spacing w:after="0" w:line="143" w:lineRule="exact"/>
              <w:rPr>
                <w:sz w:val="20"/>
                <w:szCs w:val="20"/>
                <w:color w:val="auto"/>
              </w:rPr>
            </w:pPr>
            <w:r>
              <w:rPr>
                <w:rFonts w:ascii="Arial" w:cs="Arial" w:eastAsia="Arial" w:hAnsi="Arial"/>
                <w:sz w:val="16"/>
                <w:szCs w:val="16"/>
                <w:color w:val="auto"/>
              </w:rPr>
              <w:t>​​ ​</w:t>
            </w:r>
          </w:p>
        </w:tc>
        <w:tc>
          <w:tcPr>
            <w:tcW w:w="940" w:type="dxa"/>
            <w:vAlign w:val="bottom"/>
          </w:tcPr>
          <w:p>
            <w:pPr>
              <w:ind w:left="360"/>
              <w:spacing w:after="0" w:line="14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3"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3" w:lineRule="exact"/>
              <w:rPr>
                <w:sz w:val="20"/>
                <w:szCs w:val="20"/>
                <w:color w:val="auto"/>
              </w:rPr>
            </w:pPr>
            <w:r>
              <w:rPr>
                <w:rFonts w:ascii="Arial" w:cs="Arial" w:eastAsia="Arial" w:hAnsi="Arial"/>
                <w:sz w:val="16"/>
                <w:szCs w:val="16"/>
                <w:color w:val="auto"/>
              </w:rPr>
              <w:t>​​ ​</w:t>
            </w:r>
          </w:p>
        </w:tc>
        <w:tc>
          <w:tcPr>
            <w:tcW w:w="720" w:type="dxa"/>
            <w:vAlign w:val="bottom"/>
          </w:tcPr>
          <w:p>
            <w:pPr>
              <w:ind w:left="260"/>
              <w:spacing w:after="0" w:line="143" w:lineRule="exact"/>
              <w:rPr>
                <w:sz w:val="20"/>
                <w:szCs w:val="20"/>
                <w:color w:val="auto"/>
              </w:rPr>
            </w:pPr>
            <w:r>
              <w:rPr>
                <w:rFonts w:ascii="Arial" w:cs="Arial" w:eastAsia="Arial" w:hAnsi="Arial"/>
                <w:sz w:val="16"/>
                <w:szCs w:val="16"/>
                <w:color w:val="auto"/>
              </w:rPr>
              <w:t>​</w:t>
            </w:r>
          </w:p>
        </w:tc>
        <w:tc>
          <w:tcPr>
            <w:tcW w:w="360" w:type="dxa"/>
            <w:vAlign w:val="bottom"/>
            <w:gridSpan w:val="3"/>
          </w:tcPr>
          <w:p>
            <w:pPr>
              <w:jc w:val="right"/>
              <w:spacing w:after="0" w:line="143" w:lineRule="exact"/>
              <w:rPr>
                <w:sz w:val="20"/>
                <w:szCs w:val="20"/>
                <w:color w:val="auto"/>
              </w:rPr>
            </w:pPr>
            <w:r>
              <w:rPr>
                <w:rFonts w:ascii="Arial" w:cs="Arial" w:eastAsia="Arial" w:hAnsi="Arial"/>
                <w:sz w:val="16"/>
                <w:szCs w:val="16"/>
                <w:color w:val="auto"/>
              </w:rPr>
              <w:t>​​ ​ ​</w:t>
            </w:r>
          </w:p>
        </w:tc>
        <w:tc>
          <w:tcPr>
            <w:tcW w:w="88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6"/>
                <w:szCs w:val="16"/>
                <w:color w:val="auto"/>
              </w:rPr>
              <w:t>​​ ​  ​</w:t>
            </w:r>
          </w:p>
        </w:tc>
        <w:tc>
          <w:tcPr>
            <w:tcW w:w="900" w:type="dxa"/>
            <w:vAlign w:val="bottom"/>
          </w:tcPr>
          <w:p>
            <w:pPr>
              <w:spacing w:after="0"/>
              <w:rPr>
                <w:sz w:val="12"/>
                <w:szCs w:val="12"/>
                <w:color w:val="auto"/>
              </w:rPr>
            </w:pPr>
          </w:p>
        </w:tc>
        <w:tc>
          <w:tcPr>
            <w:tcW w:w="60" w:type="dxa"/>
            <w:vAlign w:val="bottom"/>
          </w:tcPr>
          <w:p>
            <w:pPr>
              <w:jc w:val="right"/>
              <w:spacing w:after="0" w:line="14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2"/>
          </w:tcPr>
          <w:p>
            <w:pPr>
              <w:ind w:left="340"/>
              <w:spacing w:after="0" w:line="10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9"/>
                <w:szCs w:val="9"/>
                <w:color w:val="auto"/>
              </w:rPr>
            </w:pPr>
          </w:p>
        </w:tc>
        <w:tc>
          <w:tcPr>
            <w:tcW w:w="940" w:type="dxa"/>
            <w:vAlign w:val="bottom"/>
          </w:tcPr>
          <w:p>
            <w:pPr>
              <w:ind w:left="360"/>
              <w:spacing w:after="0" w:line="107"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620" w:type="dxa"/>
            <w:vAlign w:val="bottom"/>
          </w:tcPr>
          <w:p>
            <w:pPr>
              <w:ind w:left="220"/>
              <w:spacing w:after="0" w:line="107"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720" w:type="dxa"/>
            <w:vAlign w:val="bottom"/>
          </w:tcPr>
          <w:p>
            <w:pPr>
              <w:ind w:left="280"/>
              <w:spacing w:after="0" w:line="10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right"/>
              <w:spacing w:after="0" w:line="107" w:lineRule="exact"/>
              <w:rPr>
                <w:sz w:val="20"/>
                <w:szCs w:val="20"/>
                <w:color w:val="auto"/>
              </w:rPr>
            </w:pPr>
            <w:r>
              <w:rPr>
                <w:rFonts w:ascii="Arial" w:cs="Arial" w:eastAsia="Arial" w:hAnsi="Arial"/>
                <w:sz w:val="12"/>
                <w:szCs w:val="12"/>
                <w:color w:val="auto"/>
              </w:rPr>
              <w:t>​ 66,666(2)</w:t>
            </w:r>
          </w:p>
        </w:tc>
        <w:tc>
          <w:tcPr>
            <w:tcW w:w="1320" w:type="dxa"/>
            <w:vAlign w:val="bottom"/>
            <w:gridSpan w:val="2"/>
          </w:tcPr>
          <w:p>
            <w:pPr>
              <w:jc w:val="right"/>
              <w:ind w:right="54"/>
              <w:spacing w:after="0" w:line="107" w:lineRule="exact"/>
              <w:rPr>
                <w:sz w:val="20"/>
                <w:szCs w:val="20"/>
                <w:color w:val="auto"/>
              </w:rPr>
            </w:pPr>
            <w:r>
              <w:rPr>
                <w:rFonts w:ascii="Arial" w:cs="Arial" w:eastAsia="Arial" w:hAnsi="Arial"/>
                <w:sz w:val="12"/>
                <w:szCs w:val="12"/>
                <w:color w:val="auto"/>
              </w:rPr>
              <w:t>​1,360,653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gridSpan w:val="2"/>
          </w:tcPr>
          <w:p>
            <w:pPr>
              <w:ind w:left="40"/>
              <w:spacing w:after="0" w:line="16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tcPr>
          <w:p>
            <w:pPr>
              <w:spacing w:after="0"/>
              <w:rPr>
                <w:sz w:val="14"/>
                <w:szCs w:val="14"/>
                <w:color w:val="auto"/>
              </w:rPr>
            </w:pPr>
          </w:p>
        </w:tc>
        <w:tc>
          <w:tcPr>
            <w:tcW w:w="420" w:type="dxa"/>
            <w:vAlign w:val="bottom"/>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right"/>
              <w:spacing w:after="0" w:line="107" w:lineRule="exact"/>
              <w:rPr>
                <w:sz w:val="20"/>
                <w:szCs w:val="20"/>
                <w:color w:val="auto"/>
              </w:rPr>
            </w:pPr>
            <w:r>
              <w:rPr>
                <w:rFonts w:ascii="Arial" w:cs="Arial" w:eastAsia="Arial" w:hAnsi="Arial"/>
                <w:sz w:val="12"/>
                <w:szCs w:val="12"/>
                <w:color w:val="auto"/>
              </w:rPr>
              <w:t>​ 50,000(7)</w:t>
            </w:r>
          </w:p>
        </w:tc>
        <w:tc>
          <w:tcPr>
            <w:tcW w:w="1320" w:type="dxa"/>
            <w:vAlign w:val="bottom"/>
            <w:gridSpan w:val="2"/>
          </w:tcPr>
          <w:p>
            <w:pPr>
              <w:jc w:val="right"/>
              <w:ind w:right="54"/>
              <w:spacing w:after="0" w:line="107" w:lineRule="exact"/>
              <w:rPr>
                <w:sz w:val="20"/>
                <w:szCs w:val="20"/>
                <w:color w:val="auto"/>
              </w:rPr>
            </w:pPr>
            <w:r>
              <w:rPr>
                <w:rFonts w:ascii="Arial" w:cs="Arial" w:eastAsia="Arial" w:hAnsi="Arial"/>
                <w:sz w:val="12"/>
                <w:szCs w:val="12"/>
                <w:color w:val="auto"/>
              </w:rPr>
              <w:t>​1,020,500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gridSpan w:val="2"/>
          </w:tcPr>
          <w:p>
            <w:pPr>
              <w:ind w:left="40"/>
              <w:spacing w:after="0" w:line="16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tcPr>
          <w:p>
            <w:pPr>
              <w:spacing w:after="0"/>
              <w:rPr>
                <w:sz w:val="14"/>
                <w:szCs w:val="14"/>
                <w:color w:val="auto"/>
              </w:rPr>
            </w:pPr>
          </w:p>
        </w:tc>
        <w:tc>
          <w:tcPr>
            <w:tcW w:w="420" w:type="dxa"/>
            <w:vAlign w:val="bottom"/>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vMerge w:val="restart"/>
          </w:tcPr>
          <w:p>
            <w:pPr>
              <w:jc w:val="right"/>
              <w:ind w:right="54"/>
              <w:spacing w:after="0"/>
              <w:rPr>
                <w:sz w:val="20"/>
                <w:szCs w:val="20"/>
                <w:color w:val="auto"/>
              </w:rPr>
            </w:pPr>
            <w:r>
              <w:rPr>
                <w:rFonts w:ascii="Arial" w:cs="Arial" w:eastAsia="Arial" w:hAnsi="Arial"/>
                <w:sz w:val="18"/>
                <w:szCs w:val="18"/>
                <w:color w:val="auto"/>
              </w:rPr>
              <w:t>369,094</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right"/>
              <w:spacing w:after="0" w:line="107" w:lineRule="exact"/>
              <w:rPr>
                <w:sz w:val="20"/>
                <w:szCs w:val="20"/>
                <w:color w:val="auto"/>
              </w:rPr>
            </w:pPr>
            <w:r>
              <w:rPr>
                <w:rFonts w:ascii="Arial" w:cs="Arial" w:eastAsia="Arial" w:hAnsi="Arial"/>
                <w:sz w:val="12"/>
                <w:szCs w:val="12"/>
                <w:color w:val="auto"/>
              </w:rPr>
              <w:t>​ 18,084(3)</w:t>
            </w:r>
          </w:p>
        </w:tc>
        <w:tc>
          <w:tcPr>
            <w:tcW w:w="420" w:type="dxa"/>
            <w:vAlign w:val="bottom"/>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gridSpan w:val="2"/>
          </w:tcPr>
          <w:p>
            <w:pPr>
              <w:ind w:left="40"/>
              <w:spacing w:after="0" w:line="16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tcPr>
          <w:p>
            <w:pPr>
              <w:spacing w:after="0"/>
              <w:rPr>
                <w:sz w:val="14"/>
                <w:szCs w:val="14"/>
                <w:color w:val="auto"/>
              </w:rPr>
            </w:pPr>
          </w:p>
        </w:tc>
        <w:tc>
          <w:tcPr>
            <w:tcW w:w="420" w:type="dxa"/>
            <w:vAlign w:val="bottom"/>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vMerge w:val="restart"/>
          </w:tcPr>
          <w:p>
            <w:pPr>
              <w:jc w:val="right"/>
              <w:ind w:right="54"/>
              <w:spacing w:after="0"/>
              <w:rPr>
                <w:sz w:val="20"/>
                <w:szCs w:val="20"/>
                <w:color w:val="auto"/>
              </w:rPr>
            </w:pPr>
            <w:r>
              <w:rPr>
                <w:rFonts w:ascii="Arial" w:cs="Arial" w:eastAsia="Arial" w:hAnsi="Arial"/>
                <w:sz w:val="18"/>
                <w:szCs w:val="18"/>
                <w:color w:val="auto"/>
              </w:rPr>
              <w:t>497,820</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2000" w:type="dxa"/>
            <w:vAlign w:val="bottom"/>
            <w:tcBorders>
              <w:bottom w:val="single" w:sz="8" w:color="00C08A"/>
            </w:tcBorders>
          </w:tcPr>
          <w:p>
            <w:pPr>
              <w:spacing w:after="0"/>
              <w:rPr>
                <w:sz w:val="10"/>
                <w:szCs w:val="10"/>
                <w:color w:val="auto"/>
              </w:rPr>
            </w:pPr>
          </w:p>
        </w:tc>
        <w:tc>
          <w:tcPr>
            <w:tcW w:w="680" w:type="dxa"/>
            <w:vAlign w:val="bottom"/>
            <w:tcBorders>
              <w:bottom w:val="single" w:sz="8" w:color="00C08A"/>
            </w:tcBorders>
          </w:tcPr>
          <w:p>
            <w:pPr>
              <w:spacing w:after="0"/>
              <w:rPr>
                <w:sz w:val="10"/>
                <w:szCs w:val="10"/>
                <w:color w:val="auto"/>
              </w:rPr>
            </w:pPr>
          </w:p>
        </w:tc>
        <w:tc>
          <w:tcPr>
            <w:tcW w:w="80" w:type="dxa"/>
            <w:vAlign w:val="bottom"/>
            <w:tcBorders>
              <w:bottom w:val="single" w:sz="8" w:color="00C08A"/>
            </w:tcBorders>
          </w:tcPr>
          <w:p>
            <w:pPr>
              <w:spacing w:after="0"/>
              <w:rPr>
                <w:sz w:val="10"/>
                <w:szCs w:val="10"/>
                <w:color w:val="auto"/>
              </w:rPr>
            </w:pPr>
          </w:p>
        </w:tc>
        <w:tc>
          <w:tcPr>
            <w:tcW w:w="20" w:type="dxa"/>
            <w:vAlign w:val="bottom"/>
            <w:tcBorders>
              <w:bottom w:val="single" w:sz="8" w:color="00C08A"/>
            </w:tcBorders>
          </w:tcPr>
          <w:p>
            <w:pPr>
              <w:spacing w:after="0"/>
              <w:rPr>
                <w:sz w:val="10"/>
                <w:szCs w:val="10"/>
                <w:color w:val="auto"/>
              </w:rPr>
            </w:pPr>
          </w:p>
        </w:tc>
        <w:tc>
          <w:tcPr>
            <w:tcW w:w="520" w:type="dxa"/>
            <w:vAlign w:val="bottom"/>
            <w:tcBorders>
              <w:bottom w:val="single" w:sz="8" w:color="00C08A"/>
            </w:tcBorders>
          </w:tcPr>
          <w:p>
            <w:pPr>
              <w:spacing w:after="0"/>
              <w:rPr>
                <w:sz w:val="10"/>
                <w:szCs w:val="10"/>
                <w:color w:val="auto"/>
              </w:rPr>
            </w:pPr>
          </w:p>
        </w:tc>
        <w:tc>
          <w:tcPr>
            <w:tcW w:w="340" w:type="dxa"/>
            <w:vAlign w:val="bottom"/>
            <w:tcBorders>
              <w:bottom w:val="single" w:sz="8" w:color="00C08A"/>
            </w:tcBorders>
          </w:tcPr>
          <w:p>
            <w:pPr>
              <w:spacing w:after="0"/>
              <w:rPr>
                <w:sz w:val="10"/>
                <w:szCs w:val="10"/>
                <w:color w:val="auto"/>
              </w:rPr>
            </w:pPr>
          </w:p>
        </w:tc>
        <w:tc>
          <w:tcPr>
            <w:tcW w:w="260" w:type="dxa"/>
            <w:vAlign w:val="bottom"/>
            <w:tcBorders>
              <w:bottom w:val="single" w:sz="8" w:color="00C08A"/>
            </w:tcBorders>
          </w:tcPr>
          <w:p>
            <w:pPr>
              <w:spacing w:after="0"/>
              <w:rPr>
                <w:sz w:val="10"/>
                <w:szCs w:val="10"/>
                <w:color w:val="auto"/>
              </w:rPr>
            </w:pPr>
          </w:p>
        </w:tc>
        <w:tc>
          <w:tcPr>
            <w:tcW w:w="940" w:type="dxa"/>
            <w:vAlign w:val="bottom"/>
            <w:tcBorders>
              <w:bottom w:val="single" w:sz="8" w:color="00C08A"/>
            </w:tcBorders>
          </w:tcPr>
          <w:p>
            <w:pPr>
              <w:spacing w:after="0"/>
              <w:rPr>
                <w:sz w:val="10"/>
                <w:szCs w:val="10"/>
                <w:color w:val="auto"/>
              </w:rPr>
            </w:pPr>
          </w:p>
        </w:tc>
        <w:tc>
          <w:tcPr>
            <w:tcW w:w="220" w:type="dxa"/>
            <w:vAlign w:val="bottom"/>
            <w:tcBorders>
              <w:bottom w:val="single" w:sz="8" w:color="00C08A"/>
            </w:tcBorders>
          </w:tcPr>
          <w:p>
            <w:pPr>
              <w:spacing w:after="0"/>
              <w:rPr>
                <w:sz w:val="10"/>
                <w:szCs w:val="10"/>
                <w:color w:val="auto"/>
              </w:rPr>
            </w:pPr>
          </w:p>
        </w:tc>
        <w:tc>
          <w:tcPr>
            <w:tcW w:w="620" w:type="dxa"/>
            <w:vAlign w:val="bottom"/>
            <w:tcBorders>
              <w:bottom w:val="single" w:sz="8" w:color="00C08A"/>
            </w:tcBorders>
          </w:tcPr>
          <w:p>
            <w:pPr>
              <w:spacing w:after="0"/>
              <w:rPr>
                <w:sz w:val="10"/>
                <w:szCs w:val="10"/>
                <w:color w:val="auto"/>
              </w:rPr>
            </w:pPr>
          </w:p>
        </w:tc>
        <w:tc>
          <w:tcPr>
            <w:tcW w:w="220" w:type="dxa"/>
            <w:vAlign w:val="bottom"/>
            <w:tcBorders>
              <w:bottom w:val="single" w:sz="8" w:color="00C08A"/>
            </w:tcBorders>
          </w:tcPr>
          <w:p>
            <w:pPr>
              <w:spacing w:after="0"/>
              <w:rPr>
                <w:sz w:val="10"/>
                <w:szCs w:val="10"/>
                <w:color w:val="auto"/>
              </w:rPr>
            </w:pPr>
          </w:p>
        </w:tc>
        <w:tc>
          <w:tcPr>
            <w:tcW w:w="720" w:type="dxa"/>
            <w:vAlign w:val="bottom"/>
            <w:tcBorders>
              <w:bottom w:val="single" w:sz="8" w:color="00C08A"/>
            </w:tcBorders>
          </w:tcPr>
          <w:p>
            <w:pPr>
              <w:spacing w:after="0"/>
              <w:rPr>
                <w:sz w:val="10"/>
                <w:szCs w:val="10"/>
                <w:color w:val="auto"/>
              </w:rPr>
            </w:pPr>
          </w:p>
        </w:tc>
        <w:tc>
          <w:tcPr>
            <w:tcW w:w="20" w:type="dxa"/>
            <w:vAlign w:val="bottom"/>
            <w:tcBorders>
              <w:bottom w:val="single" w:sz="8" w:color="00C08A"/>
            </w:tcBorders>
          </w:tcPr>
          <w:p>
            <w:pPr>
              <w:spacing w:after="0"/>
              <w:rPr>
                <w:sz w:val="10"/>
                <w:szCs w:val="10"/>
                <w:color w:val="auto"/>
              </w:rPr>
            </w:pPr>
          </w:p>
        </w:tc>
        <w:tc>
          <w:tcPr>
            <w:tcW w:w="220" w:type="dxa"/>
            <w:vAlign w:val="bottom"/>
            <w:tcBorders>
              <w:bottom w:val="single" w:sz="8" w:color="00C08A"/>
            </w:tcBorders>
          </w:tcPr>
          <w:p>
            <w:pPr>
              <w:spacing w:after="0"/>
              <w:rPr>
                <w:sz w:val="10"/>
                <w:szCs w:val="10"/>
                <w:color w:val="auto"/>
              </w:rPr>
            </w:pPr>
          </w:p>
        </w:tc>
        <w:tc>
          <w:tcPr>
            <w:tcW w:w="1000" w:type="dxa"/>
            <w:vAlign w:val="bottom"/>
            <w:tcBorders>
              <w:bottom w:val="single" w:sz="8" w:color="00C08A"/>
            </w:tcBorders>
            <w:gridSpan w:val="2"/>
          </w:tcPr>
          <w:p>
            <w:pPr>
              <w:jc w:val="right"/>
              <w:spacing w:after="0" w:line="121" w:lineRule="exact"/>
              <w:rPr>
                <w:sz w:val="20"/>
                <w:szCs w:val="20"/>
                <w:color w:val="auto"/>
              </w:rPr>
            </w:pPr>
            <w:r>
              <w:rPr>
                <w:rFonts w:ascii="Arial" w:cs="Arial" w:eastAsia="Arial" w:hAnsi="Arial"/>
                <w:sz w:val="13"/>
                <w:szCs w:val="13"/>
                <w:color w:val="auto"/>
              </w:rPr>
              <w:t>​ 24,391(4)</w:t>
            </w:r>
          </w:p>
        </w:tc>
        <w:tc>
          <w:tcPr>
            <w:tcW w:w="420" w:type="dxa"/>
            <w:vAlign w:val="bottom"/>
            <w:tcBorders>
              <w:bottom w:val="single" w:sz="8" w:color="00C08A"/>
            </w:tcBorders>
          </w:tcPr>
          <w:p>
            <w:pPr>
              <w:jc w:val="right"/>
              <w:spacing w:after="0" w:line="121"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00C08A"/>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680" w:type="dxa"/>
            <w:vAlign w:val="bottom"/>
            <w:shd w:val="clear" w:color="auto" w:fill="CCEEFF"/>
          </w:tcPr>
          <w:p>
            <w:pPr>
              <w:ind w:left="620"/>
              <w:spacing w:after="0" w:line="143"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ind w:left="40"/>
              <w:spacing w:after="0" w:line="143"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0"/>
              <w:spacing w:after="0" w:line="143"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w:t>
            </w:r>
          </w:p>
        </w:tc>
        <w:tc>
          <w:tcPr>
            <w:tcW w:w="620" w:type="dxa"/>
            <w:vAlign w:val="bottom"/>
            <w:shd w:val="clear" w:color="auto" w:fill="CCEEFF"/>
          </w:tcPr>
          <w:p>
            <w:pPr>
              <w:ind w:left="220"/>
              <w:spacing w:after="0" w:line="143"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w:t>
            </w:r>
          </w:p>
        </w:tc>
        <w:tc>
          <w:tcPr>
            <w:tcW w:w="720" w:type="dxa"/>
            <w:vAlign w:val="bottom"/>
            <w:shd w:val="clear" w:color="auto" w:fill="CCEEFF"/>
          </w:tcPr>
          <w:p>
            <w:pPr>
              <w:ind w:left="260"/>
              <w:spacing w:after="0" w:line="143"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36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6"/>
                <w:szCs w:val="16"/>
                <w:color w:val="auto"/>
              </w:rPr>
              <w:t>​​ ​ ​</w:t>
            </w: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  ​</w:t>
            </w:r>
          </w:p>
        </w:tc>
        <w:tc>
          <w:tcPr>
            <w:tcW w:w="90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241,042</w:t>
            </w:r>
          </w:p>
        </w:tc>
        <w:tc>
          <w:tcPr>
            <w:tcW w:w="60" w:type="dxa"/>
            <w:vAlign w:val="bottom"/>
          </w:tcPr>
          <w:p>
            <w:pPr>
              <w:jc w:val="right"/>
              <w:spacing w:after="0" w:line="14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2"/>
                <w:szCs w:val="12"/>
                <w:color w:val="auto"/>
              </w:rPr>
              <w:t>​ 11,810(2)</w:t>
            </w: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tcBorders>
              <w:right w:val="single" w:sz="8" w:color="CCEEFF"/>
            </w:tcBorders>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ind w:left="40"/>
              <w:spacing w:after="0" w:line="16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2"/>
                <w:szCs w:val="12"/>
                <w:color w:val="auto"/>
              </w:rPr>
              <w:t>​ 50,000(7)</w:t>
            </w:r>
          </w:p>
        </w:tc>
        <w:tc>
          <w:tcPr>
            <w:tcW w:w="1320" w:type="dxa"/>
            <w:vAlign w:val="bottom"/>
            <w:tcBorders>
              <w:right w:val="single" w:sz="8" w:color="CCEEFF"/>
            </w:tcBorders>
            <w:gridSpan w:val="2"/>
            <w:shd w:val="clear" w:color="auto" w:fill="CCEEFF"/>
          </w:tcPr>
          <w:p>
            <w:pPr>
              <w:jc w:val="right"/>
              <w:ind w:right="54"/>
              <w:spacing w:after="0" w:line="107" w:lineRule="exact"/>
              <w:rPr>
                <w:sz w:val="20"/>
                <w:szCs w:val="20"/>
                <w:color w:val="auto"/>
              </w:rPr>
            </w:pPr>
            <w:r>
              <w:rPr>
                <w:rFonts w:ascii="Arial" w:cs="Arial" w:eastAsia="Arial" w:hAnsi="Arial"/>
                <w:sz w:val="12"/>
                <w:szCs w:val="12"/>
                <w:color w:val="auto"/>
              </w:rPr>
              <w:t>​1,020,500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ind w:left="40"/>
              <w:spacing w:after="0" w:line="16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ind w:left="340"/>
              <w:spacing w:after="0" w:line="163"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90"/>
              <w:spacing w:after="0" w:line="16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346,950</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2"/>
                <w:szCs w:val="12"/>
                <w:color w:val="auto"/>
              </w:rPr>
              <w:t>​ 16,999(3)</w:t>
            </w: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tcBorders>
              <w:right w:val="single" w:sz="8" w:color="CCEEFF"/>
            </w:tcBorders>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ind w:left="40"/>
              <w:spacing w:after="0" w:line="16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ind w:left="340"/>
              <w:spacing w:after="0" w:line="163"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90"/>
              <w:spacing w:after="0" w:line="16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497,820</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2000" w:type="dxa"/>
            <w:vAlign w:val="bottom"/>
            <w:tcBorders>
              <w:bottom w:val="single" w:sz="8" w:color="00C08A"/>
            </w:tcBorders>
            <w:shd w:val="clear" w:color="auto" w:fill="CCEEFF"/>
          </w:tcPr>
          <w:p>
            <w:pPr>
              <w:spacing w:after="0"/>
              <w:rPr>
                <w:sz w:val="10"/>
                <w:szCs w:val="10"/>
                <w:color w:val="auto"/>
              </w:rPr>
            </w:pPr>
          </w:p>
        </w:tc>
        <w:tc>
          <w:tcPr>
            <w:tcW w:w="680" w:type="dxa"/>
            <w:vAlign w:val="bottom"/>
            <w:tcBorders>
              <w:bottom w:val="single" w:sz="8" w:color="00C08A"/>
            </w:tcBorders>
            <w:shd w:val="clear" w:color="auto" w:fill="CCEEFF"/>
          </w:tcPr>
          <w:p>
            <w:pPr>
              <w:spacing w:after="0"/>
              <w:rPr>
                <w:sz w:val="10"/>
                <w:szCs w:val="10"/>
                <w:color w:val="auto"/>
              </w:rPr>
            </w:pPr>
          </w:p>
        </w:tc>
        <w:tc>
          <w:tcPr>
            <w:tcW w:w="80" w:type="dxa"/>
            <w:vAlign w:val="bottom"/>
            <w:tcBorders>
              <w:bottom w:val="single" w:sz="8" w:color="00C08A"/>
            </w:tcBorders>
            <w:shd w:val="clear" w:color="auto" w:fill="CCEEFF"/>
          </w:tcPr>
          <w:p>
            <w:pPr>
              <w:spacing w:after="0"/>
              <w:rPr>
                <w:sz w:val="10"/>
                <w:szCs w:val="10"/>
                <w:color w:val="auto"/>
              </w:rPr>
            </w:pPr>
          </w:p>
        </w:tc>
        <w:tc>
          <w:tcPr>
            <w:tcW w:w="20" w:type="dxa"/>
            <w:vAlign w:val="bottom"/>
            <w:tcBorders>
              <w:bottom w:val="single" w:sz="8" w:color="00C08A"/>
            </w:tcBorders>
            <w:shd w:val="clear" w:color="auto" w:fill="CCEEFF"/>
          </w:tcPr>
          <w:p>
            <w:pPr>
              <w:spacing w:after="0"/>
              <w:rPr>
                <w:sz w:val="10"/>
                <w:szCs w:val="10"/>
                <w:color w:val="auto"/>
              </w:rPr>
            </w:pPr>
          </w:p>
        </w:tc>
        <w:tc>
          <w:tcPr>
            <w:tcW w:w="520" w:type="dxa"/>
            <w:vAlign w:val="bottom"/>
            <w:tcBorders>
              <w:bottom w:val="single" w:sz="8" w:color="00C08A"/>
            </w:tcBorders>
            <w:shd w:val="clear" w:color="auto" w:fill="CCEEFF"/>
          </w:tcPr>
          <w:p>
            <w:pPr>
              <w:spacing w:after="0"/>
              <w:rPr>
                <w:sz w:val="10"/>
                <w:szCs w:val="10"/>
                <w:color w:val="auto"/>
              </w:rPr>
            </w:pPr>
          </w:p>
        </w:tc>
        <w:tc>
          <w:tcPr>
            <w:tcW w:w="340" w:type="dxa"/>
            <w:vAlign w:val="bottom"/>
            <w:tcBorders>
              <w:bottom w:val="single" w:sz="8" w:color="00C08A"/>
            </w:tcBorders>
            <w:shd w:val="clear" w:color="auto" w:fill="CCEEFF"/>
          </w:tcPr>
          <w:p>
            <w:pPr>
              <w:spacing w:after="0"/>
              <w:rPr>
                <w:sz w:val="10"/>
                <w:szCs w:val="10"/>
                <w:color w:val="auto"/>
              </w:rPr>
            </w:pPr>
          </w:p>
        </w:tc>
        <w:tc>
          <w:tcPr>
            <w:tcW w:w="260" w:type="dxa"/>
            <w:vAlign w:val="bottom"/>
            <w:tcBorders>
              <w:bottom w:val="single" w:sz="8" w:color="00C08A"/>
            </w:tcBorders>
            <w:shd w:val="clear" w:color="auto" w:fill="CCEEFF"/>
          </w:tcPr>
          <w:p>
            <w:pPr>
              <w:spacing w:after="0"/>
              <w:rPr>
                <w:sz w:val="10"/>
                <w:szCs w:val="10"/>
                <w:color w:val="auto"/>
              </w:rPr>
            </w:pPr>
          </w:p>
        </w:tc>
        <w:tc>
          <w:tcPr>
            <w:tcW w:w="940" w:type="dxa"/>
            <w:vAlign w:val="bottom"/>
            <w:tcBorders>
              <w:bottom w:val="single" w:sz="8" w:color="00C08A"/>
            </w:tcBorders>
            <w:shd w:val="clear" w:color="auto" w:fill="CCEEFF"/>
          </w:tcPr>
          <w:p>
            <w:pPr>
              <w:spacing w:after="0"/>
              <w:rPr>
                <w:sz w:val="10"/>
                <w:szCs w:val="10"/>
                <w:color w:val="auto"/>
              </w:rPr>
            </w:pPr>
          </w:p>
        </w:tc>
        <w:tc>
          <w:tcPr>
            <w:tcW w:w="220" w:type="dxa"/>
            <w:vAlign w:val="bottom"/>
            <w:tcBorders>
              <w:bottom w:val="single" w:sz="8" w:color="00C08A"/>
            </w:tcBorders>
            <w:shd w:val="clear" w:color="auto" w:fill="CCEEFF"/>
          </w:tcPr>
          <w:p>
            <w:pPr>
              <w:spacing w:after="0"/>
              <w:rPr>
                <w:sz w:val="10"/>
                <w:szCs w:val="10"/>
                <w:color w:val="auto"/>
              </w:rPr>
            </w:pPr>
          </w:p>
        </w:tc>
        <w:tc>
          <w:tcPr>
            <w:tcW w:w="620" w:type="dxa"/>
            <w:vAlign w:val="bottom"/>
            <w:tcBorders>
              <w:bottom w:val="single" w:sz="8" w:color="00C08A"/>
            </w:tcBorders>
            <w:shd w:val="clear" w:color="auto" w:fill="CCEEFF"/>
          </w:tcPr>
          <w:p>
            <w:pPr>
              <w:spacing w:after="0"/>
              <w:rPr>
                <w:sz w:val="10"/>
                <w:szCs w:val="10"/>
                <w:color w:val="auto"/>
              </w:rPr>
            </w:pPr>
          </w:p>
        </w:tc>
        <w:tc>
          <w:tcPr>
            <w:tcW w:w="220" w:type="dxa"/>
            <w:vAlign w:val="bottom"/>
            <w:tcBorders>
              <w:bottom w:val="single" w:sz="8" w:color="00C08A"/>
            </w:tcBorders>
            <w:shd w:val="clear" w:color="auto" w:fill="CCEEFF"/>
          </w:tcPr>
          <w:p>
            <w:pPr>
              <w:spacing w:after="0"/>
              <w:rPr>
                <w:sz w:val="10"/>
                <w:szCs w:val="10"/>
                <w:color w:val="auto"/>
              </w:rPr>
            </w:pPr>
          </w:p>
        </w:tc>
        <w:tc>
          <w:tcPr>
            <w:tcW w:w="720" w:type="dxa"/>
            <w:vAlign w:val="bottom"/>
            <w:tcBorders>
              <w:bottom w:val="single" w:sz="8" w:color="00C08A"/>
            </w:tcBorders>
            <w:shd w:val="clear" w:color="auto" w:fill="CCEEFF"/>
          </w:tcPr>
          <w:p>
            <w:pPr>
              <w:spacing w:after="0"/>
              <w:rPr>
                <w:sz w:val="10"/>
                <w:szCs w:val="10"/>
                <w:color w:val="auto"/>
              </w:rPr>
            </w:pPr>
          </w:p>
        </w:tc>
        <w:tc>
          <w:tcPr>
            <w:tcW w:w="20" w:type="dxa"/>
            <w:vAlign w:val="bottom"/>
            <w:tcBorders>
              <w:bottom w:val="single" w:sz="8" w:color="00C08A"/>
            </w:tcBorders>
            <w:shd w:val="clear" w:color="auto" w:fill="CCEEFF"/>
          </w:tcPr>
          <w:p>
            <w:pPr>
              <w:spacing w:after="0"/>
              <w:rPr>
                <w:sz w:val="10"/>
                <w:szCs w:val="10"/>
                <w:color w:val="auto"/>
              </w:rPr>
            </w:pPr>
          </w:p>
        </w:tc>
        <w:tc>
          <w:tcPr>
            <w:tcW w:w="220" w:type="dxa"/>
            <w:vAlign w:val="bottom"/>
            <w:tcBorders>
              <w:bottom w:val="single" w:sz="8" w:color="00C08A"/>
            </w:tcBorders>
            <w:shd w:val="clear" w:color="auto" w:fill="CCEEFF"/>
          </w:tcPr>
          <w:p>
            <w:pPr>
              <w:spacing w:after="0"/>
              <w:rPr>
                <w:sz w:val="10"/>
                <w:szCs w:val="10"/>
                <w:color w:val="auto"/>
              </w:rPr>
            </w:pPr>
          </w:p>
        </w:tc>
        <w:tc>
          <w:tcPr>
            <w:tcW w:w="1000" w:type="dxa"/>
            <w:vAlign w:val="bottom"/>
            <w:tcBorders>
              <w:bottom w:val="single" w:sz="8" w:color="00C08A"/>
            </w:tcBorders>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 24,391(4)</w:t>
            </w:r>
          </w:p>
        </w:tc>
        <w:tc>
          <w:tcPr>
            <w:tcW w:w="420" w:type="dxa"/>
            <w:vAlign w:val="bottom"/>
            <w:tcBorders>
              <w:bottom w:val="single" w:sz="8" w:color="00C08A"/>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00C08A"/>
              <w:right w:val="single" w:sz="8" w:color="CCEEFF"/>
            </w:tcBorders>
            <w:vMerge w:val="continue"/>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Stephen Cavoli</w:t>
            </w:r>
          </w:p>
        </w:tc>
        <w:tc>
          <w:tcPr>
            <w:tcW w:w="760" w:type="dxa"/>
            <w:vAlign w:val="bottom"/>
            <w:gridSpan w:val="2"/>
          </w:tcPr>
          <w:p>
            <w:pPr>
              <w:ind w:left="620"/>
              <w:spacing w:after="0" w:line="143" w:lineRule="exact"/>
              <w:rPr>
                <w:sz w:val="20"/>
                <w:szCs w:val="20"/>
                <w:color w:val="auto"/>
              </w:rPr>
            </w:pPr>
            <w:r>
              <w:rPr>
                <w:rFonts w:ascii="Arial" w:cs="Arial" w:eastAsia="Arial" w:hAnsi="Arial"/>
                <w:sz w:val="16"/>
                <w:szCs w:val="16"/>
                <w:color w:val="auto"/>
              </w:rPr>
              <w:t>​ ​</w:t>
            </w:r>
          </w:p>
        </w:tc>
        <w:tc>
          <w:tcPr>
            <w:tcW w:w="20" w:type="dxa"/>
            <w:vAlign w:val="bottom"/>
          </w:tcPr>
          <w:p>
            <w:pPr>
              <w:spacing w:after="0"/>
              <w:rPr>
                <w:sz w:val="12"/>
                <w:szCs w:val="12"/>
                <w:color w:val="auto"/>
              </w:rPr>
            </w:pPr>
          </w:p>
        </w:tc>
        <w:tc>
          <w:tcPr>
            <w:tcW w:w="520" w:type="dxa"/>
            <w:vAlign w:val="bottom"/>
          </w:tcPr>
          <w:p>
            <w:pPr>
              <w:ind w:left="340"/>
              <w:spacing w:after="0" w:line="143"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2"/>
                <w:szCs w:val="12"/>
                <w:color w:val="auto"/>
              </w:rPr>
            </w:pPr>
          </w:p>
        </w:tc>
        <w:tc>
          <w:tcPr>
            <w:tcW w:w="260" w:type="dxa"/>
            <w:vAlign w:val="bottom"/>
          </w:tcPr>
          <w:p>
            <w:pPr>
              <w:jc w:val="right"/>
              <w:spacing w:after="0" w:line="143" w:lineRule="exact"/>
              <w:rPr>
                <w:sz w:val="20"/>
                <w:szCs w:val="20"/>
                <w:color w:val="auto"/>
              </w:rPr>
            </w:pPr>
            <w:r>
              <w:rPr>
                <w:rFonts w:ascii="Arial" w:cs="Arial" w:eastAsia="Arial" w:hAnsi="Arial"/>
                <w:sz w:val="16"/>
                <w:szCs w:val="16"/>
                <w:color w:val="auto"/>
              </w:rPr>
              <w:t>​​ ​</w:t>
            </w:r>
          </w:p>
        </w:tc>
        <w:tc>
          <w:tcPr>
            <w:tcW w:w="940" w:type="dxa"/>
            <w:vAlign w:val="bottom"/>
          </w:tcPr>
          <w:p>
            <w:pPr>
              <w:ind w:left="360"/>
              <w:spacing w:after="0" w:line="14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3"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3" w:lineRule="exact"/>
              <w:rPr>
                <w:sz w:val="20"/>
                <w:szCs w:val="20"/>
                <w:color w:val="auto"/>
              </w:rPr>
            </w:pPr>
            <w:r>
              <w:rPr>
                <w:rFonts w:ascii="Arial" w:cs="Arial" w:eastAsia="Arial" w:hAnsi="Arial"/>
                <w:sz w:val="16"/>
                <w:szCs w:val="16"/>
                <w:color w:val="auto"/>
              </w:rPr>
              <w:t>​​ ​</w:t>
            </w:r>
          </w:p>
        </w:tc>
        <w:tc>
          <w:tcPr>
            <w:tcW w:w="720" w:type="dxa"/>
            <w:vAlign w:val="bottom"/>
          </w:tcPr>
          <w:p>
            <w:pPr>
              <w:ind w:left="260"/>
              <w:spacing w:after="0" w:line="143" w:lineRule="exact"/>
              <w:rPr>
                <w:sz w:val="20"/>
                <w:szCs w:val="20"/>
                <w:color w:val="auto"/>
              </w:rPr>
            </w:pPr>
            <w:r>
              <w:rPr>
                <w:rFonts w:ascii="Arial" w:cs="Arial" w:eastAsia="Arial" w:hAnsi="Arial"/>
                <w:sz w:val="16"/>
                <w:szCs w:val="16"/>
                <w:color w:val="auto"/>
              </w:rPr>
              <w:t>​</w:t>
            </w:r>
          </w:p>
        </w:tc>
        <w:tc>
          <w:tcPr>
            <w:tcW w:w="360" w:type="dxa"/>
            <w:vAlign w:val="bottom"/>
            <w:gridSpan w:val="3"/>
          </w:tcPr>
          <w:p>
            <w:pPr>
              <w:jc w:val="right"/>
              <w:spacing w:after="0" w:line="143" w:lineRule="exact"/>
              <w:rPr>
                <w:sz w:val="20"/>
                <w:szCs w:val="20"/>
                <w:color w:val="auto"/>
              </w:rPr>
            </w:pPr>
            <w:r>
              <w:rPr>
                <w:rFonts w:ascii="Arial" w:cs="Arial" w:eastAsia="Arial" w:hAnsi="Arial"/>
                <w:sz w:val="16"/>
                <w:szCs w:val="16"/>
                <w:color w:val="auto"/>
              </w:rPr>
              <w:t>​​ ​ ​</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9,970(2)</w:t>
            </w:r>
          </w:p>
        </w:tc>
        <w:tc>
          <w:tcPr>
            <w:tcW w:w="420" w:type="dxa"/>
            <w:vAlign w:val="bottom"/>
          </w:tcPr>
          <w:p>
            <w:pPr>
              <w:jc w:val="right"/>
              <w:spacing w:after="0" w:line="143" w:lineRule="exact"/>
              <w:rPr>
                <w:sz w:val="20"/>
                <w:szCs w:val="20"/>
                <w:color w:val="auto"/>
              </w:rPr>
            </w:pPr>
            <w:r>
              <w:rPr>
                <w:rFonts w:ascii="Arial" w:cs="Arial" w:eastAsia="Arial" w:hAnsi="Arial"/>
                <w:sz w:val="16"/>
                <w:szCs w:val="16"/>
                <w:color w:val="auto"/>
              </w:rPr>
              <w:t>​​ ​  ​</w:t>
            </w:r>
          </w:p>
        </w:tc>
        <w:tc>
          <w:tcPr>
            <w:tcW w:w="900" w:type="dxa"/>
            <w:vAlign w:val="bottom"/>
            <w:vMerge w:val="restart"/>
          </w:tcPr>
          <w:p>
            <w:pPr>
              <w:jc w:val="right"/>
              <w:ind w:right="54"/>
              <w:spacing w:after="0"/>
              <w:rPr>
                <w:sz w:val="20"/>
                <w:szCs w:val="20"/>
                <w:color w:val="auto"/>
              </w:rPr>
            </w:pPr>
            <w:r>
              <w:rPr>
                <w:rFonts w:ascii="Arial" w:cs="Arial" w:eastAsia="Arial" w:hAnsi="Arial"/>
                <w:sz w:val="18"/>
                <w:szCs w:val="18"/>
                <w:color w:val="auto"/>
              </w:rPr>
              <w:t>203,488</w:t>
            </w:r>
          </w:p>
        </w:tc>
        <w:tc>
          <w:tcPr>
            <w:tcW w:w="60" w:type="dxa"/>
            <w:vAlign w:val="bottom"/>
          </w:tcPr>
          <w:p>
            <w:pPr>
              <w:jc w:val="right"/>
              <w:spacing w:after="0" w:line="14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2"/>
          </w:tcPr>
          <w:p>
            <w:pPr>
              <w:ind w:left="340"/>
              <w:spacing w:after="0" w:line="10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9"/>
                <w:szCs w:val="9"/>
                <w:color w:val="auto"/>
              </w:rPr>
            </w:pPr>
          </w:p>
        </w:tc>
        <w:tc>
          <w:tcPr>
            <w:tcW w:w="940" w:type="dxa"/>
            <w:vAlign w:val="bottom"/>
          </w:tcPr>
          <w:p>
            <w:pPr>
              <w:ind w:left="360"/>
              <w:spacing w:after="0" w:line="107"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620" w:type="dxa"/>
            <w:vAlign w:val="bottom"/>
          </w:tcPr>
          <w:p>
            <w:pPr>
              <w:ind w:left="220"/>
              <w:spacing w:after="0" w:line="107"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720" w:type="dxa"/>
            <w:vAlign w:val="bottom"/>
          </w:tcPr>
          <w:p>
            <w:pPr>
              <w:ind w:left="280"/>
              <w:spacing w:after="0" w:line="10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jc w:val="right"/>
              <w:spacing w:after="0" w:line="107" w:lineRule="exact"/>
              <w:rPr>
                <w:sz w:val="20"/>
                <w:szCs w:val="20"/>
                <w:color w:val="auto"/>
              </w:rPr>
            </w:pPr>
            <w:r>
              <w:rPr>
                <w:rFonts w:ascii="Arial" w:cs="Arial" w:eastAsia="Arial" w:hAnsi="Arial"/>
                <w:sz w:val="12"/>
                <w:szCs w:val="12"/>
                <w:color w:val="auto"/>
              </w:rPr>
              <w:t>​</w:t>
            </w:r>
          </w:p>
        </w:tc>
        <w:tc>
          <w:tcPr>
            <w:tcW w:w="880" w:type="dxa"/>
            <w:vAlign w:val="bottom"/>
            <w:vMerge w:val="continue"/>
          </w:tcPr>
          <w:p>
            <w:pPr>
              <w:spacing w:after="0"/>
              <w:rPr>
                <w:sz w:val="9"/>
                <w:szCs w:val="9"/>
                <w:color w:val="auto"/>
              </w:rPr>
            </w:pPr>
          </w:p>
        </w:tc>
        <w:tc>
          <w:tcPr>
            <w:tcW w:w="420" w:type="dxa"/>
            <w:vAlign w:val="bottom"/>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gridSpan w:val="2"/>
          </w:tcPr>
          <w:p>
            <w:pPr>
              <w:ind w:left="40"/>
              <w:spacing w:after="0" w:line="16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tcPr>
          <w:p>
            <w:pPr>
              <w:spacing w:after="0"/>
              <w:rPr>
                <w:sz w:val="14"/>
                <w:szCs w:val="14"/>
                <w:color w:val="auto"/>
              </w:rPr>
            </w:pPr>
          </w:p>
        </w:tc>
        <w:tc>
          <w:tcPr>
            <w:tcW w:w="420" w:type="dxa"/>
            <w:vAlign w:val="bottom"/>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right"/>
              <w:spacing w:after="0" w:line="107" w:lineRule="exact"/>
              <w:rPr>
                <w:sz w:val="20"/>
                <w:szCs w:val="20"/>
                <w:color w:val="auto"/>
              </w:rPr>
            </w:pPr>
            <w:r>
              <w:rPr>
                <w:rFonts w:ascii="Arial" w:cs="Arial" w:eastAsia="Arial" w:hAnsi="Arial"/>
                <w:sz w:val="12"/>
                <w:szCs w:val="12"/>
                <w:color w:val="auto"/>
              </w:rPr>
              <w:t>​ 50,000(7)</w:t>
            </w:r>
          </w:p>
        </w:tc>
        <w:tc>
          <w:tcPr>
            <w:tcW w:w="1320" w:type="dxa"/>
            <w:vAlign w:val="bottom"/>
            <w:gridSpan w:val="2"/>
          </w:tcPr>
          <w:p>
            <w:pPr>
              <w:jc w:val="right"/>
              <w:ind w:right="54"/>
              <w:spacing w:after="0" w:line="107" w:lineRule="exact"/>
              <w:rPr>
                <w:sz w:val="20"/>
                <w:szCs w:val="20"/>
                <w:color w:val="auto"/>
              </w:rPr>
            </w:pPr>
            <w:r>
              <w:rPr>
                <w:rFonts w:ascii="Arial" w:cs="Arial" w:eastAsia="Arial" w:hAnsi="Arial"/>
                <w:sz w:val="12"/>
                <w:szCs w:val="12"/>
                <w:color w:val="auto"/>
              </w:rPr>
              <w:t>​1,020,500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gridSpan w:val="2"/>
          </w:tcPr>
          <w:p>
            <w:pPr>
              <w:ind w:left="40"/>
              <w:spacing w:after="0" w:line="16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tcPr>
          <w:p>
            <w:pPr>
              <w:spacing w:after="0"/>
              <w:rPr>
                <w:sz w:val="14"/>
                <w:szCs w:val="14"/>
                <w:color w:val="auto"/>
              </w:rPr>
            </w:pPr>
          </w:p>
        </w:tc>
        <w:tc>
          <w:tcPr>
            <w:tcW w:w="420" w:type="dxa"/>
            <w:vAlign w:val="bottom"/>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vMerge w:val="restart"/>
          </w:tcPr>
          <w:p>
            <w:pPr>
              <w:jc w:val="right"/>
              <w:ind w:right="54"/>
              <w:spacing w:after="0"/>
              <w:rPr>
                <w:sz w:val="20"/>
                <w:szCs w:val="20"/>
                <w:color w:val="auto"/>
              </w:rPr>
            </w:pPr>
            <w:r>
              <w:rPr>
                <w:rFonts w:ascii="Arial" w:cs="Arial" w:eastAsia="Arial" w:hAnsi="Arial"/>
                <w:sz w:val="18"/>
                <w:szCs w:val="18"/>
                <w:color w:val="auto"/>
              </w:rPr>
              <w:t>346,950</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right"/>
              <w:spacing w:after="0" w:line="107" w:lineRule="exact"/>
              <w:rPr>
                <w:sz w:val="20"/>
                <w:szCs w:val="20"/>
                <w:color w:val="auto"/>
              </w:rPr>
            </w:pPr>
            <w:r>
              <w:rPr>
                <w:rFonts w:ascii="Arial" w:cs="Arial" w:eastAsia="Arial" w:hAnsi="Arial"/>
                <w:sz w:val="12"/>
                <w:szCs w:val="12"/>
                <w:color w:val="auto"/>
              </w:rPr>
              <w:t>​ 16,999(3)</w:t>
            </w:r>
          </w:p>
        </w:tc>
        <w:tc>
          <w:tcPr>
            <w:tcW w:w="420" w:type="dxa"/>
            <w:vAlign w:val="bottom"/>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gridSpan w:val="2"/>
          </w:tcPr>
          <w:p>
            <w:pPr>
              <w:ind w:left="40"/>
              <w:spacing w:after="0" w:line="16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tcPr>
          <w:p>
            <w:pPr>
              <w:spacing w:after="0"/>
              <w:rPr>
                <w:sz w:val="14"/>
                <w:szCs w:val="14"/>
                <w:color w:val="auto"/>
              </w:rPr>
            </w:pPr>
          </w:p>
        </w:tc>
        <w:tc>
          <w:tcPr>
            <w:tcW w:w="420" w:type="dxa"/>
            <w:vAlign w:val="bottom"/>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vMerge w:val="restart"/>
          </w:tcPr>
          <w:p>
            <w:pPr>
              <w:jc w:val="right"/>
              <w:ind w:right="54"/>
              <w:spacing w:after="0"/>
              <w:rPr>
                <w:sz w:val="20"/>
                <w:szCs w:val="20"/>
                <w:color w:val="auto"/>
              </w:rPr>
            </w:pPr>
            <w:r>
              <w:rPr>
                <w:rFonts w:ascii="Arial" w:cs="Arial" w:eastAsia="Arial" w:hAnsi="Arial"/>
                <w:sz w:val="18"/>
                <w:szCs w:val="18"/>
                <w:color w:val="auto"/>
              </w:rPr>
              <w:t>497,820</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2000" w:type="dxa"/>
            <w:vAlign w:val="bottom"/>
            <w:tcBorders>
              <w:bottom w:val="single" w:sz="8" w:color="00C08A"/>
            </w:tcBorders>
          </w:tcPr>
          <w:p>
            <w:pPr>
              <w:spacing w:after="0"/>
              <w:rPr>
                <w:sz w:val="10"/>
                <w:szCs w:val="10"/>
                <w:color w:val="auto"/>
              </w:rPr>
            </w:pPr>
          </w:p>
        </w:tc>
        <w:tc>
          <w:tcPr>
            <w:tcW w:w="680" w:type="dxa"/>
            <w:vAlign w:val="bottom"/>
            <w:tcBorders>
              <w:bottom w:val="single" w:sz="8" w:color="00C08A"/>
            </w:tcBorders>
          </w:tcPr>
          <w:p>
            <w:pPr>
              <w:spacing w:after="0"/>
              <w:rPr>
                <w:sz w:val="10"/>
                <w:szCs w:val="10"/>
                <w:color w:val="auto"/>
              </w:rPr>
            </w:pPr>
          </w:p>
        </w:tc>
        <w:tc>
          <w:tcPr>
            <w:tcW w:w="80" w:type="dxa"/>
            <w:vAlign w:val="bottom"/>
            <w:tcBorders>
              <w:bottom w:val="single" w:sz="8" w:color="00C08A"/>
            </w:tcBorders>
          </w:tcPr>
          <w:p>
            <w:pPr>
              <w:spacing w:after="0"/>
              <w:rPr>
                <w:sz w:val="10"/>
                <w:szCs w:val="10"/>
                <w:color w:val="auto"/>
              </w:rPr>
            </w:pPr>
          </w:p>
        </w:tc>
        <w:tc>
          <w:tcPr>
            <w:tcW w:w="20" w:type="dxa"/>
            <w:vAlign w:val="bottom"/>
            <w:tcBorders>
              <w:bottom w:val="single" w:sz="8" w:color="00C08A"/>
            </w:tcBorders>
          </w:tcPr>
          <w:p>
            <w:pPr>
              <w:spacing w:after="0"/>
              <w:rPr>
                <w:sz w:val="10"/>
                <w:szCs w:val="10"/>
                <w:color w:val="auto"/>
              </w:rPr>
            </w:pPr>
          </w:p>
        </w:tc>
        <w:tc>
          <w:tcPr>
            <w:tcW w:w="520" w:type="dxa"/>
            <w:vAlign w:val="bottom"/>
            <w:tcBorders>
              <w:bottom w:val="single" w:sz="8" w:color="00C08A"/>
            </w:tcBorders>
          </w:tcPr>
          <w:p>
            <w:pPr>
              <w:spacing w:after="0"/>
              <w:rPr>
                <w:sz w:val="10"/>
                <w:szCs w:val="10"/>
                <w:color w:val="auto"/>
              </w:rPr>
            </w:pPr>
          </w:p>
        </w:tc>
        <w:tc>
          <w:tcPr>
            <w:tcW w:w="340" w:type="dxa"/>
            <w:vAlign w:val="bottom"/>
            <w:tcBorders>
              <w:bottom w:val="single" w:sz="8" w:color="00C08A"/>
            </w:tcBorders>
          </w:tcPr>
          <w:p>
            <w:pPr>
              <w:spacing w:after="0"/>
              <w:rPr>
                <w:sz w:val="10"/>
                <w:szCs w:val="10"/>
                <w:color w:val="auto"/>
              </w:rPr>
            </w:pPr>
          </w:p>
        </w:tc>
        <w:tc>
          <w:tcPr>
            <w:tcW w:w="260" w:type="dxa"/>
            <w:vAlign w:val="bottom"/>
            <w:tcBorders>
              <w:bottom w:val="single" w:sz="8" w:color="00C08A"/>
            </w:tcBorders>
          </w:tcPr>
          <w:p>
            <w:pPr>
              <w:spacing w:after="0"/>
              <w:rPr>
                <w:sz w:val="10"/>
                <w:szCs w:val="10"/>
                <w:color w:val="auto"/>
              </w:rPr>
            </w:pPr>
          </w:p>
        </w:tc>
        <w:tc>
          <w:tcPr>
            <w:tcW w:w="940" w:type="dxa"/>
            <w:vAlign w:val="bottom"/>
            <w:tcBorders>
              <w:bottom w:val="single" w:sz="8" w:color="00C08A"/>
            </w:tcBorders>
          </w:tcPr>
          <w:p>
            <w:pPr>
              <w:spacing w:after="0"/>
              <w:rPr>
                <w:sz w:val="10"/>
                <w:szCs w:val="10"/>
                <w:color w:val="auto"/>
              </w:rPr>
            </w:pPr>
          </w:p>
        </w:tc>
        <w:tc>
          <w:tcPr>
            <w:tcW w:w="220" w:type="dxa"/>
            <w:vAlign w:val="bottom"/>
            <w:tcBorders>
              <w:bottom w:val="single" w:sz="8" w:color="00C08A"/>
            </w:tcBorders>
          </w:tcPr>
          <w:p>
            <w:pPr>
              <w:spacing w:after="0"/>
              <w:rPr>
                <w:sz w:val="10"/>
                <w:szCs w:val="10"/>
                <w:color w:val="auto"/>
              </w:rPr>
            </w:pPr>
          </w:p>
        </w:tc>
        <w:tc>
          <w:tcPr>
            <w:tcW w:w="620" w:type="dxa"/>
            <w:vAlign w:val="bottom"/>
            <w:tcBorders>
              <w:bottom w:val="single" w:sz="8" w:color="00C08A"/>
            </w:tcBorders>
          </w:tcPr>
          <w:p>
            <w:pPr>
              <w:spacing w:after="0"/>
              <w:rPr>
                <w:sz w:val="10"/>
                <w:szCs w:val="10"/>
                <w:color w:val="auto"/>
              </w:rPr>
            </w:pPr>
          </w:p>
        </w:tc>
        <w:tc>
          <w:tcPr>
            <w:tcW w:w="220" w:type="dxa"/>
            <w:vAlign w:val="bottom"/>
            <w:tcBorders>
              <w:bottom w:val="single" w:sz="8" w:color="00C08A"/>
            </w:tcBorders>
          </w:tcPr>
          <w:p>
            <w:pPr>
              <w:spacing w:after="0"/>
              <w:rPr>
                <w:sz w:val="10"/>
                <w:szCs w:val="10"/>
                <w:color w:val="auto"/>
              </w:rPr>
            </w:pPr>
          </w:p>
        </w:tc>
        <w:tc>
          <w:tcPr>
            <w:tcW w:w="720" w:type="dxa"/>
            <w:vAlign w:val="bottom"/>
            <w:tcBorders>
              <w:bottom w:val="single" w:sz="8" w:color="00C08A"/>
            </w:tcBorders>
          </w:tcPr>
          <w:p>
            <w:pPr>
              <w:spacing w:after="0"/>
              <w:rPr>
                <w:sz w:val="10"/>
                <w:szCs w:val="10"/>
                <w:color w:val="auto"/>
              </w:rPr>
            </w:pPr>
          </w:p>
        </w:tc>
        <w:tc>
          <w:tcPr>
            <w:tcW w:w="20" w:type="dxa"/>
            <w:vAlign w:val="bottom"/>
            <w:tcBorders>
              <w:bottom w:val="single" w:sz="8" w:color="00C08A"/>
            </w:tcBorders>
          </w:tcPr>
          <w:p>
            <w:pPr>
              <w:spacing w:after="0"/>
              <w:rPr>
                <w:sz w:val="10"/>
                <w:szCs w:val="10"/>
                <w:color w:val="auto"/>
              </w:rPr>
            </w:pPr>
          </w:p>
        </w:tc>
        <w:tc>
          <w:tcPr>
            <w:tcW w:w="220" w:type="dxa"/>
            <w:vAlign w:val="bottom"/>
            <w:tcBorders>
              <w:bottom w:val="single" w:sz="8" w:color="00C08A"/>
            </w:tcBorders>
          </w:tcPr>
          <w:p>
            <w:pPr>
              <w:spacing w:after="0"/>
              <w:rPr>
                <w:sz w:val="10"/>
                <w:szCs w:val="10"/>
                <w:color w:val="auto"/>
              </w:rPr>
            </w:pPr>
          </w:p>
        </w:tc>
        <w:tc>
          <w:tcPr>
            <w:tcW w:w="1000" w:type="dxa"/>
            <w:vAlign w:val="bottom"/>
            <w:tcBorders>
              <w:bottom w:val="single" w:sz="8" w:color="00C08A"/>
            </w:tcBorders>
            <w:gridSpan w:val="2"/>
          </w:tcPr>
          <w:p>
            <w:pPr>
              <w:jc w:val="right"/>
              <w:spacing w:after="0" w:line="121" w:lineRule="exact"/>
              <w:rPr>
                <w:sz w:val="20"/>
                <w:szCs w:val="20"/>
                <w:color w:val="auto"/>
              </w:rPr>
            </w:pPr>
            <w:r>
              <w:rPr>
                <w:rFonts w:ascii="Arial" w:cs="Arial" w:eastAsia="Arial" w:hAnsi="Arial"/>
                <w:sz w:val="13"/>
                <w:szCs w:val="13"/>
                <w:color w:val="auto"/>
              </w:rPr>
              <w:t>​ 24,391(4)</w:t>
            </w:r>
          </w:p>
        </w:tc>
        <w:tc>
          <w:tcPr>
            <w:tcW w:w="420" w:type="dxa"/>
            <w:vAlign w:val="bottom"/>
            <w:tcBorders>
              <w:bottom w:val="single" w:sz="8" w:color="00C08A"/>
            </w:tcBorders>
          </w:tcPr>
          <w:p>
            <w:pPr>
              <w:jc w:val="right"/>
              <w:spacing w:after="0" w:line="121"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00C08A"/>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Sean P. Galvin</w:t>
            </w:r>
          </w:p>
        </w:tc>
        <w:tc>
          <w:tcPr>
            <w:tcW w:w="680" w:type="dxa"/>
            <w:vAlign w:val="bottom"/>
            <w:shd w:val="clear" w:color="auto" w:fill="CCEEFF"/>
          </w:tcPr>
          <w:p>
            <w:pPr>
              <w:ind w:left="620"/>
              <w:spacing w:after="0" w:line="143"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ind w:left="40"/>
              <w:spacing w:after="0" w:line="143"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0"/>
              <w:spacing w:after="0" w:line="143"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w:t>
            </w:r>
          </w:p>
        </w:tc>
        <w:tc>
          <w:tcPr>
            <w:tcW w:w="620" w:type="dxa"/>
            <w:vAlign w:val="bottom"/>
            <w:shd w:val="clear" w:color="auto" w:fill="CCEEFF"/>
          </w:tcPr>
          <w:p>
            <w:pPr>
              <w:ind w:left="220"/>
              <w:spacing w:after="0" w:line="143"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w:t>
            </w:r>
          </w:p>
        </w:tc>
        <w:tc>
          <w:tcPr>
            <w:tcW w:w="720" w:type="dxa"/>
            <w:vAlign w:val="bottom"/>
            <w:shd w:val="clear" w:color="auto" w:fill="CCEEFF"/>
          </w:tcPr>
          <w:p>
            <w:pPr>
              <w:ind w:left="260"/>
              <w:spacing w:after="0" w:line="143" w:lineRule="exact"/>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6"/>
                <w:szCs w:val="16"/>
                <w:color w:val="auto"/>
              </w:rPr>
              <w:t>​​ ​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4,412(6)</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6"/>
                <w:szCs w:val="16"/>
                <w:color w:val="auto"/>
              </w:rPr>
              <w:t>​​ ​  ​</w:t>
            </w:r>
          </w:p>
        </w:tc>
        <w:tc>
          <w:tcPr>
            <w:tcW w:w="90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90,049</w:t>
            </w:r>
          </w:p>
        </w:tc>
        <w:tc>
          <w:tcPr>
            <w:tcW w:w="60" w:type="dxa"/>
            <w:vAlign w:val="bottom"/>
          </w:tcPr>
          <w:p>
            <w:pPr>
              <w:jc w:val="right"/>
              <w:spacing w:after="0" w:line="14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60" w:type="dxa"/>
            <w:vAlign w:val="bottom"/>
            <w:gridSpan w:val="2"/>
            <w:shd w:val="clear" w:color="auto" w:fill="CCEEFF"/>
          </w:tcPr>
          <w:p>
            <w:pPr>
              <w:ind w:left="340"/>
              <w:spacing w:after="0" w:line="10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ind w:left="360"/>
              <w:spacing w:after="0" w:line="107"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ind w:left="220"/>
              <w:spacing w:after="0" w:line="107"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ind w:left="280"/>
              <w:spacing w:after="0" w:line="10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w:t>
            </w:r>
          </w:p>
        </w:tc>
        <w:tc>
          <w:tcPr>
            <w:tcW w:w="88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tcBorders>
              <w:right w:val="single" w:sz="8" w:color="CCEEFF"/>
            </w:tcBorders>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ind w:left="40"/>
              <w:spacing w:after="0" w:line="16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7,024(4)</w:t>
            </w:r>
          </w:p>
        </w:tc>
        <w:tc>
          <w:tcPr>
            <w:tcW w:w="4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143,360</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20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w:t>
            </w:r>
          </w:p>
        </w:tc>
        <w:tc>
          <w:tcPr>
            <w:tcW w:w="88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2"/>
                <w:szCs w:val="12"/>
                <w:color w:val="auto"/>
              </w:rPr>
              <w:t>​</w:t>
            </w:r>
          </w:p>
        </w:tc>
        <w:tc>
          <w:tcPr>
            <w:tcW w:w="900" w:type="dxa"/>
            <w:vAlign w:val="bottom"/>
            <w:tcBorders>
              <w:right w:val="single" w:sz="8" w:color="CCEEFF"/>
            </w:tcBorders>
            <w:vMerge w:val="continue"/>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ind w:left="40"/>
              <w:spacing w:after="0" w:line="16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3"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918,450</w:t>
            </w:r>
          </w:p>
        </w:tc>
        <w:tc>
          <w:tcPr>
            <w:tcW w:w="60" w:type="dxa"/>
            <w:vAlign w:val="bottom"/>
          </w:tcPr>
          <w:p>
            <w:pPr>
              <w:jc w:val="right"/>
              <w:spacing w:after="0" w:line="16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5"/>
        </w:trPr>
        <w:tc>
          <w:tcPr>
            <w:tcW w:w="2000" w:type="dxa"/>
            <w:vAlign w:val="bottom"/>
            <w:tcBorders>
              <w:bottom w:val="single" w:sz="8" w:color="00C08A"/>
            </w:tcBorders>
            <w:shd w:val="clear" w:color="auto" w:fill="CCEEFF"/>
          </w:tcPr>
          <w:p>
            <w:pPr>
              <w:spacing w:after="0"/>
              <w:rPr>
                <w:sz w:val="11"/>
                <w:szCs w:val="11"/>
                <w:color w:val="auto"/>
              </w:rPr>
            </w:pPr>
          </w:p>
        </w:tc>
        <w:tc>
          <w:tcPr>
            <w:tcW w:w="680" w:type="dxa"/>
            <w:vAlign w:val="bottom"/>
            <w:tcBorders>
              <w:bottom w:val="single" w:sz="8" w:color="00C08A"/>
            </w:tcBorders>
            <w:shd w:val="clear" w:color="auto" w:fill="CCEEFF"/>
          </w:tcPr>
          <w:p>
            <w:pPr>
              <w:spacing w:after="0"/>
              <w:rPr>
                <w:sz w:val="11"/>
                <w:szCs w:val="11"/>
                <w:color w:val="auto"/>
              </w:rPr>
            </w:pPr>
          </w:p>
        </w:tc>
        <w:tc>
          <w:tcPr>
            <w:tcW w:w="80" w:type="dxa"/>
            <w:vAlign w:val="bottom"/>
            <w:tcBorders>
              <w:bottom w:val="single" w:sz="8" w:color="00C08A"/>
            </w:tcBorders>
            <w:shd w:val="clear" w:color="auto" w:fill="CCEEFF"/>
          </w:tcPr>
          <w:p>
            <w:pPr>
              <w:spacing w:after="0"/>
              <w:rPr>
                <w:sz w:val="11"/>
                <w:szCs w:val="11"/>
                <w:color w:val="auto"/>
              </w:rPr>
            </w:pPr>
          </w:p>
        </w:tc>
        <w:tc>
          <w:tcPr>
            <w:tcW w:w="20" w:type="dxa"/>
            <w:vAlign w:val="bottom"/>
            <w:tcBorders>
              <w:bottom w:val="single" w:sz="8" w:color="00C08A"/>
            </w:tcBorders>
            <w:shd w:val="clear" w:color="auto" w:fill="CCEEFF"/>
          </w:tcPr>
          <w:p>
            <w:pPr>
              <w:spacing w:after="0"/>
              <w:rPr>
                <w:sz w:val="11"/>
                <w:szCs w:val="11"/>
                <w:color w:val="auto"/>
              </w:rPr>
            </w:pPr>
          </w:p>
        </w:tc>
        <w:tc>
          <w:tcPr>
            <w:tcW w:w="520" w:type="dxa"/>
            <w:vAlign w:val="bottom"/>
            <w:tcBorders>
              <w:bottom w:val="single" w:sz="8" w:color="00C08A"/>
            </w:tcBorders>
            <w:shd w:val="clear" w:color="auto" w:fill="CCEEFF"/>
          </w:tcPr>
          <w:p>
            <w:pPr>
              <w:spacing w:after="0"/>
              <w:rPr>
                <w:sz w:val="11"/>
                <w:szCs w:val="11"/>
                <w:color w:val="auto"/>
              </w:rPr>
            </w:pPr>
          </w:p>
        </w:tc>
        <w:tc>
          <w:tcPr>
            <w:tcW w:w="340" w:type="dxa"/>
            <w:vAlign w:val="bottom"/>
            <w:tcBorders>
              <w:bottom w:val="single" w:sz="8" w:color="00C08A"/>
            </w:tcBorders>
            <w:shd w:val="clear" w:color="auto" w:fill="CCEEFF"/>
          </w:tcPr>
          <w:p>
            <w:pPr>
              <w:spacing w:after="0"/>
              <w:rPr>
                <w:sz w:val="11"/>
                <w:szCs w:val="11"/>
                <w:color w:val="auto"/>
              </w:rPr>
            </w:pPr>
          </w:p>
        </w:tc>
        <w:tc>
          <w:tcPr>
            <w:tcW w:w="260" w:type="dxa"/>
            <w:vAlign w:val="bottom"/>
            <w:tcBorders>
              <w:bottom w:val="single" w:sz="8" w:color="00C08A"/>
            </w:tcBorders>
            <w:shd w:val="clear" w:color="auto" w:fill="CCEEFF"/>
          </w:tcPr>
          <w:p>
            <w:pPr>
              <w:spacing w:after="0"/>
              <w:rPr>
                <w:sz w:val="11"/>
                <w:szCs w:val="11"/>
                <w:color w:val="auto"/>
              </w:rPr>
            </w:pPr>
          </w:p>
        </w:tc>
        <w:tc>
          <w:tcPr>
            <w:tcW w:w="940" w:type="dxa"/>
            <w:vAlign w:val="bottom"/>
            <w:tcBorders>
              <w:bottom w:val="single" w:sz="8" w:color="00C08A"/>
            </w:tcBorders>
            <w:shd w:val="clear" w:color="auto" w:fill="CCEEFF"/>
          </w:tcPr>
          <w:p>
            <w:pPr>
              <w:spacing w:after="0"/>
              <w:rPr>
                <w:sz w:val="11"/>
                <w:szCs w:val="11"/>
                <w:color w:val="auto"/>
              </w:rPr>
            </w:pPr>
          </w:p>
        </w:tc>
        <w:tc>
          <w:tcPr>
            <w:tcW w:w="220" w:type="dxa"/>
            <w:vAlign w:val="bottom"/>
            <w:tcBorders>
              <w:bottom w:val="single" w:sz="8" w:color="00C08A"/>
            </w:tcBorders>
            <w:shd w:val="clear" w:color="auto" w:fill="CCEEFF"/>
          </w:tcPr>
          <w:p>
            <w:pPr>
              <w:spacing w:after="0"/>
              <w:rPr>
                <w:sz w:val="11"/>
                <w:szCs w:val="11"/>
                <w:color w:val="auto"/>
              </w:rPr>
            </w:pPr>
          </w:p>
        </w:tc>
        <w:tc>
          <w:tcPr>
            <w:tcW w:w="620" w:type="dxa"/>
            <w:vAlign w:val="bottom"/>
            <w:tcBorders>
              <w:bottom w:val="single" w:sz="8" w:color="00C08A"/>
            </w:tcBorders>
            <w:shd w:val="clear" w:color="auto" w:fill="CCEEFF"/>
          </w:tcPr>
          <w:p>
            <w:pPr>
              <w:spacing w:after="0"/>
              <w:rPr>
                <w:sz w:val="11"/>
                <w:szCs w:val="11"/>
                <w:color w:val="auto"/>
              </w:rPr>
            </w:pPr>
          </w:p>
        </w:tc>
        <w:tc>
          <w:tcPr>
            <w:tcW w:w="220" w:type="dxa"/>
            <w:vAlign w:val="bottom"/>
            <w:tcBorders>
              <w:bottom w:val="single" w:sz="8" w:color="00C08A"/>
            </w:tcBorders>
            <w:shd w:val="clear" w:color="auto" w:fill="CCEEFF"/>
          </w:tcPr>
          <w:p>
            <w:pPr>
              <w:spacing w:after="0"/>
              <w:rPr>
                <w:sz w:val="11"/>
                <w:szCs w:val="11"/>
                <w:color w:val="auto"/>
              </w:rPr>
            </w:pPr>
          </w:p>
        </w:tc>
        <w:tc>
          <w:tcPr>
            <w:tcW w:w="720" w:type="dxa"/>
            <w:vAlign w:val="bottom"/>
            <w:tcBorders>
              <w:bottom w:val="single" w:sz="8" w:color="00C08A"/>
            </w:tcBorders>
            <w:shd w:val="clear" w:color="auto" w:fill="CCEEFF"/>
          </w:tcPr>
          <w:p>
            <w:pPr>
              <w:spacing w:after="0"/>
              <w:rPr>
                <w:sz w:val="11"/>
                <w:szCs w:val="11"/>
                <w:color w:val="auto"/>
              </w:rPr>
            </w:pPr>
          </w:p>
        </w:tc>
        <w:tc>
          <w:tcPr>
            <w:tcW w:w="20" w:type="dxa"/>
            <w:vAlign w:val="bottom"/>
            <w:tcBorders>
              <w:bottom w:val="single" w:sz="8" w:color="00C08A"/>
            </w:tcBorders>
            <w:shd w:val="clear" w:color="auto" w:fill="CCEEFF"/>
          </w:tcPr>
          <w:p>
            <w:pPr>
              <w:spacing w:after="0"/>
              <w:rPr>
                <w:sz w:val="11"/>
                <w:szCs w:val="11"/>
                <w:color w:val="auto"/>
              </w:rPr>
            </w:pPr>
          </w:p>
        </w:tc>
        <w:tc>
          <w:tcPr>
            <w:tcW w:w="220" w:type="dxa"/>
            <w:vAlign w:val="bottom"/>
            <w:tcBorders>
              <w:bottom w:val="single" w:sz="8" w:color="00C08A"/>
            </w:tcBorders>
            <w:shd w:val="clear" w:color="auto" w:fill="CCEEFF"/>
          </w:tcPr>
          <w:p>
            <w:pPr>
              <w:spacing w:after="0"/>
              <w:rPr>
                <w:sz w:val="11"/>
                <w:szCs w:val="11"/>
                <w:color w:val="auto"/>
              </w:rPr>
            </w:pPr>
          </w:p>
        </w:tc>
        <w:tc>
          <w:tcPr>
            <w:tcW w:w="1000" w:type="dxa"/>
            <w:vAlign w:val="bottom"/>
            <w:tcBorders>
              <w:bottom w:val="single" w:sz="8" w:color="00C08A"/>
            </w:tcBorders>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 45,000(4)</w:t>
            </w:r>
          </w:p>
        </w:tc>
        <w:tc>
          <w:tcPr>
            <w:tcW w:w="420" w:type="dxa"/>
            <w:vAlign w:val="bottom"/>
            <w:tcBorders>
              <w:bottom w:val="single" w:sz="8" w:color="00C08A"/>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00C08A"/>
              <w:right w:val="single" w:sz="8" w:color="CCEEFF"/>
            </w:tcBorders>
            <w:vMerge w:val="continue"/>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980" w:right="160" w:hanging="218"/>
        <w:spacing w:after="0" w:line="298"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Market value is based on the closing price of a share of our Class A common stock on December 31, 2022 (the last trading day of fiscal year 2022) equal to $20.41.</w:t>
      </w:r>
    </w:p>
    <w:p>
      <w:pPr>
        <w:spacing w:after="0" w:line="72" w:lineRule="exact"/>
        <w:rPr>
          <w:rFonts w:ascii="Arial" w:cs="Arial" w:eastAsia="Arial" w:hAnsi="Arial"/>
          <w:sz w:val="14"/>
          <w:szCs w:val="14"/>
          <w:color w:val="auto"/>
        </w:rPr>
      </w:pPr>
    </w:p>
    <w:p>
      <w:pPr>
        <w:ind w:left="980" w:hanging="218"/>
        <w:spacing w:after="0"/>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These restricted stock units will vest on January 24, 2023.</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February 1, 2023, and February 1, 2024.</w:t>
      </w:r>
    </w:p>
    <w:p>
      <w:pPr>
        <w:spacing w:after="0" w:line="136" w:lineRule="exact"/>
        <w:rPr>
          <w:rFonts w:ascii="Arial" w:cs="Arial" w:eastAsia="Arial" w:hAnsi="Arial"/>
          <w:sz w:val="14"/>
          <w:szCs w:val="14"/>
          <w:color w:val="auto"/>
        </w:rPr>
      </w:pPr>
    </w:p>
    <w:p>
      <w:pPr>
        <w:ind w:left="980" w:hanging="218"/>
        <w:spacing w:after="0"/>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February 3, 2023, February 3, 2024, and February 3, 2025.</w:t>
      </w:r>
    </w:p>
    <w:p>
      <w:pPr>
        <w:spacing w:after="0" w:line="122" w:lineRule="exact"/>
        <w:rPr>
          <w:rFonts w:ascii="Arial" w:cs="Arial" w:eastAsia="Arial" w:hAnsi="Arial"/>
          <w:sz w:val="14"/>
          <w:szCs w:val="14"/>
          <w:color w:val="auto"/>
        </w:rPr>
      </w:pPr>
    </w:p>
    <w:p>
      <w:pPr>
        <w:ind w:left="980" w:right="160" w:hanging="218"/>
        <w:spacing w:after="0" w:line="278"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as further described above under “Cifu Equity Awards” that will vest on January 31, 2023 and January 31, 2024.</w:t>
      </w:r>
    </w:p>
    <w:p>
      <w:pPr>
        <w:spacing w:after="0" w:line="99" w:lineRule="exact"/>
        <w:rPr>
          <w:rFonts w:ascii="Arial" w:cs="Arial" w:eastAsia="Arial" w:hAnsi="Arial"/>
          <w:sz w:val="14"/>
          <w:szCs w:val="14"/>
          <w:color w:val="auto"/>
        </w:rPr>
      </w:pPr>
    </w:p>
    <w:p>
      <w:pPr>
        <w:ind w:left="980" w:hanging="218"/>
        <w:spacing w:after="0"/>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These restricted stock units will vest August 12, 2023.</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that will vest on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1386205</wp:posOffset>
            </wp:positionV>
            <wp:extent cx="754380" cy="2400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jc w:val="center"/>
        <w:ind w:right="-619"/>
        <w:spacing w:after="0"/>
        <w:rPr>
          <w:sz w:val="20"/>
          <w:szCs w:val="20"/>
          <w:color w:val="auto"/>
        </w:rPr>
      </w:pPr>
      <w:r>
        <w:rPr>
          <w:rFonts w:ascii="Arial" w:cs="Arial" w:eastAsia="Arial" w:hAnsi="Arial"/>
          <w:sz w:val="29"/>
          <w:szCs w:val="29"/>
          <w:color w:val="00C08A"/>
        </w:rPr>
        <w:t>OPTION EXERCISES AND STOCK VESTED</w:t>
      </w:r>
    </w:p>
    <w:p>
      <w:pPr>
        <w:jc w:val="center"/>
        <w:ind w:right="-699"/>
        <w:spacing w:after="0"/>
        <w:rPr>
          <w:sz w:val="20"/>
          <w:szCs w:val="20"/>
          <w:color w:val="auto"/>
        </w:rPr>
      </w:pPr>
      <w:r>
        <w:rPr>
          <w:rFonts w:ascii="Arial" w:cs="Arial" w:eastAsia="Arial" w:hAnsi="Arial"/>
          <w:sz w:val="29"/>
          <w:szCs w:val="29"/>
          <w:color w:val="00C08A"/>
        </w:rPr>
        <w:t>DURING FISCAL YEAR 2022</w:t>
      </w:r>
    </w:p>
    <w:p>
      <w:pPr>
        <w:spacing w:after="0" w:line="102"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The following table sets forth as to each of the named executive officers’ information on exercises of options to purchase our common stock, the vesting of restricted and unrestricted shares of our common stock, and the vesting of restricted stock units during 2022.</w:t>
      </w:r>
    </w:p>
    <w:p>
      <w:pPr>
        <w:spacing w:after="0" w:line="108"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1000" w:type="dxa"/>
            <w:vAlign w:val="bottom"/>
          </w:tcPr>
          <w:p>
            <w:pPr>
              <w:ind w:left="840"/>
              <w:spacing w:after="0"/>
              <w:rPr>
                <w:sz w:val="20"/>
                <w:szCs w:val="20"/>
                <w:color w:val="auto"/>
              </w:rPr>
            </w:pPr>
            <w:r>
              <w:rPr>
                <w:rFonts w:ascii="Arial" w:cs="Arial" w:eastAsia="Arial" w:hAnsi="Arial"/>
                <w:sz w:val="14"/>
                <w:szCs w:val="14"/>
                <w:b w:val="1"/>
                <w:bCs w:val="1"/>
                <w:color w:val="002453"/>
              </w:rPr>
              <w:t>​ ​</w:t>
            </w:r>
          </w:p>
        </w:tc>
        <w:tc>
          <w:tcPr>
            <w:tcW w:w="2760" w:type="dxa"/>
            <w:vAlign w:val="bottom"/>
            <w:tcBorders>
              <w:bottom w:val="single" w:sz="8" w:color="00C08A"/>
            </w:tcBorders>
            <w:gridSpan w:val="3"/>
          </w:tcPr>
          <w:p>
            <w:pPr>
              <w:ind w:left="860"/>
              <w:spacing w:after="0"/>
              <w:rPr>
                <w:sz w:val="20"/>
                <w:szCs w:val="20"/>
                <w:color w:val="auto"/>
              </w:rPr>
            </w:pPr>
            <w:r>
              <w:rPr>
                <w:rFonts w:ascii="Arial" w:cs="Arial" w:eastAsia="Arial" w:hAnsi="Arial"/>
                <w:sz w:val="14"/>
                <w:szCs w:val="14"/>
                <w:b w:val="1"/>
                <w:bCs w:val="1"/>
                <w:color w:val="002453"/>
              </w:rPr>
              <w:t>Option Awards</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002453"/>
              </w:rPr>
              <w:t>​ ​</w:t>
            </w:r>
          </w:p>
        </w:tc>
        <w:tc>
          <w:tcPr>
            <w:tcW w:w="380" w:type="dxa"/>
            <w:vAlign w:val="bottom"/>
            <w:tcBorders>
              <w:bottom w:val="single" w:sz="8" w:color="00C08A"/>
            </w:tcBorders>
          </w:tcPr>
          <w:p>
            <w:pPr>
              <w:spacing w:after="0"/>
              <w:rPr>
                <w:sz w:val="18"/>
                <w:szCs w:val="18"/>
                <w:color w:val="auto"/>
              </w:rPr>
            </w:pPr>
          </w:p>
        </w:tc>
        <w:tc>
          <w:tcPr>
            <w:tcW w:w="2380" w:type="dxa"/>
            <w:vAlign w:val="bottom"/>
            <w:tcBorders>
              <w:bottom w:val="single" w:sz="8" w:color="00C08A"/>
            </w:tcBorders>
            <w:gridSpan w:val="3"/>
          </w:tcPr>
          <w:p>
            <w:pPr>
              <w:ind w:left="540"/>
              <w:spacing w:after="0"/>
              <w:rPr>
                <w:sz w:val="20"/>
                <w:szCs w:val="20"/>
                <w:color w:val="auto"/>
              </w:rPr>
            </w:pPr>
            <w:r>
              <w:rPr>
                <w:rFonts w:ascii="Arial" w:cs="Arial" w:eastAsia="Arial" w:hAnsi="Arial"/>
                <w:sz w:val="14"/>
                <w:szCs w:val="14"/>
                <w:b w:val="1"/>
                <w:bCs w:val="1"/>
                <w:color w:val="002453"/>
              </w:rPr>
              <w:t>Stock Awards</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453"/>
              </w:rPr>
              <w:t>Number of Shares</w:t>
            </w:r>
          </w:p>
        </w:tc>
        <w:tc>
          <w:tcPr>
            <w:tcW w:w="2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Value Realized on</w:t>
            </w:r>
          </w:p>
        </w:tc>
        <w:tc>
          <w:tcPr>
            <w:tcW w:w="2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453"/>
              </w:rPr>
              <w:t>Number of Shares</w:t>
            </w:r>
          </w:p>
        </w:tc>
        <w:tc>
          <w:tcPr>
            <w:tcW w:w="2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Value Realized 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Acquired on</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Acquired on</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Exercise</w:t>
            </w:r>
          </w:p>
        </w:tc>
        <w:tc>
          <w:tcPr>
            <w:tcW w:w="2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Exercise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jc w:val="center"/>
              <w:ind w:right="298"/>
              <w:spacing w:after="0" w:line="135" w:lineRule="exact"/>
              <w:rPr>
                <w:sz w:val="20"/>
                <w:szCs w:val="20"/>
                <w:color w:val="auto"/>
              </w:rPr>
            </w:pPr>
            <w:r>
              <w:rPr>
                <w:rFonts w:ascii="Arial" w:cs="Arial" w:eastAsia="Arial" w:hAnsi="Arial"/>
                <w:sz w:val="14"/>
                <w:szCs w:val="14"/>
                <w:b w:val="1"/>
                <w:bCs w:val="1"/>
                <w:color w:val="002453"/>
                <w:w w:val="98"/>
              </w:rPr>
              <w:t>Vesting</w:t>
            </w:r>
          </w:p>
        </w:tc>
        <w:tc>
          <w:tcPr>
            <w:tcW w:w="24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w w:val="98"/>
              </w:rPr>
              <w:t>Vesting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w:t>
            </w:r>
          </w:p>
        </w:tc>
        <w:tc>
          <w:tcPr>
            <w:tcW w:w="1000" w:type="dxa"/>
            <w:vAlign w:val="bottom"/>
            <w:tcBorders>
              <w:bottom w:val="single" w:sz="8" w:color="00C08A"/>
            </w:tcBorders>
          </w:tcPr>
          <w:p>
            <w:pPr>
              <w:ind w:left="840"/>
              <w:spacing w:after="0"/>
              <w:rPr>
                <w:sz w:val="20"/>
                <w:szCs w:val="20"/>
                <w:color w:val="auto"/>
              </w:rPr>
            </w:pPr>
            <w:r>
              <w:rPr>
                <w:rFonts w:ascii="Arial" w:cs="Arial" w:eastAsia="Arial" w:hAnsi="Arial"/>
                <w:sz w:val="14"/>
                <w:szCs w:val="14"/>
                <w:b w:val="1"/>
                <w:bCs w:val="1"/>
                <w:color w:val="002453"/>
              </w:rPr>
              <w:t>​ ​</w:t>
            </w:r>
          </w:p>
        </w:tc>
        <w:tc>
          <w:tcPr>
            <w:tcW w:w="128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3"/>
              </w:rPr>
              <w:t>(#)</w:t>
            </w:r>
          </w:p>
        </w:tc>
        <w:tc>
          <w:tcPr>
            <w:tcW w:w="22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 ​</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20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 ​</w:t>
            </w:r>
          </w:p>
        </w:tc>
        <w:tc>
          <w:tcPr>
            <w:tcW w:w="380" w:type="dxa"/>
            <w:vAlign w:val="bottom"/>
            <w:tcBorders>
              <w:bottom w:val="single" w:sz="8" w:color="00C08A"/>
            </w:tcBorders>
          </w:tcPr>
          <w:p>
            <w:pPr>
              <w:spacing w:after="0"/>
              <w:rPr>
                <w:sz w:val="18"/>
                <w:szCs w:val="18"/>
                <w:color w:val="auto"/>
              </w:rPr>
            </w:pPr>
          </w:p>
        </w:tc>
        <w:tc>
          <w:tcPr>
            <w:tcW w:w="880" w:type="dxa"/>
            <w:vAlign w:val="bottom"/>
            <w:tcBorders>
              <w:bottom w:val="single" w:sz="8" w:color="00C08A"/>
            </w:tcBorders>
          </w:tcPr>
          <w:p>
            <w:pPr>
              <w:jc w:val="center"/>
              <w:ind w:right="258"/>
              <w:spacing w:after="0"/>
              <w:rPr>
                <w:sz w:val="20"/>
                <w:szCs w:val="20"/>
                <w:color w:val="auto"/>
              </w:rPr>
            </w:pPr>
            <w:r>
              <w:rPr>
                <w:rFonts w:ascii="Arial" w:cs="Arial" w:eastAsia="Arial" w:hAnsi="Arial"/>
                <w:sz w:val="14"/>
                <w:szCs w:val="14"/>
                <w:b w:val="1"/>
                <w:bCs w:val="1"/>
                <w:color w:val="002453"/>
                <w:w w:val="99"/>
              </w:rPr>
              <w:t>(#)(6)</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4"/>
        </w:trPr>
        <w:tc>
          <w:tcPr>
            <w:tcW w:w="24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Douglas A. Cifu(1)</w:t>
            </w:r>
          </w:p>
        </w:tc>
        <w:tc>
          <w:tcPr>
            <w:tcW w:w="1000" w:type="dxa"/>
            <w:vAlign w:val="bottom"/>
            <w:tcBorders>
              <w:bottom w:val="single" w:sz="8" w:color="00C08A"/>
            </w:tcBorders>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00C08A"/>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C08A"/>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​170,463</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​4,388,303</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0"/>
                <w:szCs w:val="20"/>
                <w:color w:val="auto"/>
              </w:rPr>
            </w:pPr>
            <w:r>
              <w:rPr>
                <w:rFonts w:ascii="Arial" w:cs="Arial" w:eastAsia="Arial" w:hAnsi="Arial"/>
                <w:sz w:val="18"/>
                <w:szCs w:val="18"/>
                <w:b w:val="1"/>
                <w:bCs w:val="1"/>
                <w:color w:val="auto"/>
              </w:rPr>
              <w:t>Joseph Molluso(2)</w:t>
            </w:r>
          </w:p>
        </w:tc>
        <w:tc>
          <w:tcPr>
            <w:tcW w:w="1000" w:type="dxa"/>
            <w:vAlign w:val="bottom"/>
          </w:tcPr>
          <w:p>
            <w:pPr>
              <w:ind w:left="840"/>
              <w:spacing w:after="0"/>
              <w:rPr>
                <w:sz w:val="20"/>
                <w:szCs w:val="20"/>
                <w:color w:val="auto"/>
              </w:rPr>
            </w:pPr>
            <w:r>
              <w:rPr>
                <w:rFonts w:ascii="Arial" w:cs="Arial" w:eastAsia="Arial" w:hAnsi="Arial"/>
                <w:sz w:val="18"/>
                <w:szCs w:val="18"/>
                <w:color w:val="auto"/>
              </w:rPr>
              <w:t>​ ​</w:t>
            </w:r>
          </w:p>
        </w:tc>
        <w:tc>
          <w:tcPr>
            <w:tcW w:w="12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260" w:type="dxa"/>
            <w:vAlign w:val="bottom"/>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3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8"/>
              <w:spacing w:after="0"/>
              <w:rPr>
                <w:sz w:val="20"/>
                <w:szCs w:val="20"/>
                <w:color w:val="auto"/>
              </w:rPr>
            </w:pPr>
            <w:r>
              <w:rPr>
                <w:rFonts w:ascii="Arial" w:cs="Arial" w:eastAsia="Arial" w:hAnsi="Arial"/>
                <w:sz w:val="18"/>
                <w:szCs w:val="18"/>
                <w:color w:val="auto"/>
              </w:rPr>
              <w:t>91,971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1260" w:type="dxa"/>
            <w:vAlign w:val="bottom"/>
          </w:tcPr>
          <w:p>
            <w:pPr>
              <w:jc w:val="center"/>
              <w:spacing w:after="0"/>
              <w:rPr>
                <w:sz w:val="20"/>
                <w:szCs w:val="20"/>
                <w:color w:val="auto"/>
              </w:rPr>
            </w:pPr>
            <w:r>
              <w:rPr>
                <w:rFonts w:ascii="Arial" w:cs="Arial" w:eastAsia="Arial" w:hAnsi="Arial"/>
                <w:sz w:val="18"/>
                <w:szCs w:val="18"/>
                <w:color w:val="auto"/>
              </w:rPr>
              <w:t>​2,697,463</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24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Brett Fairclough(3)</w:t>
            </w:r>
          </w:p>
        </w:tc>
        <w:tc>
          <w:tcPr>
            <w:tcW w:w="1000" w:type="dxa"/>
            <w:vAlign w:val="bottom"/>
            <w:tcBorders>
              <w:top w:val="single" w:sz="8" w:color="00C08A"/>
              <w:bottom w:val="single" w:sz="8" w:color="00C08A"/>
            </w:tcBorders>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280" w:type="dxa"/>
            <w:vAlign w:val="bottom"/>
            <w:tcBorders>
              <w:top w:val="single" w:sz="8" w:color="00C08A"/>
              <w:bottom w:val="single" w:sz="8" w:color="00C08A"/>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60" w:type="dxa"/>
            <w:vAlign w:val="bottom"/>
            <w:tcBorders>
              <w:top w:val="single" w:sz="8" w:color="00C08A"/>
              <w:bottom w:val="single" w:sz="8" w:color="00C08A"/>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00C08A"/>
              <w:bottom w:val="single" w:sz="8" w:color="00C08A"/>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380" w:type="dxa"/>
            <w:vAlign w:val="bottom"/>
            <w:tcBorders>
              <w:top w:val="single" w:sz="8" w:color="00C08A"/>
              <w:bottom w:val="single" w:sz="8" w:color="00C08A"/>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00C08A"/>
              <w:bottom w:val="single" w:sz="8" w:color="00C08A"/>
            </w:tcBorders>
            <w:shd w:val="clear" w:color="auto" w:fill="CCEEFF"/>
          </w:tcPr>
          <w:p>
            <w:pPr>
              <w:jc w:val="right"/>
              <w:ind w:right="198"/>
              <w:spacing w:after="0"/>
              <w:rPr>
                <w:sz w:val="20"/>
                <w:szCs w:val="20"/>
                <w:color w:val="auto"/>
              </w:rPr>
            </w:pPr>
            <w:r>
              <w:rPr>
                <w:rFonts w:ascii="Arial" w:cs="Arial" w:eastAsia="Arial" w:hAnsi="Arial"/>
                <w:sz w:val="18"/>
                <w:szCs w:val="18"/>
                <w:color w:val="auto"/>
              </w:rPr>
              <w:t>39,423</w:t>
            </w:r>
          </w:p>
        </w:tc>
        <w:tc>
          <w:tcPr>
            <w:tcW w:w="24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top w:val="single" w:sz="8" w:color="00C08A"/>
              <w:bottom w:val="single" w:sz="8" w:color="00C08A"/>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​1,184,626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0"/>
                <w:szCs w:val="20"/>
                <w:color w:val="auto"/>
              </w:rPr>
            </w:pPr>
            <w:r>
              <w:rPr>
                <w:rFonts w:ascii="Arial" w:cs="Arial" w:eastAsia="Arial" w:hAnsi="Arial"/>
                <w:sz w:val="18"/>
                <w:szCs w:val="18"/>
                <w:b w:val="1"/>
                <w:bCs w:val="1"/>
                <w:color w:val="auto"/>
              </w:rPr>
              <w:t>Stephen Cavoli(4)</w:t>
            </w:r>
          </w:p>
        </w:tc>
        <w:tc>
          <w:tcPr>
            <w:tcW w:w="1000" w:type="dxa"/>
            <w:vAlign w:val="bottom"/>
          </w:tcPr>
          <w:p>
            <w:pPr>
              <w:ind w:left="840"/>
              <w:spacing w:after="0"/>
              <w:rPr>
                <w:sz w:val="20"/>
                <w:szCs w:val="20"/>
                <w:color w:val="auto"/>
              </w:rPr>
            </w:pPr>
            <w:r>
              <w:rPr>
                <w:rFonts w:ascii="Arial" w:cs="Arial" w:eastAsia="Arial" w:hAnsi="Arial"/>
                <w:sz w:val="18"/>
                <w:szCs w:val="18"/>
                <w:color w:val="auto"/>
              </w:rPr>
              <w:t>​ ​</w:t>
            </w:r>
          </w:p>
        </w:tc>
        <w:tc>
          <w:tcPr>
            <w:tcW w:w="12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260" w:type="dxa"/>
            <w:vAlign w:val="bottom"/>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3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8"/>
              <w:spacing w:after="0"/>
              <w:rPr>
                <w:sz w:val="20"/>
                <w:szCs w:val="20"/>
                <w:color w:val="auto"/>
              </w:rPr>
            </w:pPr>
            <w:r>
              <w:rPr>
                <w:rFonts w:ascii="Arial" w:cs="Arial" w:eastAsia="Arial" w:hAnsi="Arial"/>
                <w:sz w:val="18"/>
                <w:szCs w:val="18"/>
                <w:color w:val="auto"/>
              </w:rPr>
              <w:t>37,133</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1260" w:type="dxa"/>
            <w:vAlign w:val="bottom"/>
          </w:tcPr>
          <w:p>
            <w:pPr>
              <w:jc w:val="center"/>
              <w:spacing w:after="0"/>
              <w:rPr>
                <w:sz w:val="20"/>
                <w:szCs w:val="20"/>
                <w:color w:val="auto"/>
              </w:rPr>
            </w:pPr>
            <w:r>
              <w:rPr>
                <w:rFonts w:ascii="Arial" w:cs="Arial" w:eastAsia="Arial" w:hAnsi="Arial"/>
                <w:sz w:val="18"/>
                <w:szCs w:val="18"/>
                <w:color w:val="auto"/>
              </w:rPr>
              <w:t>​1,118,865</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24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Sean P. Galvin(5)</w:t>
            </w:r>
          </w:p>
        </w:tc>
        <w:tc>
          <w:tcPr>
            <w:tcW w:w="1000" w:type="dxa"/>
            <w:vAlign w:val="bottom"/>
            <w:tcBorders>
              <w:top w:val="single" w:sz="8" w:color="00C08A"/>
              <w:bottom w:val="single" w:sz="8" w:color="00C08A"/>
            </w:tcBorders>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280" w:type="dxa"/>
            <w:vAlign w:val="bottom"/>
            <w:tcBorders>
              <w:top w:val="single" w:sz="8" w:color="00C08A"/>
              <w:bottom w:val="single" w:sz="8" w:color="00C08A"/>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60" w:type="dxa"/>
            <w:vAlign w:val="bottom"/>
            <w:tcBorders>
              <w:top w:val="single" w:sz="8" w:color="00C08A"/>
              <w:bottom w:val="single" w:sz="8" w:color="00C08A"/>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00C08A"/>
              <w:bottom w:val="single" w:sz="8" w:color="00C08A"/>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380" w:type="dxa"/>
            <w:vAlign w:val="bottom"/>
            <w:tcBorders>
              <w:top w:val="single" w:sz="8" w:color="00C08A"/>
              <w:bottom w:val="single" w:sz="8" w:color="00C08A"/>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00C08A"/>
              <w:bottom w:val="single" w:sz="8" w:color="00C08A"/>
            </w:tcBorders>
            <w:shd w:val="clear" w:color="auto" w:fill="CCEEFF"/>
          </w:tcPr>
          <w:p>
            <w:pPr>
              <w:jc w:val="right"/>
              <w:ind w:right="198"/>
              <w:spacing w:after="0"/>
              <w:rPr>
                <w:sz w:val="20"/>
                <w:szCs w:val="20"/>
                <w:color w:val="auto"/>
              </w:rPr>
            </w:pPr>
            <w:r>
              <w:rPr>
                <w:rFonts w:ascii="Arial" w:cs="Arial" w:eastAsia="Arial" w:hAnsi="Arial"/>
                <w:sz w:val="18"/>
                <w:szCs w:val="18"/>
                <w:color w:val="auto"/>
              </w:rPr>
              <w:t>9,096</w:t>
            </w:r>
          </w:p>
        </w:tc>
        <w:tc>
          <w:tcPr>
            <w:tcW w:w="24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top w:val="single" w:sz="8" w:color="00C08A"/>
              <w:bottom w:val="single" w:sz="8" w:color="00C08A"/>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 257,542</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Mr. Cifu, this includes the vesting of 18,015 RSUs on January 23, 2022, at a closing price of $28.54, 26,841 RSUs on January 24, 2022,</w:t>
      </w:r>
    </w:p>
    <w:p>
      <w:pPr>
        <w:spacing w:after="0" w:line="28" w:lineRule="exact"/>
        <w:rPr>
          <w:rFonts w:ascii="Arial" w:cs="Arial" w:eastAsia="Arial" w:hAnsi="Arial"/>
          <w:sz w:val="14"/>
          <w:szCs w:val="14"/>
          <w:color w:val="auto"/>
        </w:rPr>
      </w:pPr>
    </w:p>
    <w:p>
      <w:pPr>
        <w:ind w:left="980" w:right="240"/>
        <w:spacing w:after="0" w:line="270" w:lineRule="auto"/>
        <w:rPr>
          <w:rFonts w:ascii="Arial" w:cs="Arial" w:eastAsia="Arial" w:hAnsi="Arial"/>
          <w:sz w:val="14"/>
          <w:szCs w:val="14"/>
          <w:color w:val="auto"/>
        </w:rPr>
      </w:pPr>
      <w:r>
        <w:rPr>
          <w:rFonts w:ascii="Arial" w:cs="Arial" w:eastAsia="Arial" w:hAnsi="Arial"/>
          <w:sz w:val="14"/>
          <w:szCs w:val="14"/>
          <w:color w:val="auto"/>
        </w:rPr>
        <w:t>at a closing price of $28.76, 18,085 RSUs on February 1, 2022, at a closing price of $30.47, 32,522 RSUs on February 3, 2022 at a closing price of $31.03 and 75,000 RSUs on December 27, 2022 at a closing price of $20.56, the latter two of which awards were subject to a deferral election under the DCP.</w:t>
      </w:r>
    </w:p>
    <w:p>
      <w:pPr>
        <w:spacing w:after="0" w:line="104" w:lineRule="exact"/>
        <w:rPr>
          <w:rFonts w:ascii="Arial" w:cs="Arial" w:eastAsia="Arial" w:hAnsi="Arial"/>
          <w:sz w:val="14"/>
          <w:szCs w:val="14"/>
          <w:color w:val="auto"/>
        </w:rPr>
      </w:pPr>
    </w:p>
    <w:p>
      <w:pPr>
        <w:ind w:left="980" w:right="60" w:hanging="218"/>
        <w:spacing w:after="0" w:line="270"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Mr. Molluso, this includes the vesting of 66,667 RSUs on January 24, 2022, at a closing price of $28.76, 9,042 RSUs on February 1, 2022, at a closing price of $30.47 and 16,262 RSUs on February 3, 2022, at a closing price of $31.03, which was subject to a deferral election under the DCP..</w:t>
      </w:r>
    </w:p>
    <w:p>
      <w:pPr>
        <w:spacing w:after="0" w:line="104" w:lineRule="exact"/>
        <w:rPr>
          <w:rFonts w:ascii="Arial" w:cs="Arial" w:eastAsia="Arial" w:hAnsi="Arial"/>
          <w:sz w:val="14"/>
          <w:szCs w:val="14"/>
          <w:color w:val="auto"/>
        </w:rPr>
      </w:pPr>
    </w:p>
    <w:p>
      <w:pPr>
        <w:ind w:left="980" w:right="260" w:hanging="218"/>
        <w:spacing w:after="0" w:line="270"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Mr. Fairclough, this includes the vesting of 11,810 RSUs on January 24, 2022, at a closing price of $28.76, 8,499 RSUs on February 1, 2022, at a closing price of $30.47, 16,262 RSUs on February 3, 2022, at a closing price of $31.03, 2,852 RSUs on January 23, 2022, at a closing price of $28.54.</w:t>
      </w:r>
    </w:p>
    <w:p>
      <w:pPr>
        <w:spacing w:after="0" w:line="104" w:lineRule="exact"/>
        <w:rPr>
          <w:rFonts w:ascii="Arial" w:cs="Arial" w:eastAsia="Arial" w:hAnsi="Arial"/>
          <w:sz w:val="14"/>
          <w:szCs w:val="14"/>
          <w:color w:val="auto"/>
        </w:rPr>
      </w:pPr>
    </w:p>
    <w:p>
      <w:pPr>
        <w:ind w:left="980" w:right="200" w:hanging="218"/>
        <w:spacing w:after="0" w:line="270"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Mr. Cavoli, this includes the vesting of 2,402 RSUs on January 23, 2022, at a closing price of $28.54, 9,970 RSUs on January 24, 2022, at a closing price of $28.76, 8,499 RSUs on February 1, 2022, at a closing price of $30.47, 16,262 RSUs on February 3, 2022, at a closing price of $31.03.</w:t>
      </w:r>
    </w:p>
    <w:p>
      <w:pPr>
        <w:spacing w:after="0" w:line="104" w:lineRule="exact"/>
        <w:rPr>
          <w:rFonts w:ascii="Arial" w:cs="Arial" w:eastAsia="Arial" w:hAnsi="Arial"/>
          <w:sz w:val="14"/>
          <w:szCs w:val="14"/>
          <w:color w:val="auto"/>
        </w:rPr>
      </w:pPr>
    </w:p>
    <w:p>
      <w:pPr>
        <w:ind w:left="980" w:right="100" w:hanging="218"/>
        <w:spacing w:after="0" w:line="278"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Mr. Galvin, this includes the vesting of 4,412 RSUs on August 12, 2022, at a closing price of $25.43, 4,684 RSUs on February 3, 2022, at a closing price of $31.03.</w:t>
      </w:r>
    </w:p>
    <w:p>
      <w:pPr>
        <w:spacing w:after="0" w:line="86"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number of shares delivered upon vesting of the executive’s stock awards were reduced by a number of shares with a market value equal</w:t>
      </w:r>
    </w:p>
    <w:p>
      <w:pPr>
        <w:spacing w:after="0" w:line="28" w:lineRule="exact"/>
        <w:rPr>
          <w:rFonts w:ascii="Arial" w:cs="Arial" w:eastAsia="Arial" w:hAnsi="Arial"/>
          <w:sz w:val="14"/>
          <w:szCs w:val="14"/>
          <w:color w:val="auto"/>
        </w:rPr>
      </w:pPr>
    </w:p>
    <w:p>
      <w:pPr>
        <w:jc w:val="both"/>
        <w:ind w:left="980" w:right="500"/>
        <w:spacing w:after="0" w:line="278" w:lineRule="auto"/>
        <w:rPr>
          <w:rFonts w:ascii="Arial" w:cs="Arial" w:eastAsia="Arial" w:hAnsi="Arial"/>
          <w:sz w:val="14"/>
          <w:szCs w:val="14"/>
          <w:color w:val="auto"/>
        </w:rPr>
      </w:pPr>
      <w:r>
        <w:rPr>
          <w:rFonts w:ascii="Arial" w:cs="Arial" w:eastAsia="Arial" w:hAnsi="Arial"/>
          <w:sz w:val="14"/>
          <w:szCs w:val="14"/>
          <w:color w:val="auto"/>
        </w:rPr>
        <w:t>to the applicable tax withholding amounts on their awards. As a result, the actual shares acquired by Messrs. Cifu, Molluso, Fairclough, Cavoli and Galvin upon the vesting and settlement of their stock awards was 144,057, 86,970, 24,222, 19,813 and 7,407,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185" w:lineRule="exact"/>
        <w:rPr>
          <w:sz w:val="20"/>
          <w:szCs w:val="20"/>
          <w:color w:val="auto"/>
        </w:rPr>
      </w:pPr>
    </w:p>
    <w:p>
      <w:pPr>
        <w:jc w:val="center"/>
        <w:ind w:right="-639"/>
        <w:spacing w:after="0"/>
        <w:rPr>
          <w:sz w:val="20"/>
          <w:szCs w:val="20"/>
          <w:color w:val="auto"/>
        </w:rPr>
      </w:pPr>
      <w:r>
        <w:rPr>
          <w:rFonts w:ascii="Arial" w:cs="Arial" w:eastAsia="Arial" w:hAnsi="Arial"/>
          <w:sz w:val="29"/>
          <w:szCs w:val="29"/>
          <w:color w:val="00C08A"/>
        </w:rPr>
        <w:t>NONQUALIFIED DEFERRED COMPENSATION</w:t>
      </w:r>
    </w:p>
    <w:p>
      <w:pPr>
        <w:jc w:val="center"/>
        <w:ind w:right="-719"/>
        <w:spacing w:after="0"/>
        <w:rPr>
          <w:sz w:val="20"/>
          <w:szCs w:val="20"/>
          <w:color w:val="auto"/>
        </w:rPr>
      </w:pPr>
      <w:r>
        <w:rPr>
          <w:rFonts w:ascii="Arial" w:cs="Arial" w:eastAsia="Arial" w:hAnsi="Arial"/>
          <w:sz w:val="29"/>
          <w:szCs w:val="29"/>
          <w:color w:val="00C08A"/>
        </w:rPr>
        <w:t>DURING FISCAL YEAR 2022</w:t>
      </w:r>
    </w:p>
    <w:p>
      <w:pPr>
        <w:spacing w:after="0" w:line="115" w:lineRule="exact"/>
        <w:rPr>
          <w:sz w:val="20"/>
          <w:szCs w:val="20"/>
          <w:color w:val="auto"/>
        </w:rPr>
      </w:pPr>
    </w:p>
    <w:p>
      <w:pPr>
        <w:ind w:left="760" w:right="320"/>
        <w:spacing w:after="0" w:line="261" w:lineRule="auto"/>
        <w:rPr>
          <w:sz w:val="20"/>
          <w:szCs w:val="20"/>
          <w:color w:val="auto"/>
        </w:rPr>
      </w:pPr>
      <w:r>
        <w:rPr>
          <w:rFonts w:ascii="Arial" w:cs="Arial" w:eastAsia="Arial" w:hAnsi="Arial"/>
          <w:sz w:val="17"/>
          <w:szCs w:val="17"/>
          <w:color w:val="auto"/>
        </w:rPr>
        <w:t>The following table sets forth the information as to each of our named executive officers who participated in our DCP, as discussed in the “Employee Benefits and Perquisites — Compensation Discussion and Analysis” section above, and chose to defer a portion of their compensation in the form of deferred stock units during 2022.</w:t>
      </w:r>
    </w:p>
    <w:p>
      <w:pPr>
        <w:spacing w:after="0" w:line="91" w:lineRule="exact"/>
        <w:rPr>
          <w:sz w:val="20"/>
          <w:szCs w:val="20"/>
          <w:color w:val="auto"/>
        </w:rPr>
      </w:pPr>
    </w:p>
    <w:p>
      <w:pPr>
        <w:jc w:val="both"/>
        <w:ind w:left="760" w:right="460"/>
        <w:spacing w:after="0" w:line="262" w:lineRule="auto"/>
        <w:rPr>
          <w:sz w:val="20"/>
          <w:szCs w:val="20"/>
          <w:color w:val="auto"/>
        </w:rPr>
      </w:pPr>
      <w:r>
        <w:rPr>
          <w:rFonts w:ascii="Arial" w:cs="Arial" w:eastAsia="Arial" w:hAnsi="Arial"/>
          <w:sz w:val="17"/>
          <w:szCs w:val="17"/>
          <w:color w:val="auto"/>
        </w:rPr>
        <w:t>In fiscal year 2022, of our named executive officers, only Messrs. Cifu and Molluso participated in the DCP and chose to defer a portion of their compensation in the form of deferred stock units. Their contributions represent deferred bonus (for each of Messrs. Cifu and Molluso) and deferred annual equity awards (for Mr. Cifu) and are included in the amounts reported for bonus in the Summary Compensation Table for each of them.</w:t>
      </w:r>
    </w:p>
    <w:p>
      <w:pPr>
        <w:spacing w:after="0" w:line="80"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480" w:type="dxa"/>
            <w:vAlign w:val="bottom"/>
          </w:tcPr>
          <w:p>
            <w:pPr>
              <w:jc w:val="center"/>
              <w:ind w:left="415"/>
              <w:spacing w:after="0"/>
              <w:rPr>
                <w:sz w:val="20"/>
                <w:szCs w:val="20"/>
                <w:color w:val="auto"/>
              </w:rPr>
            </w:pPr>
            <w:r>
              <w:rPr>
                <w:rFonts w:ascii="Arial" w:cs="Arial" w:eastAsia="Arial" w:hAnsi="Arial"/>
                <w:sz w:val="14"/>
                <w:szCs w:val="14"/>
                <w:b w:val="1"/>
                <w:bCs w:val="1"/>
                <w:color w:val="002453"/>
              </w:rPr>
              <w:t>Executive</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453"/>
              </w:rPr>
              <w:t>Registrant</w:t>
            </w:r>
          </w:p>
        </w:tc>
        <w:tc>
          <w:tcPr>
            <w:tcW w:w="1040" w:type="dxa"/>
            <w:vAlign w:val="bottom"/>
          </w:tcPr>
          <w:p>
            <w:pPr>
              <w:ind w:left="280"/>
              <w:spacing w:after="0"/>
              <w:rPr>
                <w:sz w:val="20"/>
                <w:szCs w:val="20"/>
                <w:color w:val="auto"/>
              </w:rPr>
            </w:pPr>
            <w:r>
              <w:rPr>
                <w:rFonts w:ascii="Arial" w:cs="Arial" w:eastAsia="Arial" w:hAnsi="Arial"/>
                <w:sz w:val="14"/>
                <w:szCs w:val="14"/>
                <w:b w:val="1"/>
                <w:bCs w:val="1"/>
                <w:color w:val="002453"/>
              </w:rPr>
              <w:t>Aggregate</w:t>
            </w:r>
          </w:p>
        </w:tc>
        <w:tc>
          <w:tcPr>
            <w:tcW w:w="2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002453"/>
              </w:rPr>
              <w:t>Aggregate</w:t>
            </w:r>
          </w:p>
        </w:tc>
        <w:tc>
          <w:tcPr>
            <w:tcW w:w="2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453"/>
              </w:rPr>
              <w:t>Aggregate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480" w:type="dxa"/>
            <w:vAlign w:val="bottom"/>
          </w:tcPr>
          <w:p>
            <w:pPr>
              <w:jc w:val="center"/>
              <w:ind w:left="435"/>
              <w:spacing w:after="0" w:line="135" w:lineRule="exact"/>
              <w:rPr>
                <w:sz w:val="20"/>
                <w:szCs w:val="20"/>
                <w:color w:val="auto"/>
              </w:rPr>
            </w:pPr>
            <w:r>
              <w:rPr>
                <w:rFonts w:ascii="Arial" w:cs="Arial" w:eastAsia="Arial" w:hAnsi="Arial"/>
                <w:sz w:val="14"/>
                <w:szCs w:val="14"/>
                <w:b w:val="1"/>
                <w:bCs w:val="1"/>
                <w:color w:val="002453"/>
              </w:rPr>
              <w:t>Contributions</w:t>
            </w:r>
          </w:p>
        </w:tc>
        <w:tc>
          <w:tcPr>
            <w:tcW w:w="20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Contributions</w:t>
            </w:r>
          </w:p>
        </w:tc>
        <w:tc>
          <w:tcPr>
            <w:tcW w:w="1040" w:type="dxa"/>
            <w:vAlign w:val="bottom"/>
          </w:tcPr>
          <w:p>
            <w:pPr>
              <w:ind w:left="240"/>
              <w:spacing w:after="0" w:line="135" w:lineRule="exact"/>
              <w:rPr>
                <w:sz w:val="20"/>
                <w:szCs w:val="20"/>
                <w:color w:val="auto"/>
              </w:rPr>
            </w:pPr>
            <w:r>
              <w:rPr>
                <w:rFonts w:ascii="Arial" w:cs="Arial" w:eastAsia="Arial" w:hAnsi="Arial"/>
                <w:sz w:val="14"/>
                <w:szCs w:val="14"/>
                <w:b w:val="1"/>
                <w:bCs w:val="1"/>
                <w:color w:val="002453"/>
              </w:rPr>
              <w:t>Earnings in</w:t>
            </w:r>
          </w:p>
        </w:tc>
        <w:tc>
          <w:tcPr>
            <w:tcW w:w="260" w:type="dxa"/>
            <w:vAlign w:val="bottom"/>
          </w:tcPr>
          <w:p>
            <w:pPr>
              <w:spacing w:after="0"/>
              <w:rPr>
                <w:sz w:val="11"/>
                <w:szCs w:val="11"/>
                <w:color w:val="auto"/>
              </w:rPr>
            </w:pPr>
          </w:p>
        </w:tc>
        <w:tc>
          <w:tcPr>
            <w:tcW w:w="1120" w:type="dxa"/>
            <w:vAlign w:val="bottom"/>
            <w:gridSpan w:val="2"/>
          </w:tcPr>
          <w:p>
            <w:pPr>
              <w:jc w:val="center"/>
              <w:ind w:right="110"/>
              <w:spacing w:after="0" w:line="135" w:lineRule="exact"/>
              <w:rPr>
                <w:sz w:val="20"/>
                <w:szCs w:val="20"/>
                <w:color w:val="auto"/>
              </w:rPr>
            </w:pPr>
            <w:r>
              <w:rPr>
                <w:rFonts w:ascii="Arial" w:cs="Arial" w:eastAsia="Arial" w:hAnsi="Arial"/>
                <w:sz w:val="14"/>
                <w:szCs w:val="14"/>
                <w:b w:val="1"/>
                <w:bCs w:val="1"/>
                <w:color w:val="002453"/>
              </w:rPr>
              <w:t>Withdrawals/​</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Balance at Last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40" w:type="dxa"/>
            <w:vAlign w:val="bottom"/>
            <w:tcBorders>
              <w:bottom w:val="single" w:sz="8" w:color="00C08A"/>
            </w:tcBorders>
          </w:tcPr>
          <w:p>
            <w:pPr>
              <w:ind w:left="20"/>
              <w:spacing w:after="0"/>
              <w:rPr>
                <w:sz w:val="20"/>
                <w:szCs w:val="20"/>
                <w:color w:val="auto"/>
              </w:rPr>
            </w:pPr>
            <w:r>
              <w:rPr>
                <w:rFonts w:ascii="Arial" w:cs="Arial" w:eastAsia="Arial" w:hAnsi="Arial"/>
                <w:sz w:val="14"/>
                <w:szCs w:val="14"/>
                <w:b w:val="1"/>
                <w:bCs w:val="1"/>
                <w:color w:val="002453"/>
              </w:rPr>
              <w:t>Name</w:t>
            </w:r>
          </w:p>
        </w:tc>
        <w:tc>
          <w:tcPr>
            <w:tcW w:w="1480" w:type="dxa"/>
            <w:vAlign w:val="bottom"/>
            <w:tcBorders>
              <w:bottom w:val="single" w:sz="8" w:color="00C08A"/>
            </w:tcBorders>
          </w:tcPr>
          <w:p>
            <w:pPr>
              <w:ind w:left="360"/>
              <w:spacing w:after="0" w:line="216" w:lineRule="exact"/>
              <w:rPr>
                <w:sz w:val="20"/>
                <w:szCs w:val="20"/>
                <w:color w:val="auto"/>
              </w:rPr>
            </w:pPr>
            <w:r>
              <w:rPr>
                <w:rFonts w:ascii="Arial" w:cs="Arial" w:eastAsia="Arial" w:hAnsi="Arial"/>
                <w:sz w:val="25"/>
                <w:szCs w:val="25"/>
                <w:b w:val="1"/>
                <w:bCs w:val="1"/>
                <w:color w:val="002453"/>
                <w:vertAlign w:val="subscript"/>
              </w:rPr>
              <w:t>​ ​</w:t>
            </w:r>
            <w:r>
              <w:rPr>
                <w:rFonts w:ascii="Arial" w:cs="Arial" w:eastAsia="Arial" w:hAnsi="Arial"/>
                <w:sz w:val="13"/>
                <w:szCs w:val="13"/>
                <w:b w:val="1"/>
                <w:bCs w:val="1"/>
                <w:color w:val="002453"/>
              </w:rPr>
              <w:t xml:space="preserve"> in Last FY(1)</w:t>
            </w:r>
          </w:p>
        </w:tc>
        <w:tc>
          <w:tcPr>
            <w:tcW w:w="1160" w:type="dxa"/>
            <w:vAlign w:val="bottom"/>
            <w:tcBorders>
              <w:bottom w:val="single" w:sz="8" w:color="00C08A"/>
            </w:tcBorders>
            <w:gridSpan w:val="2"/>
          </w:tcPr>
          <w:p>
            <w:pPr>
              <w:ind w:left="60"/>
              <w:spacing w:after="0" w:line="216" w:lineRule="exact"/>
              <w:rPr>
                <w:sz w:val="20"/>
                <w:szCs w:val="20"/>
                <w:color w:val="auto"/>
              </w:rPr>
            </w:pPr>
            <w:r>
              <w:rPr>
                <w:rFonts w:ascii="Arial" w:cs="Arial" w:eastAsia="Arial" w:hAnsi="Arial"/>
                <w:sz w:val="25"/>
                <w:szCs w:val="25"/>
                <w:b w:val="1"/>
                <w:bCs w:val="1"/>
                <w:color w:val="002453"/>
                <w:vertAlign w:val="subscript"/>
              </w:rPr>
              <w:t>​ ​</w:t>
            </w:r>
            <w:r>
              <w:rPr>
                <w:rFonts w:ascii="Arial" w:cs="Arial" w:eastAsia="Arial" w:hAnsi="Arial"/>
                <w:sz w:val="13"/>
                <w:szCs w:val="13"/>
                <w:b w:val="1"/>
                <w:bCs w:val="1"/>
                <w:color w:val="002453"/>
              </w:rPr>
              <w:t xml:space="preserve">  in Last FY</w:t>
            </w:r>
          </w:p>
        </w:tc>
        <w:tc>
          <w:tcPr>
            <w:tcW w:w="1040" w:type="dxa"/>
            <w:vAlign w:val="bottom"/>
            <w:tcBorders>
              <w:bottom w:val="single" w:sz="8" w:color="00C08A"/>
            </w:tcBorders>
          </w:tcPr>
          <w:p>
            <w:pPr>
              <w:ind w:left="80"/>
              <w:spacing w:after="0" w:line="216" w:lineRule="exact"/>
              <w:rPr>
                <w:sz w:val="20"/>
                <w:szCs w:val="20"/>
                <w:color w:val="auto"/>
              </w:rPr>
            </w:pPr>
            <w:r>
              <w:rPr>
                <w:rFonts w:ascii="Arial" w:cs="Arial" w:eastAsia="Arial" w:hAnsi="Arial"/>
                <w:sz w:val="25"/>
                <w:szCs w:val="25"/>
                <w:b w:val="1"/>
                <w:bCs w:val="1"/>
                <w:color w:val="002453"/>
                <w:vertAlign w:val="subscript"/>
              </w:rPr>
              <w:t>​ ​</w:t>
            </w:r>
            <w:r>
              <w:rPr>
                <w:rFonts w:ascii="Arial" w:cs="Arial" w:eastAsia="Arial" w:hAnsi="Arial"/>
                <w:sz w:val="13"/>
                <w:szCs w:val="13"/>
                <w:b w:val="1"/>
                <w:bCs w:val="1"/>
                <w:color w:val="002453"/>
              </w:rPr>
              <w:t xml:space="preserve"> Last FY(2)</w:t>
            </w:r>
          </w:p>
        </w:tc>
        <w:tc>
          <w:tcPr>
            <w:tcW w:w="1380" w:type="dxa"/>
            <w:vAlign w:val="bottom"/>
            <w:tcBorders>
              <w:bottom w:val="single" w:sz="8" w:color="00C08A"/>
            </w:tcBorders>
            <w:gridSpan w:val="3"/>
          </w:tcPr>
          <w:p>
            <w:pPr>
              <w:jc w:val="center"/>
              <w:ind w:left="15"/>
              <w:spacing w:after="0" w:line="216" w:lineRule="exact"/>
              <w:rPr>
                <w:sz w:val="20"/>
                <w:szCs w:val="20"/>
                <w:color w:val="auto"/>
              </w:rPr>
            </w:pPr>
            <w:r>
              <w:rPr>
                <w:rFonts w:ascii="Arial" w:cs="Arial" w:eastAsia="Arial" w:hAnsi="Arial"/>
                <w:sz w:val="25"/>
                <w:szCs w:val="25"/>
                <w:b w:val="1"/>
                <w:bCs w:val="1"/>
                <w:color w:val="002453"/>
                <w:vertAlign w:val="subscript"/>
              </w:rPr>
              <w:t>​ ​</w:t>
            </w:r>
            <w:r>
              <w:rPr>
                <w:rFonts w:ascii="Arial" w:cs="Arial" w:eastAsia="Arial" w:hAnsi="Arial"/>
                <w:sz w:val="13"/>
                <w:szCs w:val="13"/>
                <w:b w:val="1"/>
                <w:bCs w:val="1"/>
                <w:color w:val="002453"/>
              </w:rPr>
              <w:t xml:space="preserve"> Distributions </w:t>
            </w:r>
            <w:r>
              <w:rPr>
                <w:rFonts w:ascii="Arial" w:cs="Arial" w:eastAsia="Arial" w:hAnsi="Arial"/>
                <w:sz w:val="25"/>
                <w:szCs w:val="25"/>
                <w:b w:val="1"/>
                <w:bCs w:val="1"/>
                <w:color w:val="002453"/>
                <w:vertAlign w:val="subscript"/>
              </w:rPr>
              <w:t>​ ​</w:t>
            </w:r>
          </w:p>
        </w:tc>
        <w:tc>
          <w:tcPr>
            <w:tcW w:w="11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FYE(3)</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Douglas A. Cifu</w:t>
            </w:r>
          </w:p>
        </w:tc>
        <w:tc>
          <w:tcPr>
            <w:tcW w:w="1480" w:type="dxa"/>
            <w:vAlign w:val="bottom"/>
            <w:shd w:val="clear" w:color="auto" w:fill="CCEEFF"/>
          </w:tcPr>
          <w:p>
            <w:pPr>
              <w:jc w:val="center"/>
              <w:ind w:left="455"/>
              <w:spacing w:after="0" w:line="196" w:lineRule="exact"/>
              <w:rPr>
                <w:sz w:val="20"/>
                <w:szCs w:val="20"/>
                <w:color w:val="auto"/>
              </w:rPr>
            </w:pPr>
            <w:r>
              <w:rPr>
                <w:rFonts w:ascii="Arial" w:cs="Arial" w:eastAsia="Arial" w:hAnsi="Arial"/>
                <w:sz w:val="18"/>
                <w:szCs w:val="18"/>
                <w:color w:val="auto"/>
              </w:rPr>
              <w:t>$2,539,908</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$(873,287)</w:t>
            </w:r>
          </w:p>
        </w:tc>
        <w:tc>
          <w:tcPr>
            <w:tcW w:w="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00" w:type="dxa"/>
            <w:vAlign w:val="bottom"/>
            <w:tcBorders>
              <w:right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$3,828,871</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740" w:type="dxa"/>
            <w:vAlign w:val="bottom"/>
            <w:tcBorders>
              <w:bottom w:val="single" w:sz="8" w:color="00C08A"/>
            </w:tcBorders>
            <w:shd w:val="clear" w:color="auto" w:fill="CCEEFF"/>
          </w:tcPr>
          <w:p>
            <w:pPr>
              <w:spacing w:after="0"/>
              <w:rPr>
                <w:sz w:val="5"/>
                <w:szCs w:val="5"/>
                <w:color w:val="auto"/>
              </w:rPr>
            </w:pPr>
          </w:p>
        </w:tc>
        <w:tc>
          <w:tcPr>
            <w:tcW w:w="1480" w:type="dxa"/>
            <w:vAlign w:val="bottom"/>
            <w:tcBorders>
              <w:bottom w:val="single" w:sz="8" w:color="00C08A"/>
            </w:tcBorders>
            <w:shd w:val="clear" w:color="auto" w:fill="CCEEFF"/>
          </w:tcPr>
          <w:p>
            <w:pPr>
              <w:ind w:left="360"/>
              <w:spacing w:after="0" w:line="68" w:lineRule="exact"/>
              <w:rPr>
                <w:sz w:val="20"/>
                <w:szCs w:val="20"/>
                <w:color w:val="auto"/>
              </w:rPr>
            </w:pPr>
            <w:r>
              <w:rPr>
                <w:rFonts w:ascii="Arial" w:cs="Arial" w:eastAsia="Arial" w:hAnsi="Arial"/>
                <w:sz w:val="7"/>
                <w:szCs w:val="7"/>
                <w:color w:val="auto"/>
              </w:rPr>
              <w:t>​ ​​</w:t>
            </w:r>
          </w:p>
        </w:tc>
        <w:tc>
          <w:tcPr>
            <w:tcW w:w="200" w:type="dxa"/>
            <w:vAlign w:val="bottom"/>
            <w:tcBorders>
              <w:bottom w:val="single" w:sz="8" w:color="00C08A"/>
            </w:tcBorders>
            <w:vMerge w:val="continue"/>
            <w:shd w:val="clear" w:color="auto" w:fill="CCEEFF"/>
          </w:tcPr>
          <w:p>
            <w:pPr>
              <w:spacing w:after="0"/>
              <w:rPr>
                <w:sz w:val="5"/>
                <w:szCs w:val="5"/>
                <w:color w:val="auto"/>
              </w:rPr>
            </w:pPr>
          </w:p>
        </w:tc>
        <w:tc>
          <w:tcPr>
            <w:tcW w:w="960" w:type="dxa"/>
            <w:vAlign w:val="bottom"/>
            <w:tcBorders>
              <w:bottom w:val="single" w:sz="8" w:color="00C08A"/>
            </w:tcBorders>
            <w:shd w:val="clear" w:color="auto" w:fill="CCEEFF"/>
          </w:tcPr>
          <w:p>
            <w:pPr>
              <w:spacing w:after="0"/>
              <w:rPr>
                <w:sz w:val="5"/>
                <w:szCs w:val="5"/>
                <w:color w:val="auto"/>
              </w:rPr>
            </w:pPr>
          </w:p>
        </w:tc>
        <w:tc>
          <w:tcPr>
            <w:tcW w:w="1040" w:type="dxa"/>
            <w:vAlign w:val="bottom"/>
            <w:tcBorders>
              <w:bottom w:val="single" w:sz="8" w:color="00C08A"/>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 ​​</w:t>
            </w:r>
          </w:p>
        </w:tc>
        <w:tc>
          <w:tcPr>
            <w:tcW w:w="260" w:type="dxa"/>
            <w:vAlign w:val="bottom"/>
            <w:tcBorders>
              <w:bottom w:val="single" w:sz="8" w:color="00C08A"/>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 ​</w:t>
            </w:r>
          </w:p>
        </w:tc>
        <w:tc>
          <w:tcPr>
            <w:tcW w:w="840" w:type="dxa"/>
            <w:vAlign w:val="bottom"/>
            <w:tcBorders>
              <w:bottom w:val="single" w:sz="8" w:color="00C08A"/>
            </w:tcBorders>
            <w:shd w:val="clear" w:color="auto" w:fill="CCEEFF"/>
          </w:tcPr>
          <w:p>
            <w:pPr>
              <w:spacing w:after="0"/>
              <w:rPr>
                <w:sz w:val="5"/>
                <w:szCs w:val="5"/>
                <w:color w:val="auto"/>
              </w:rPr>
            </w:pPr>
          </w:p>
        </w:tc>
        <w:tc>
          <w:tcPr>
            <w:tcW w:w="280" w:type="dxa"/>
            <w:vAlign w:val="bottom"/>
            <w:tcBorders>
              <w:bottom w:val="single" w:sz="8" w:color="00C08A"/>
            </w:tcBorders>
            <w:vMerge w:val="continue"/>
            <w:shd w:val="clear" w:color="auto" w:fill="CCEEFF"/>
          </w:tcPr>
          <w:p>
            <w:pPr>
              <w:spacing w:after="0"/>
              <w:rPr>
                <w:sz w:val="5"/>
                <w:szCs w:val="5"/>
                <w:color w:val="auto"/>
              </w:rPr>
            </w:pPr>
          </w:p>
        </w:tc>
        <w:tc>
          <w:tcPr>
            <w:tcW w:w="1100" w:type="dxa"/>
            <w:vAlign w:val="bottom"/>
            <w:tcBorders>
              <w:bottom w:val="single" w:sz="8" w:color="00C08A"/>
              <w:right w:val="single" w:sz="8" w:color="CCEEFF"/>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Joseph Molluso</w:t>
            </w:r>
          </w:p>
        </w:tc>
        <w:tc>
          <w:tcPr>
            <w:tcW w:w="1480" w:type="dxa"/>
            <w:vAlign w:val="bottom"/>
          </w:tcPr>
          <w:p>
            <w:pPr>
              <w:jc w:val="center"/>
              <w:ind w:left="455"/>
              <w:spacing w:after="0" w:line="196" w:lineRule="exact"/>
              <w:rPr>
                <w:sz w:val="20"/>
                <w:szCs w:val="20"/>
                <w:color w:val="auto"/>
              </w:rPr>
            </w:pPr>
            <w:r>
              <w:rPr>
                <w:rFonts w:ascii="Arial" w:cs="Arial" w:eastAsia="Arial" w:hAnsi="Arial"/>
                <w:sz w:val="18"/>
                <w:szCs w:val="18"/>
                <w:color w:val="auto"/>
              </w:rPr>
              <w:t>$  504,610</w:t>
            </w:r>
          </w:p>
        </w:tc>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960" w:type="dxa"/>
            <w:vAlign w:val="bottom"/>
          </w:tcPr>
          <w:p>
            <w:pPr>
              <w:jc w:val="center"/>
              <w:spacing w:after="0" w:line="195" w:lineRule="exact"/>
              <w:rPr>
                <w:sz w:val="20"/>
                <w:szCs w:val="20"/>
                <w:color w:val="auto"/>
              </w:rPr>
            </w:pPr>
            <w:r>
              <w:rPr>
                <w:rFonts w:ascii="Arial" w:cs="Arial" w:eastAsia="Arial" w:hAnsi="Arial"/>
                <w:sz w:val="13"/>
                <w:szCs w:val="13"/>
                <w:color w:val="auto"/>
              </w:rPr>
              <w:t>​</w:t>
            </w:r>
            <w:r>
              <w:rPr>
                <w:rFonts w:ascii="Arial" w:cs="Arial" w:eastAsia="Arial" w:hAnsi="Arial"/>
                <w:sz w:val="22"/>
                <w:szCs w:val="22"/>
                <w:color w:val="auto"/>
                <w:vertAlign w:val="superscript"/>
              </w:rPr>
              <w:t>—</w:t>
            </w:r>
          </w:p>
        </w:tc>
        <w:tc>
          <w:tcPr>
            <w:tcW w:w="130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$(157,034)</w:t>
            </w:r>
          </w:p>
        </w:tc>
        <w:tc>
          <w:tcPr>
            <w:tcW w:w="840" w:type="dxa"/>
            <w:vAlign w:val="bottom"/>
          </w:tcPr>
          <w:p>
            <w:pPr>
              <w:jc w:val="center"/>
              <w:spacing w:after="0" w:line="195" w:lineRule="exact"/>
              <w:rPr>
                <w:sz w:val="20"/>
                <w:szCs w:val="20"/>
                <w:color w:val="auto"/>
              </w:rPr>
            </w:pPr>
            <w:r>
              <w:rPr>
                <w:rFonts w:ascii="Arial" w:cs="Arial" w:eastAsia="Arial" w:hAnsi="Arial"/>
                <w:sz w:val="13"/>
                <w:szCs w:val="13"/>
                <w:color w:val="auto"/>
              </w:rPr>
              <w:t>​</w:t>
            </w:r>
            <w:r>
              <w:rPr>
                <w:rFonts w:ascii="Arial" w:cs="Arial" w:eastAsia="Arial" w:hAnsi="Arial"/>
                <w:sz w:val="22"/>
                <w:szCs w:val="22"/>
                <w:color w:val="auto"/>
                <w:vertAlign w:val="superscript"/>
              </w:rPr>
              <w:t>—</w:t>
            </w: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rPr>
              <w:t>$  347,576</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740" w:type="dxa"/>
            <w:vAlign w:val="bottom"/>
            <w:tcBorders>
              <w:bottom w:val="single" w:sz="8" w:color="00C08A"/>
            </w:tcBorders>
          </w:tcPr>
          <w:p>
            <w:pPr>
              <w:spacing w:after="0"/>
              <w:rPr>
                <w:sz w:val="5"/>
                <w:szCs w:val="5"/>
                <w:color w:val="auto"/>
              </w:rPr>
            </w:pPr>
          </w:p>
        </w:tc>
        <w:tc>
          <w:tcPr>
            <w:tcW w:w="1480" w:type="dxa"/>
            <w:vAlign w:val="bottom"/>
            <w:tcBorders>
              <w:bottom w:val="single" w:sz="8" w:color="00C08A"/>
            </w:tcBorders>
          </w:tcPr>
          <w:p>
            <w:pPr>
              <w:ind w:left="360"/>
              <w:spacing w:after="0" w:line="68" w:lineRule="exact"/>
              <w:rPr>
                <w:sz w:val="20"/>
                <w:szCs w:val="20"/>
                <w:color w:val="auto"/>
              </w:rPr>
            </w:pPr>
            <w:r>
              <w:rPr>
                <w:rFonts w:ascii="Arial" w:cs="Arial" w:eastAsia="Arial" w:hAnsi="Arial"/>
                <w:sz w:val="7"/>
                <w:szCs w:val="7"/>
                <w:color w:val="auto"/>
              </w:rPr>
              <w:t>​ ​​</w:t>
            </w:r>
          </w:p>
        </w:tc>
        <w:tc>
          <w:tcPr>
            <w:tcW w:w="200" w:type="dxa"/>
            <w:vAlign w:val="bottom"/>
            <w:tcBorders>
              <w:bottom w:val="single" w:sz="8" w:color="00C08A"/>
            </w:tcBorders>
            <w:vMerge w:val="continue"/>
          </w:tcPr>
          <w:p>
            <w:pPr>
              <w:spacing w:after="0"/>
              <w:rPr>
                <w:sz w:val="5"/>
                <w:szCs w:val="5"/>
                <w:color w:val="auto"/>
              </w:rPr>
            </w:pPr>
          </w:p>
        </w:tc>
        <w:tc>
          <w:tcPr>
            <w:tcW w:w="960" w:type="dxa"/>
            <w:vAlign w:val="bottom"/>
            <w:tcBorders>
              <w:bottom w:val="single" w:sz="8" w:color="00C08A"/>
            </w:tcBorders>
          </w:tcPr>
          <w:p>
            <w:pPr>
              <w:spacing w:after="0"/>
              <w:rPr>
                <w:sz w:val="5"/>
                <w:szCs w:val="5"/>
                <w:color w:val="auto"/>
              </w:rPr>
            </w:pPr>
          </w:p>
        </w:tc>
        <w:tc>
          <w:tcPr>
            <w:tcW w:w="1040" w:type="dxa"/>
            <w:vAlign w:val="bottom"/>
            <w:tcBorders>
              <w:bottom w:val="single" w:sz="8" w:color="00C08A"/>
            </w:tcBorders>
          </w:tcPr>
          <w:p>
            <w:pPr>
              <w:ind w:left="20"/>
              <w:spacing w:after="0" w:line="68" w:lineRule="exact"/>
              <w:rPr>
                <w:sz w:val="20"/>
                <w:szCs w:val="20"/>
                <w:color w:val="auto"/>
              </w:rPr>
            </w:pPr>
            <w:r>
              <w:rPr>
                <w:rFonts w:ascii="Arial" w:cs="Arial" w:eastAsia="Arial" w:hAnsi="Arial"/>
                <w:sz w:val="7"/>
                <w:szCs w:val="7"/>
                <w:color w:val="auto"/>
              </w:rPr>
              <w:t>​​ ​​</w:t>
            </w:r>
          </w:p>
        </w:tc>
        <w:tc>
          <w:tcPr>
            <w:tcW w:w="260" w:type="dxa"/>
            <w:vAlign w:val="bottom"/>
            <w:tcBorders>
              <w:bottom w:val="single" w:sz="8" w:color="00C08A"/>
            </w:tcBorders>
          </w:tcPr>
          <w:p>
            <w:pPr>
              <w:ind w:left="40"/>
              <w:spacing w:after="0" w:line="68" w:lineRule="exact"/>
              <w:rPr>
                <w:sz w:val="20"/>
                <w:szCs w:val="20"/>
                <w:color w:val="auto"/>
              </w:rPr>
            </w:pPr>
            <w:r>
              <w:rPr>
                <w:rFonts w:ascii="Arial" w:cs="Arial" w:eastAsia="Arial" w:hAnsi="Arial"/>
                <w:sz w:val="7"/>
                <w:szCs w:val="7"/>
                <w:color w:val="auto"/>
              </w:rPr>
              <w:t>​​ ​</w:t>
            </w:r>
          </w:p>
        </w:tc>
        <w:tc>
          <w:tcPr>
            <w:tcW w:w="840" w:type="dxa"/>
            <w:vAlign w:val="bottom"/>
            <w:tcBorders>
              <w:bottom w:val="single" w:sz="8" w:color="00C08A"/>
            </w:tcBorders>
          </w:tcPr>
          <w:p>
            <w:pPr>
              <w:spacing w:after="0"/>
              <w:rPr>
                <w:sz w:val="5"/>
                <w:szCs w:val="5"/>
                <w:color w:val="auto"/>
              </w:rPr>
            </w:pPr>
          </w:p>
        </w:tc>
        <w:tc>
          <w:tcPr>
            <w:tcW w:w="280" w:type="dxa"/>
            <w:vAlign w:val="bottom"/>
            <w:tcBorders>
              <w:bottom w:val="single" w:sz="8" w:color="00C08A"/>
            </w:tcBorders>
            <w:vMerge w:val="continue"/>
          </w:tcPr>
          <w:p>
            <w:pPr>
              <w:spacing w:after="0"/>
              <w:rPr>
                <w:sz w:val="5"/>
                <w:szCs w:val="5"/>
                <w:color w:val="auto"/>
              </w:rPr>
            </w:pPr>
          </w:p>
        </w:tc>
        <w:tc>
          <w:tcPr>
            <w:tcW w:w="1100" w:type="dxa"/>
            <w:vAlign w:val="bottom"/>
            <w:tcBorders>
              <w:bottom w:val="single" w:sz="8" w:color="00C08A"/>
            </w:tcBorders>
          </w:tcPr>
          <w:p>
            <w:pPr>
              <w:ind w:left="80"/>
              <w:spacing w:after="0" w:line="68" w:lineRule="exact"/>
              <w:rPr>
                <w:sz w:val="20"/>
                <w:szCs w:val="20"/>
                <w:color w:val="auto"/>
              </w:rPr>
            </w:pPr>
            <w:r>
              <w:rPr>
                <w:rFonts w:ascii="Arial" w:cs="Arial" w:eastAsia="Arial" w:hAnsi="Arial"/>
                <w:sz w:val="7"/>
                <w:szCs w:val="7"/>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980" w:right="300" w:hanging="218"/>
        <w:spacing w:after="0" w:line="298"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vest date fair value of equity awards which vested during the fiscal year and were subject to a qualifying deferral under the DCP and were issued in the form of DSUs.</w:t>
      </w:r>
    </w:p>
    <w:p>
      <w:pPr>
        <w:spacing w:after="0" w:line="72" w:lineRule="exact"/>
        <w:rPr>
          <w:rFonts w:ascii="Arial" w:cs="Arial" w:eastAsia="Arial" w:hAnsi="Arial"/>
          <w:sz w:val="14"/>
          <w:szCs w:val="14"/>
          <w:color w:val="auto"/>
        </w:rPr>
      </w:pPr>
    </w:p>
    <w:p>
      <w:pPr>
        <w:ind w:left="980" w:right="280" w:hanging="218"/>
        <w:spacing w:after="0" w:line="278"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change in value of DSUs disclosed under “Executive Contributions in Last FY” column from vest date to year end, plus the value of dividend equivalents issued in respect of such DSUs</w:t>
      </w:r>
    </w:p>
    <w:p>
      <w:pPr>
        <w:spacing w:after="0" w:line="86" w:lineRule="exact"/>
        <w:rPr>
          <w:rFonts w:ascii="Arial" w:cs="Arial" w:eastAsia="Arial" w:hAnsi="Arial"/>
          <w:sz w:val="14"/>
          <w:szCs w:val="14"/>
          <w:color w:val="auto"/>
        </w:rPr>
      </w:pPr>
    </w:p>
    <w:p>
      <w:pPr>
        <w:ind w:left="980" w:hanging="218"/>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aggregate value of all deferred amounts by each participant as of last fiscal year end.</w:t>
      </w:r>
    </w:p>
    <w:p>
      <w:pPr>
        <w:spacing w:after="0" w:line="208" w:lineRule="exact"/>
        <w:rPr>
          <w:sz w:val="20"/>
          <w:szCs w:val="20"/>
          <w:color w:val="auto"/>
        </w:rPr>
      </w:pPr>
    </w:p>
    <w:p>
      <w:pPr>
        <w:jc w:val="center"/>
        <w:ind w:left="1300" w:right="280"/>
        <w:spacing w:after="0" w:line="242" w:lineRule="auto"/>
        <w:rPr>
          <w:sz w:val="20"/>
          <w:szCs w:val="20"/>
          <w:color w:val="auto"/>
        </w:rPr>
      </w:pPr>
      <w:r>
        <w:rPr>
          <w:rFonts w:ascii="Arial" w:cs="Arial" w:eastAsia="Arial" w:hAnsi="Arial"/>
          <w:sz w:val="29"/>
          <w:szCs w:val="29"/>
          <w:color w:val="00C08A"/>
        </w:rPr>
        <w:t>POTENTIAL PAYMENTS UPON TERMINATION OF EMPLOYMENT OR CHANGE IN CONTROL</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w:t>
      </w:r>
    </w:p>
    <w:p>
      <w:pPr>
        <w:spacing w:after="0" w:line="135" w:lineRule="exact"/>
        <w:rPr>
          <w:sz w:val="20"/>
          <w:szCs w:val="20"/>
          <w:color w:val="auto"/>
        </w:rPr>
      </w:pPr>
    </w:p>
    <w:p>
      <w:pPr>
        <w:ind w:left="760" w:right="120"/>
        <w:spacing w:after="0" w:line="254" w:lineRule="auto"/>
        <w:rPr>
          <w:sz w:val="20"/>
          <w:szCs w:val="20"/>
          <w:color w:val="auto"/>
        </w:rPr>
      </w:pPr>
      <w:r>
        <w:rPr>
          <w:rFonts w:ascii="Arial" w:cs="Arial" w:eastAsia="Arial" w:hAnsi="Arial"/>
          <w:sz w:val="17"/>
          <w:szCs w:val="17"/>
          <w:color w:val="auto"/>
        </w:rPr>
        <w:t>Under Mr. Cifu’s employment agreement, if Mr. Cifu’s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Mr. Cifu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Cifu Severance</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(B) continued health, dental, vision and life insurance benefits under the terms of our benefit plans for</w:t>
      </w:r>
    </w:p>
    <w:p>
      <w:pPr>
        <w:spacing w:after="0" w:line="5" w:lineRule="exact"/>
        <w:rPr>
          <w:sz w:val="20"/>
          <w:szCs w:val="20"/>
          <w:color w:val="auto"/>
        </w:rPr>
      </w:pPr>
    </w:p>
    <w:p>
      <w:pPr>
        <w:ind w:left="760" w:right="120" w:firstLine="2"/>
        <w:spacing w:after="0" w:line="257" w:lineRule="auto"/>
        <w:tabs>
          <w:tab w:leader="none" w:pos="101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twelve months or (y) the period from termination of employment through the remainder of the term, whichever is longer (the “</w:t>
      </w:r>
      <w:r>
        <w:rPr>
          <w:rFonts w:ascii="Arial" w:cs="Arial" w:eastAsia="Arial" w:hAnsi="Arial"/>
          <w:sz w:val="17"/>
          <w:szCs w:val="17"/>
          <w:b w:val="1"/>
          <w:bCs w:val="1"/>
          <w:color w:val="auto"/>
        </w:rPr>
        <w:t>Benefits Continuation Period</w:t>
      </w:r>
      <w:r>
        <w:rPr>
          <w:rFonts w:ascii="Arial" w:cs="Arial" w:eastAsia="Arial" w:hAnsi="Arial"/>
          <w:sz w:val="17"/>
          <w:szCs w:val="17"/>
          <w:color w:val="auto"/>
        </w:rPr>
        <w:t>”); and following the Benefits Continuation Period, continued participation in the Company’s health, dental, vision and life insurance until the earlier of (i) Mr. Cifu’s independents reaching the age of 26, (ii) Mr. Cifu or his spouse becoming eligible for Medicare, or (iii) Mr. Cifu becoming eligible for comparable coverage under another employer’s benefit plans, subject to Mr. Cifu’s payment of the full cost of such benefits; (C)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7"/>
          <w:szCs w:val="17"/>
          <w:b w:val="1"/>
          <w:bCs w:val="1"/>
          <w:color w:val="auto"/>
        </w:rPr>
        <w:t>Cifu Equity Acceleration</w:t>
      </w:r>
      <w:r>
        <w:rPr>
          <w:rFonts w:ascii="Arial" w:cs="Arial" w:eastAsia="Arial" w:hAnsi="Arial"/>
          <w:sz w:val="17"/>
          <w:szCs w:val="17"/>
          <w:color w:val="auto"/>
        </w:rPr>
        <w:t>”); (D) accelerated vesting of any earned but unvested shares of Class A common stock under the annual equity grant granted in the year prior to the year of termination; and (E) 150,000 shares of fully vested Class A common stock or DSUs, if elected.</w:t>
      </w:r>
    </w:p>
    <w:p>
      <w:pPr>
        <w:spacing w:after="0" w:line="80"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Under the New Molluso Employment Agreement, if Mr. Molluso’s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Molluso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8"/>
          <w:szCs w:val="18"/>
          <w:b w:val="1"/>
          <w:bCs w:val="1"/>
          <w:color w:val="auto"/>
        </w:rPr>
        <w:t>Molluso Severance Amount</w:t>
      </w:r>
      <w:r>
        <w:rPr>
          <w:rFonts w:ascii="Arial" w:cs="Arial" w:eastAsia="Arial" w:hAnsi="Arial"/>
          <w:sz w:val="18"/>
          <w:szCs w:val="18"/>
          <w:color w:val="auto"/>
        </w:rPr>
        <w:t>”); (B) Mr. Molluso will receive any bonus that the Company has definitively determined to pay Mr. Molluso and which was authorized and approved, but had not yet been paid as of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196215</wp:posOffset>
            </wp:positionV>
            <wp:extent cx="754380" cy="240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80"/>
        <w:spacing w:after="0" w:line="238" w:lineRule="auto"/>
        <w:rPr>
          <w:sz w:val="20"/>
          <w:szCs w:val="20"/>
          <w:color w:val="auto"/>
        </w:rPr>
      </w:pPr>
      <w:r>
        <w:rPr>
          <w:rFonts w:ascii="Arial" w:cs="Arial" w:eastAsia="Arial" w:hAnsi="Arial"/>
          <w:sz w:val="18"/>
          <w:szCs w:val="18"/>
          <w:color w:val="auto"/>
        </w:rPr>
        <w:t>termination; (C) Mr. Molluso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Molluso’s independents reaching the age of 26, (ii) Mr. Molluso or his spouse becoming eligible for Medicare, or</w:t>
      </w:r>
    </w:p>
    <w:p>
      <w:pPr>
        <w:spacing w:after="0" w:line="2" w:lineRule="exact"/>
        <w:rPr>
          <w:sz w:val="20"/>
          <w:szCs w:val="20"/>
          <w:color w:val="auto"/>
        </w:rPr>
      </w:pPr>
    </w:p>
    <w:p>
      <w:pPr>
        <w:ind w:left="760" w:right="80" w:firstLine="2"/>
        <w:spacing w:after="0" w:line="241" w:lineRule="auto"/>
        <w:tabs>
          <w:tab w:leader="none" w:pos="10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Molluso becoming eligible for comparable coverage under another employer’s benefit plans, subject to Mr. Molluso’s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Molluso Equity</w:t>
      </w:r>
      <w:r>
        <w:rPr>
          <w:rFonts w:ascii="Arial" w:cs="Arial" w:eastAsia="Arial" w:hAnsi="Arial"/>
          <w:sz w:val="18"/>
          <w:szCs w:val="18"/>
          <w:color w:val="auto"/>
        </w:rPr>
        <w:t xml:space="preserve"> </w:t>
      </w:r>
      <w:r>
        <w:rPr>
          <w:rFonts w:ascii="Arial" w:cs="Arial" w:eastAsia="Arial" w:hAnsi="Arial"/>
          <w:sz w:val="18"/>
          <w:szCs w:val="18"/>
          <w:b w:val="1"/>
          <w:bCs w:val="1"/>
          <w:color w:val="auto"/>
        </w:rPr>
        <w:t>Acceleration</w:t>
      </w:r>
      <w:r>
        <w:rPr>
          <w:rFonts w:ascii="Arial" w:cs="Arial" w:eastAsia="Arial" w:hAnsi="Arial"/>
          <w:sz w:val="18"/>
          <w:szCs w:val="18"/>
          <w:color w:val="auto"/>
        </w:rPr>
        <w:t>”); (E) accelerated vesting of any earned but unvested shares of Class A common stock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equity grant granted in the year prior to the year of termination; and (F) 75,000 shares of fully vested Class A common stock or DSUs, if elected.</w:t>
      </w:r>
    </w:p>
    <w:p>
      <w:pPr>
        <w:spacing w:after="0" w:line="111" w:lineRule="exact"/>
        <w:rPr>
          <w:sz w:val="20"/>
          <w:szCs w:val="20"/>
          <w:color w:val="auto"/>
        </w:rPr>
      </w:pPr>
    </w:p>
    <w:p>
      <w:pPr>
        <w:ind w:left="760" w:right="120"/>
        <w:spacing w:after="0" w:line="254" w:lineRule="auto"/>
        <w:rPr>
          <w:sz w:val="20"/>
          <w:szCs w:val="20"/>
          <w:color w:val="auto"/>
        </w:rPr>
      </w:pPr>
      <w:r>
        <w:rPr>
          <w:rFonts w:ascii="Arial" w:cs="Arial" w:eastAsia="Arial" w:hAnsi="Arial"/>
          <w:sz w:val="17"/>
          <w:szCs w:val="17"/>
          <w:color w:val="auto"/>
        </w:rPr>
        <w:t>Under the New Fairclough Employment Agreement, if Mr. Fairclough’s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Fairclough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Fairclough Severance Amount</w:t>
      </w:r>
      <w:r>
        <w:rPr>
          <w:rFonts w:ascii="Arial" w:cs="Arial" w:eastAsia="Arial" w:hAnsi="Arial"/>
          <w:sz w:val="17"/>
          <w:szCs w:val="17"/>
          <w:color w:val="auto"/>
        </w:rPr>
        <w:t>”); (B) Mr. Fairclough will receive any bonus that the Company has definitively determined to pay Mr. Fairclough and which was authorized and approved, but had not yet been paid as of the date of termination; (C) Mr. Fairclough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w:t>
      </w:r>
    </w:p>
    <w:p>
      <w:pPr>
        <w:spacing w:after="0" w:line="1" w:lineRule="exact"/>
        <w:rPr>
          <w:sz w:val="20"/>
          <w:szCs w:val="20"/>
          <w:color w:val="auto"/>
        </w:rPr>
      </w:pPr>
    </w:p>
    <w:p>
      <w:pPr>
        <w:ind w:left="760" w:right="100" w:firstLine="2"/>
        <w:spacing w:after="0"/>
        <w:tabs>
          <w:tab w:leader="none" w:pos="9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Fairclough’s independents reaching the age of 26, (ii) Mr. Fairclough or his spouse becoming eligible for Medicare, or (iii) Mr. Fairclough becoming eligible for comparable coverage under another employer’s benefit plans, subject to Mr. Fairclough’s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Fairclough Equity Acceleration</w:t>
      </w:r>
      <w:r>
        <w:rPr>
          <w:rFonts w:ascii="Arial" w:cs="Arial" w:eastAsia="Arial" w:hAnsi="Arial"/>
          <w:sz w:val="18"/>
          <w:szCs w:val="18"/>
          <w:color w:val="auto"/>
        </w:rPr>
        <w:t>”); (E) accelerated vesting of any earned but unvested shares of Class A common stock under the annual equity grant granted in the year prior to the year of termination; and (F) 75,000 shares of fully vested Class A common stock or DSUs, if elected.</w:t>
      </w:r>
    </w:p>
    <w:p>
      <w:pPr>
        <w:spacing w:after="0" w:line="99" w:lineRule="exact"/>
        <w:rPr>
          <w:sz w:val="20"/>
          <w:szCs w:val="20"/>
          <w:color w:val="auto"/>
        </w:rPr>
      </w:pPr>
    </w:p>
    <w:p>
      <w:pPr>
        <w:ind w:left="760" w:right="100"/>
        <w:spacing w:after="0" w:line="254" w:lineRule="auto"/>
        <w:rPr>
          <w:sz w:val="20"/>
          <w:szCs w:val="20"/>
          <w:color w:val="auto"/>
        </w:rPr>
      </w:pPr>
      <w:r>
        <w:rPr>
          <w:rFonts w:ascii="Arial" w:cs="Arial" w:eastAsia="Arial" w:hAnsi="Arial"/>
          <w:sz w:val="17"/>
          <w:szCs w:val="17"/>
          <w:color w:val="auto"/>
        </w:rPr>
        <w:t>Under Mr. Cavoli’s current employment agreement, if Mr. Cavoli’s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Cavoli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Cavoli</w:t>
      </w:r>
      <w:r>
        <w:rPr>
          <w:rFonts w:ascii="Arial" w:cs="Arial" w:eastAsia="Arial" w:hAnsi="Arial"/>
          <w:sz w:val="17"/>
          <w:szCs w:val="17"/>
          <w:color w:val="auto"/>
        </w:rPr>
        <w:t xml:space="preserve"> </w:t>
      </w:r>
      <w:r>
        <w:rPr>
          <w:rFonts w:ascii="Arial" w:cs="Arial" w:eastAsia="Arial" w:hAnsi="Arial"/>
          <w:sz w:val="17"/>
          <w:szCs w:val="17"/>
          <w:b w:val="1"/>
          <w:bCs w:val="1"/>
          <w:color w:val="auto"/>
        </w:rPr>
        <w:t>Severance Amount</w:t>
      </w:r>
      <w:r>
        <w:rPr>
          <w:rFonts w:ascii="Arial" w:cs="Arial" w:eastAsia="Arial" w:hAnsi="Arial"/>
          <w:sz w:val="17"/>
          <w:szCs w:val="17"/>
          <w:color w:val="auto"/>
        </w:rPr>
        <w:t>”); (B) Mr. Cavoli will receive any bonus that the Company has definitively determined to pay</w:t>
      </w:r>
      <w:r>
        <w:rPr>
          <w:rFonts w:ascii="Arial" w:cs="Arial" w:eastAsia="Arial" w:hAnsi="Arial"/>
          <w:sz w:val="17"/>
          <w:szCs w:val="17"/>
          <w:b w:val="1"/>
          <w:bCs w:val="1"/>
          <w:color w:val="auto"/>
        </w:rPr>
        <w:t xml:space="preserve"> </w:t>
      </w:r>
      <w:r>
        <w:rPr>
          <w:rFonts w:ascii="Arial" w:cs="Arial" w:eastAsia="Arial" w:hAnsi="Arial"/>
          <w:sz w:val="17"/>
          <w:szCs w:val="17"/>
          <w:color w:val="auto"/>
        </w:rPr>
        <w:t>Mr. Cavoli and which was authorized and approved, but had not yet been paid as of the date of termination;</w:t>
      </w:r>
    </w:p>
    <w:p>
      <w:pPr>
        <w:spacing w:after="0" w:line="1" w:lineRule="exact"/>
        <w:rPr>
          <w:sz w:val="20"/>
          <w:szCs w:val="20"/>
          <w:color w:val="auto"/>
        </w:rPr>
      </w:pPr>
    </w:p>
    <w:p>
      <w:pPr>
        <w:ind w:left="760" w:right="100" w:firstLine="2"/>
        <w:spacing w:after="0" w:line="241" w:lineRule="auto"/>
        <w:tabs>
          <w:tab w:leader="none" w:pos="10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Cavoli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Cavoli’s independents reaching the age of 26, (ii) Mr. Cavoli or his spouse becoming eligible for Medicare, or (iii) Mr. Cavoli becoming eligible for comparable coverage under another employer’s benefit plans, subject to Mr. Cavoli’s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Cavoli Equity Acceleration</w:t>
      </w:r>
      <w:r>
        <w:rPr>
          <w:rFonts w:ascii="Arial" w:cs="Arial" w:eastAsia="Arial" w:hAnsi="Arial"/>
          <w:sz w:val="18"/>
          <w:szCs w:val="18"/>
          <w:color w:val="auto"/>
        </w:rPr>
        <w:t>”); (E) accelerated vesting of any earned but unvested shares of Class A common stock under the annual equity grant granted in the year prior to the year of termination; and (F) 75,000 shares of fully vested Class A common stock or DSUs, if elected.</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Galvin is not entitled to any payments or benefits in connection with the termination of his employment.</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 Upon a Change in Control Termination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Mr. Cifu is terminated at any time within sixty days before, or 24 months following, a change in control, then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Mr. Cifu is entitled to the payments and benefits described above, however (1) in lieu of the Cifu Severance Amount,</w:t>
      </w:r>
    </w:p>
    <w:p>
      <w:pPr>
        <w:spacing w:after="0" w:line="29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200"/>
        <w:spacing w:after="0" w:line="241" w:lineRule="auto"/>
        <w:rPr>
          <w:sz w:val="20"/>
          <w:szCs w:val="20"/>
          <w:color w:val="auto"/>
        </w:rPr>
      </w:pPr>
      <w:r>
        <w:rPr>
          <w:rFonts w:ascii="Arial" w:cs="Arial" w:eastAsia="Arial" w:hAnsi="Arial"/>
          <w:sz w:val="18"/>
          <w:szCs w:val="18"/>
          <w:color w:val="auto"/>
        </w:rPr>
        <w:t>Mr. Cifu will be entitled to receive two and a half times the sum of (x) his base salary and (y) the annual bonus (including any amounts deferred or satisfied through the grant of equity awards) most recently awarded to Mr. Cifu for a completed fiscal year of the Company; (2) the Benefits Continuation Period will be extended to (x) 24 months or (y) the period from termination of employment through the remainder of the term, whichever is longer; and (3) in lieu of the Cifu Equity Acceleration, Mr. Cifu will be entitled to a pro rata portion of all of the shares underlying his then current annual equity grant, which shall be deemed vested on the last day of the calendar year to which such award relates.</w:t>
      </w:r>
    </w:p>
    <w:p>
      <w:pPr>
        <w:spacing w:after="0" w:line="98" w:lineRule="exact"/>
        <w:rPr>
          <w:sz w:val="20"/>
          <w:szCs w:val="20"/>
          <w:color w:val="auto"/>
        </w:rPr>
      </w:pPr>
    </w:p>
    <w:p>
      <w:pPr>
        <w:ind w:left="760" w:right="80"/>
        <w:spacing w:after="0" w:line="265" w:lineRule="auto"/>
        <w:rPr>
          <w:sz w:val="20"/>
          <w:szCs w:val="20"/>
          <w:color w:val="auto"/>
        </w:rPr>
      </w:pPr>
      <w:r>
        <w:rPr>
          <w:rFonts w:ascii="Arial" w:cs="Arial" w:eastAsia="Arial" w:hAnsi="Arial"/>
          <w:sz w:val="17"/>
          <w:szCs w:val="17"/>
          <w:color w:val="auto"/>
        </w:rPr>
        <w:t>If Mr. Molluso is terminated at any time in anticipation of, or within 12 months following, a change in control, then Mr. Molluso is entitled to the payments and benefits described above, however (1) in lieu of the Molluso Severance Amount, Mr. Molluso will be entitled to receive two and a half times the sum of (x) his base salary and (y) the annual bonus (including any amounts deferred or satisfied through the grant of equity awards) most recently awarded to Mr. Molluso for a completed fiscal year of the Company; (2) the Benefits Continuation Period will be extended to</w:t>
      </w:r>
    </w:p>
    <w:p>
      <w:pPr>
        <w:spacing w:after="0" w:line="1" w:lineRule="exact"/>
        <w:rPr>
          <w:sz w:val="20"/>
          <w:szCs w:val="20"/>
          <w:color w:val="auto"/>
        </w:rPr>
      </w:pPr>
    </w:p>
    <w:p>
      <w:pPr>
        <w:ind w:left="760" w:right="100" w:firstLine="2"/>
        <w:spacing w:after="0" w:line="254" w:lineRule="auto"/>
        <w:tabs>
          <w:tab w:leader="none" w:pos="10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24 months or (y) the period from termination of employment through the remainder of the term, whichever is longer; and (3) in lieu of the Molluso Equity Acceleration, Mr. Molluso will be entitled to a pro rata portion of all of the shares underlying his then current annual equity grant, which shall be deemed vested on the last day of the calendar year to which such award relates.</w:t>
      </w:r>
    </w:p>
    <w:p>
      <w:pPr>
        <w:spacing w:after="0" w:line="96" w:lineRule="exact"/>
        <w:rPr>
          <w:sz w:val="20"/>
          <w:szCs w:val="20"/>
          <w:color w:val="auto"/>
        </w:rPr>
      </w:pPr>
    </w:p>
    <w:p>
      <w:pPr>
        <w:ind w:left="760" w:right="100"/>
        <w:spacing w:after="0" w:line="265" w:lineRule="auto"/>
        <w:rPr>
          <w:sz w:val="20"/>
          <w:szCs w:val="20"/>
          <w:color w:val="auto"/>
        </w:rPr>
      </w:pPr>
      <w:r>
        <w:rPr>
          <w:rFonts w:ascii="Arial" w:cs="Arial" w:eastAsia="Arial" w:hAnsi="Arial"/>
          <w:sz w:val="17"/>
          <w:szCs w:val="17"/>
          <w:color w:val="auto"/>
        </w:rPr>
        <w:t>If Mr. Fairclough is terminated at any time in anticipation of, or within 12 months following, a change in control, then Mr. Fairclough is entitled to the payments and benefits described above, however (1) in lieu of the Fairclough Severance Amount, Mr. Fairclough will be entitled to receive two and a half times the sum of (x) his base salary and</w:t>
      </w:r>
    </w:p>
    <w:p>
      <w:pPr>
        <w:ind w:left="760" w:right="80" w:firstLine="2"/>
        <w:spacing w:after="0" w:line="252" w:lineRule="auto"/>
        <w:tabs>
          <w:tab w:leader="none" w:pos="101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bonus (including any amounts deferred or satisfied through the grant of equity awards) most recently awarded to Mr. Fairclough for a completed fiscal year of the Company; (2) the Benefits Continuation Period will be extended to (x) 24 months or (y) the period from termination of employment through the remainder of the term, whichever is longer; and (3) in lieu of the Fairclough Equity Acceleration, Mr. Fairclough will be entitled to a pro rata portion of all of the shares underlying his then current annual equity grant, which shall be deemed vested on the last day of the calendar year to which such award relates.</w:t>
      </w:r>
    </w:p>
    <w:p>
      <w:pPr>
        <w:spacing w:after="0" w:line="100" w:lineRule="exact"/>
        <w:rPr>
          <w:sz w:val="20"/>
          <w:szCs w:val="20"/>
          <w:color w:val="auto"/>
        </w:rPr>
      </w:pPr>
    </w:p>
    <w:p>
      <w:pPr>
        <w:ind w:left="760" w:right="200"/>
        <w:spacing w:after="0" w:line="265" w:lineRule="auto"/>
        <w:rPr>
          <w:sz w:val="20"/>
          <w:szCs w:val="20"/>
          <w:color w:val="auto"/>
        </w:rPr>
      </w:pPr>
      <w:r>
        <w:rPr>
          <w:rFonts w:ascii="Arial" w:cs="Arial" w:eastAsia="Arial" w:hAnsi="Arial"/>
          <w:sz w:val="17"/>
          <w:szCs w:val="17"/>
          <w:color w:val="auto"/>
        </w:rPr>
        <w:t>If Mr. Cavoli is terminated at any time in anticipation of, or within 12 months following, a change in control, then Mr. Cavoli is entitled to the payments and benefits described above, however (1) in lieu of the Cavoli Severance Amount, Mr. Cavoli will be entitled to receive two and a half times the sum of (x) his base salary and (y) the annual bonus (including any amounts deferred or satisfied through the grant of equity awards) most recently awarded to Mr. Cavoli for a completed fiscal year of the Company; (2) the Benefits Continuation Period will be extended to</w:t>
      </w:r>
    </w:p>
    <w:p>
      <w:pPr>
        <w:spacing w:after="0" w:line="1" w:lineRule="exact"/>
        <w:rPr>
          <w:sz w:val="20"/>
          <w:szCs w:val="20"/>
          <w:color w:val="auto"/>
        </w:rPr>
      </w:pPr>
    </w:p>
    <w:p>
      <w:pPr>
        <w:ind w:left="760" w:right="340" w:firstLine="2"/>
        <w:spacing w:after="0" w:line="254" w:lineRule="auto"/>
        <w:tabs>
          <w:tab w:leader="none" w:pos="10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24 months or (y) the period from termination of employment through the remainder of the term, whichever is longer; and (3) in lieu of the Cavoli Equity Acceleration, Mr. Cavoli will be entitled to a pro rata portion of all of the shares underlying his then current annual equity grant, which shall be deemed vested on the last day of the calendar year to which such award relates.</w:t>
      </w:r>
    </w:p>
    <w:p>
      <w:pPr>
        <w:spacing w:after="0" w:line="96" w:lineRule="exact"/>
        <w:rPr>
          <w:sz w:val="20"/>
          <w:szCs w:val="20"/>
          <w:color w:val="auto"/>
        </w:rPr>
      </w:pPr>
    </w:p>
    <w:p>
      <w:pPr>
        <w:ind w:left="760" w:right="680"/>
        <w:spacing w:after="0" w:line="261" w:lineRule="auto"/>
        <w:rPr>
          <w:sz w:val="20"/>
          <w:szCs w:val="20"/>
          <w:color w:val="auto"/>
        </w:rPr>
      </w:pPr>
      <w:r>
        <w:rPr>
          <w:rFonts w:ascii="Arial" w:cs="Arial" w:eastAsia="Arial" w:hAnsi="Arial"/>
          <w:sz w:val="18"/>
          <w:szCs w:val="18"/>
          <w:color w:val="auto"/>
        </w:rPr>
        <w:t>Mr. Galvin is not entitled to any payments or benefits in connection with the termination of his employment in anticipation of, or within 12 months following, a change in control.</w:t>
      </w:r>
    </w:p>
    <w:p>
      <w:pPr>
        <w:spacing w:after="0" w:line="90"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For purposes of the employment agreements with Messrs. Cifu, Molluso, Fairclough, and Cavoli,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 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p>
    <w:p>
      <w:pPr>
        <w:spacing w:after="0" w:line="102"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If any payments to Messrs. Cifu, Molluso, Fairclough, Cavoli, and Galvin are determined to be so called “golden parachute” payments subject to the excise tax under Section 4999 of the Code, then such payments will be reduced to the extent such reduction would result in the executive retaining a greater net after tax amount than he would have retained had he received the full amount of the payments and paid the applicable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207010</wp:posOffset>
            </wp:positionV>
            <wp:extent cx="754380" cy="240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Estimated Payments Upon Termination of Employment or Change in Control</w:t>
      </w:r>
    </w:p>
    <w:p>
      <w:pPr>
        <w:spacing w:after="0" w:line="139"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Assuming each named executive officer’s termination of employment occurred on December 31, 2022, or a change in control occurred on December 31, 2022, the dollar value of the payments and other benefits to be provided to each of the named executive officers are estimated in the table below.</w:t>
      </w:r>
    </w:p>
    <w:p>
      <w:pPr>
        <w:spacing w:after="0" w:line="100" w:lineRule="exact"/>
        <w:rPr>
          <w:sz w:val="20"/>
          <w:szCs w:val="20"/>
          <w:color w:val="auto"/>
        </w:rPr>
      </w:pPr>
    </w:p>
    <w:p>
      <w:pPr>
        <w:jc w:val="center"/>
        <w:ind w:right="-919"/>
        <w:spacing w:after="0"/>
        <w:rPr>
          <w:sz w:val="20"/>
          <w:szCs w:val="20"/>
          <w:color w:val="auto"/>
        </w:rPr>
      </w:pPr>
      <w:r>
        <w:rPr>
          <w:rFonts w:ascii="Arial" w:cs="Arial" w:eastAsia="Arial" w:hAnsi="Arial"/>
          <w:sz w:val="14"/>
          <w:szCs w:val="14"/>
          <w:b w:val="1"/>
          <w:bCs w:val="1"/>
          <w:color w:val="002453"/>
        </w:rPr>
        <w:t>Death,</w:t>
      </w:r>
    </w:p>
    <w:p>
      <w:pPr>
        <w:jc w:val="center"/>
        <w:ind w:right="-919"/>
        <w:spacing w:after="0" w:line="221" w:lineRule="auto"/>
        <w:rPr>
          <w:sz w:val="20"/>
          <w:szCs w:val="20"/>
          <w:color w:val="auto"/>
        </w:rPr>
      </w:pPr>
      <w:r>
        <w:rPr>
          <w:rFonts w:ascii="Arial" w:cs="Arial" w:eastAsia="Arial" w:hAnsi="Arial"/>
          <w:sz w:val="14"/>
          <w:szCs w:val="14"/>
          <w:b w:val="1"/>
          <w:bCs w:val="1"/>
          <w:color w:val="002453"/>
        </w:rPr>
        <w:t>Disability,</w:t>
      </w:r>
    </w:p>
    <w:tbl>
      <w:tblPr>
        <w:tblLayout w:type="fixed"/>
        <w:tblInd w:w="760" w:type="dxa"/>
        <w:tblCellMar>
          <w:top w:w="0" w:type="dxa"/>
          <w:left w:w="0" w:type="dxa"/>
          <w:bottom w:w="0" w:type="dxa"/>
          <w:right w:w="0" w:type="dxa"/>
        </w:tblCellMar>
      </w:tblPr>
      <w:tr>
        <w:trPr>
          <w:trHeight w:val="131"/>
        </w:trPr>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002453"/>
                <w:w w:val="99"/>
              </w:rPr>
              <w:t>Termination</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002453"/>
              </w:rPr>
              <w:t>Non-Renewal</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3"/>
          </w:tcPr>
          <w:p>
            <w:pPr>
              <w:jc w:val="center"/>
              <w:ind w:right="173"/>
              <w:spacing w:after="0" w:line="148" w:lineRule="exact"/>
              <w:rPr>
                <w:sz w:val="20"/>
                <w:szCs w:val="20"/>
                <w:color w:val="auto"/>
              </w:rPr>
            </w:pPr>
            <w:r>
              <w:rPr>
                <w:rFonts w:ascii="Arial" w:cs="Arial" w:eastAsia="Arial" w:hAnsi="Arial"/>
                <w:sz w:val="14"/>
                <w:szCs w:val="14"/>
                <w:b w:val="1"/>
                <w:bCs w:val="1"/>
                <w:color w:val="002453"/>
              </w:rPr>
              <w:t>Without Cause</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Death,</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or for Good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by the</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3"/>
          </w:tcPr>
          <w:p>
            <w:pPr>
              <w:jc w:val="center"/>
              <w:ind w:right="153"/>
              <w:spacing w:after="0" w:line="148" w:lineRule="exact"/>
              <w:rPr>
                <w:sz w:val="20"/>
                <w:szCs w:val="20"/>
                <w:color w:val="auto"/>
              </w:rPr>
            </w:pPr>
            <w:r>
              <w:rPr>
                <w:rFonts w:ascii="Arial" w:cs="Arial" w:eastAsia="Arial" w:hAnsi="Arial"/>
                <w:sz w:val="14"/>
                <w:szCs w:val="14"/>
                <w:b w:val="1"/>
                <w:bCs w:val="1"/>
                <w:color w:val="002453"/>
              </w:rPr>
              <w:t>Reason 60 Days</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002453"/>
              </w:rPr>
              <w:t>Company</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w w:val="99"/>
              </w:rPr>
              <w:t>Disability,</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Prior to or</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002453"/>
              </w:rPr>
              <w:t>60 Days Prior</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w w:val="99"/>
              </w:rPr>
              <w:t>Termination</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24 Months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3"/>
          </w:tcPr>
          <w:p>
            <w:pPr>
              <w:jc w:val="center"/>
              <w:ind w:right="192"/>
              <w:spacing w:after="0" w:line="135" w:lineRule="exact"/>
              <w:rPr>
                <w:sz w:val="20"/>
                <w:szCs w:val="20"/>
                <w:color w:val="auto"/>
              </w:rPr>
            </w:pPr>
            <w:r>
              <w:rPr>
                <w:rFonts w:ascii="Arial" w:cs="Arial" w:eastAsia="Arial" w:hAnsi="Arial"/>
                <w:sz w:val="14"/>
                <w:szCs w:val="14"/>
                <w:b w:val="1"/>
                <w:bCs w:val="1"/>
                <w:color w:val="002453"/>
              </w:rPr>
              <w:t>to or 24 Months</w:t>
            </w: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Resignation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gridSpan w:val="3"/>
          </w:tcPr>
          <w:p>
            <w:pPr>
              <w:jc w:val="center"/>
              <w:ind w:right="192"/>
              <w:spacing w:after="0" w:line="148" w:lineRule="exact"/>
              <w:rPr>
                <w:sz w:val="20"/>
                <w:szCs w:val="20"/>
                <w:color w:val="auto"/>
              </w:rPr>
            </w:pPr>
            <w:r>
              <w:rPr>
                <w:rFonts w:ascii="Arial" w:cs="Arial" w:eastAsia="Arial" w:hAnsi="Arial"/>
                <w:sz w:val="14"/>
                <w:szCs w:val="14"/>
                <w:b w:val="1"/>
                <w:bCs w:val="1"/>
                <w:color w:val="002453"/>
              </w:rPr>
              <w:t>Without Cause</w:t>
            </w:r>
          </w:p>
        </w:tc>
        <w:tc>
          <w:tcPr>
            <w:tcW w:w="16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002453"/>
              </w:rPr>
              <w:t>Following a</w:t>
            </w:r>
          </w:p>
        </w:tc>
        <w:tc>
          <w:tcPr>
            <w:tcW w:w="32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02453"/>
              </w:rPr>
              <w:t>Non-Renewal by</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002453"/>
              </w:rPr>
              <w:t>Following a</w:t>
            </w: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002453"/>
              </w:rPr>
              <w:t>or for Good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Change in</w:t>
            </w: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002453"/>
              </w:rPr>
              <w:t>Change in</w:t>
            </w:r>
          </w:p>
        </w:tc>
        <w:tc>
          <w:tcPr>
            <w:tcW w:w="3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without Good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w:t>
            </w:r>
          </w:p>
        </w:tc>
        <w:tc>
          <w:tcPr>
            <w:tcW w:w="820" w:type="dxa"/>
            <w:vAlign w:val="bottom"/>
            <w:tcBorders>
              <w:bottom w:val="single" w:sz="8" w:color="00C08A"/>
            </w:tcBorders>
          </w:tcPr>
          <w:p>
            <w:pPr>
              <w:ind w:left="660"/>
              <w:spacing w:after="0"/>
              <w:rPr>
                <w:sz w:val="20"/>
                <w:szCs w:val="20"/>
                <w:color w:val="auto"/>
              </w:rPr>
            </w:pPr>
            <w:r>
              <w:rPr>
                <w:rFonts w:ascii="Arial" w:cs="Arial" w:eastAsia="Arial" w:hAnsi="Arial"/>
                <w:sz w:val="14"/>
                <w:szCs w:val="14"/>
                <w:b w:val="1"/>
                <w:bCs w:val="1"/>
                <w:color w:val="002453"/>
              </w:rPr>
              <w:t>​ ​</w:t>
            </w:r>
          </w:p>
        </w:tc>
        <w:tc>
          <w:tcPr>
            <w:tcW w:w="160" w:type="dxa"/>
            <w:vAlign w:val="bottom"/>
            <w:tcBorders>
              <w:bottom w:val="single" w:sz="8" w:color="00C08A"/>
            </w:tcBorders>
          </w:tcPr>
          <w:p>
            <w:pPr>
              <w:spacing w:after="0"/>
              <w:rPr>
                <w:sz w:val="17"/>
                <w:szCs w:val="17"/>
                <w:color w:val="auto"/>
              </w:rPr>
            </w:pPr>
          </w:p>
        </w:tc>
        <w:tc>
          <w:tcPr>
            <w:tcW w:w="7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Reason ($)</w:t>
            </w:r>
          </w:p>
        </w:tc>
        <w:tc>
          <w:tcPr>
            <w:tcW w:w="34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160" w:type="dxa"/>
            <w:vAlign w:val="bottom"/>
            <w:tcBorders>
              <w:bottom w:val="single" w:sz="8" w:color="00C08A"/>
            </w:tcBorders>
          </w:tcPr>
          <w:p>
            <w:pPr>
              <w:spacing w:after="0"/>
              <w:rPr>
                <w:sz w:val="17"/>
                <w:szCs w:val="17"/>
                <w:color w:val="auto"/>
              </w:rPr>
            </w:pPr>
          </w:p>
        </w:tc>
        <w:tc>
          <w:tcPr>
            <w:tcW w:w="88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Control ($)</w:t>
            </w:r>
          </w:p>
        </w:tc>
        <w:tc>
          <w:tcPr>
            <w:tcW w:w="1640" w:type="dxa"/>
            <w:vAlign w:val="bottom"/>
            <w:tcBorders>
              <w:bottom w:val="single" w:sz="8" w:color="00C08A"/>
            </w:tcBorders>
            <w:gridSpan w:val="4"/>
          </w:tcPr>
          <w:p>
            <w:pPr>
              <w:ind w:left="160"/>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the Company ($) </w:t>
            </w:r>
            <w:r>
              <w:rPr>
                <w:rFonts w:ascii="Arial" w:cs="Arial" w:eastAsia="Arial" w:hAnsi="Arial"/>
                <w:sz w:val="23"/>
                <w:szCs w:val="23"/>
                <w:b w:val="1"/>
                <w:bCs w:val="1"/>
                <w:color w:val="002453"/>
                <w:vertAlign w:val="subscript"/>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spacing w:after="0"/>
              <w:rPr>
                <w:sz w:val="17"/>
                <w:szCs w:val="17"/>
                <w:color w:val="auto"/>
              </w:rPr>
            </w:pPr>
          </w:p>
        </w:tc>
        <w:tc>
          <w:tcPr>
            <w:tcW w:w="82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Control ($)</w:t>
            </w:r>
          </w:p>
        </w:tc>
        <w:tc>
          <w:tcPr>
            <w:tcW w:w="34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96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Reason</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3"/>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8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820" w:type="dxa"/>
            <w:vAlign w:val="bottom"/>
            <w:vMerge w:val="restart"/>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​8,321,918(1)</w:t>
            </w:r>
          </w:p>
        </w:tc>
        <w:tc>
          <w:tcPr>
            <w:tcW w:w="13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​17,349,315(2)</w:t>
            </w:r>
          </w:p>
        </w:tc>
        <w:tc>
          <w:tcPr>
            <w:tcW w:w="13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​8,321,918(1)</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2"/>
              <w:spacing w:after="0" w:line="202" w:lineRule="exact"/>
              <w:rPr>
                <w:sz w:val="20"/>
                <w:szCs w:val="20"/>
                <w:color w:val="auto"/>
              </w:rPr>
            </w:pPr>
            <w:r>
              <w:rPr>
                <w:rFonts w:ascii="Arial" w:cs="Arial" w:eastAsia="Arial" w:hAnsi="Arial"/>
                <w:sz w:val="18"/>
                <w:szCs w:val="18"/>
                <w:color w:val="auto"/>
              </w:rPr>
              <w:t>​17,349,315(2)</w:t>
            </w:r>
          </w:p>
        </w:tc>
        <w:tc>
          <w:tcPr>
            <w:tcW w:w="560" w:type="dxa"/>
            <w:vAlign w:val="bottom"/>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8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​6,123,000(3)</w:t>
            </w:r>
          </w:p>
        </w:tc>
        <w:tc>
          <w:tcPr>
            <w:tcW w:w="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6,123,000(3)</w:t>
            </w:r>
          </w:p>
        </w:tc>
        <w:tc>
          <w:tcPr>
            <w:tcW w:w="13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​6,123,000(3)</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6,123,000(3)</w:t>
            </w:r>
          </w:p>
        </w:tc>
        <w:tc>
          <w:tcPr>
            <w:tcW w:w="56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Joseph Molluso</w:t>
            </w:r>
          </w:p>
        </w:tc>
        <w:tc>
          <w:tcPr>
            <w:tcW w:w="820" w:type="dxa"/>
            <w:vAlign w:val="bottom"/>
            <w:tcBorders>
              <w:top w:val="single" w:sz="8" w:color="00C08A"/>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00C08A"/>
            </w:tcBorders>
            <w:shd w:val="clear" w:color="auto" w:fill="CCEEFF"/>
          </w:tcPr>
          <w:p>
            <w:pPr>
              <w:spacing w:after="0"/>
              <w:rPr>
                <w:sz w:val="22"/>
                <w:szCs w:val="22"/>
                <w:color w:val="auto"/>
              </w:rPr>
            </w:pPr>
          </w:p>
        </w:tc>
        <w:tc>
          <w:tcPr>
            <w:tcW w:w="3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20" w:type="dxa"/>
            <w:vAlign w:val="bottom"/>
            <w:tcBorders>
              <w:top w:val="single" w:sz="8" w:color="00C08A"/>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00C08A"/>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00C08A"/>
            </w:tcBorders>
            <w:shd w:val="clear" w:color="auto" w:fill="CCEEFF"/>
          </w:tcPr>
          <w:p>
            <w:pPr>
              <w:spacing w:after="0"/>
              <w:rPr>
                <w:sz w:val="22"/>
                <w:szCs w:val="22"/>
                <w:color w:val="auto"/>
              </w:rPr>
            </w:pPr>
          </w:p>
        </w:tc>
        <w:tc>
          <w:tcPr>
            <w:tcW w:w="3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tcBorders>
              <w:top w:val="single" w:sz="8" w:color="00C08A"/>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820" w:type="dxa"/>
            <w:vAlign w:val="bottom"/>
            <w:vMerge w:val="restart"/>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​2,923,767(4)</w:t>
            </w:r>
          </w:p>
        </w:tc>
        <w:tc>
          <w:tcPr>
            <w:tcW w:w="1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3"/>
              <w:spacing w:after="0" w:line="202" w:lineRule="exact"/>
              <w:rPr>
                <w:sz w:val="20"/>
                <w:szCs w:val="20"/>
                <w:color w:val="auto"/>
              </w:rPr>
            </w:pPr>
            <w:r>
              <w:rPr>
                <w:rFonts w:ascii="Arial" w:cs="Arial" w:eastAsia="Arial" w:hAnsi="Arial"/>
                <w:sz w:val="18"/>
                <w:szCs w:val="18"/>
                <w:color w:val="auto"/>
              </w:rPr>
              <w:t>8,399,726(5)</w:t>
            </w:r>
          </w:p>
        </w:tc>
        <w:tc>
          <w:tcPr>
            <w:tcW w:w="13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​2,923,767(4)</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w w:val="99"/>
              </w:rPr>
              <w:t>8,399,726(5)</w:t>
            </w:r>
          </w:p>
        </w:tc>
        <w:tc>
          <w:tcPr>
            <w:tcW w:w="560" w:type="dxa"/>
            <w:vAlign w:val="bottom"/>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8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​2,551,250(6)</w:t>
            </w:r>
          </w:p>
        </w:tc>
        <w:tc>
          <w:tcPr>
            <w:tcW w:w="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2,551,250(6)</w:t>
            </w:r>
          </w:p>
        </w:tc>
        <w:tc>
          <w:tcPr>
            <w:tcW w:w="13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​2,551,250(6)</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2,551,250(6)</w:t>
            </w:r>
          </w:p>
        </w:tc>
        <w:tc>
          <w:tcPr>
            <w:tcW w:w="56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820" w:type="dxa"/>
            <w:vAlign w:val="bottom"/>
            <w:tcBorders>
              <w:top w:val="single" w:sz="8" w:color="00C08A"/>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00C08A"/>
            </w:tcBorders>
            <w:shd w:val="clear" w:color="auto" w:fill="CCEEFF"/>
          </w:tcPr>
          <w:p>
            <w:pPr>
              <w:spacing w:after="0"/>
              <w:rPr>
                <w:sz w:val="22"/>
                <w:szCs w:val="22"/>
                <w:color w:val="auto"/>
              </w:rPr>
            </w:pPr>
          </w:p>
        </w:tc>
        <w:tc>
          <w:tcPr>
            <w:tcW w:w="3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20" w:type="dxa"/>
            <w:vAlign w:val="bottom"/>
            <w:tcBorders>
              <w:top w:val="single" w:sz="8" w:color="00C08A"/>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00C08A"/>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00C08A"/>
            </w:tcBorders>
            <w:shd w:val="clear" w:color="auto" w:fill="CCEEFF"/>
          </w:tcPr>
          <w:p>
            <w:pPr>
              <w:spacing w:after="0"/>
              <w:rPr>
                <w:sz w:val="22"/>
                <w:szCs w:val="22"/>
                <w:color w:val="auto"/>
              </w:rPr>
            </w:pPr>
          </w:p>
        </w:tc>
        <w:tc>
          <w:tcPr>
            <w:tcW w:w="3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tcBorders>
              <w:top w:val="single" w:sz="8" w:color="00C08A"/>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820" w:type="dxa"/>
            <w:vAlign w:val="bottom"/>
            <w:vMerge w:val="restart"/>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​3,482,260(7)</w:t>
            </w:r>
          </w:p>
        </w:tc>
        <w:tc>
          <w:tcPr>
            <w:tcW w:w="1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3"/>
              <w:spacing w:after="0" w:line="202" w:lineRule="exact"/>
              <w:rPr>
                <w:sz w:val="20"/>
                <w:szCs w:val="20"/>
                <w:color w:val="auto"/>
              </w:rPr>
            </w:pPr>
            <w:r>
              <w:rPr>
                <w:rFonts w:ascii="Arial" w:cs="Arial" w:eastAsia="Arial" w:hAnsi="Arial"/>
                <w:sz w:val="18"/>
                <w:szCs w:val="18"/>
                <w:color w:val="auto"/>
              </w:rPr>
              <w:t>8,523,836(8)</w:t>
            </w:r>
          </w:p>
        </w:tc>
        <w:tc>
          <w:tcPr>
            <w:tcW w:w="13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​3,482,260(7)</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w w:val="99"/>
              </w:rPr>
              <w:t>8,523,836(8)</w:t>
            </w:r>
          </w:p>
        </w:tc>
        <w:tc>
          <w:tcPr>
            <w:tcW w:w="560" w:type="dxa"/>
            <w:vAlign w:val="bottom"/>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8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​2,551,250(9)</w:t>
            </w:r>
          </w:p>
        </w:tc>
        <w:tc>
          <w:tcPr>
            <w:tcW w:w="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2,551,250(9)</w:t>
            </w:r>
          </w:p>
        </w:tc>
        <w:tc>
          <w:tcPr>
            <w:tcW w:w="13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​2,551,250(9)</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2,551,250(9)</w:t>
            </w:r>
          </w:p>
        </w:tc>
        <w:tc>
          <w:tcPr>
            <w:tcW w:w="56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Stephen Cavoli</w:t>
            </w:r>
          </w:p>
        </w:tc>
        <w:tc>
          <w:tcPr>
            <w:tcW w:w="820" w:type="dxa"/>
            <w:vAlign w:val="bottom"/>
            <w:tcBorders>
              <w:top w:val="single" w:sz="8" w:color="00C08A"/>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00C08A"/>
            </w:tcBorders>
            <w:shd w:val="clear" w:color="auto" w:fill="CCEEFF"/>
          </w:tcPr>
          <w:p>
            <w:pPr>
              <w:spacing w:after="0"/>
              <w:rPr>
                <w:sz w:val="22"/>
                <w:szCs w:val="22"/>
                <w:color w:val="auto"/>
              </w:rPr>
            </w:pPr>
          </w:p>
        </w:tc>
        <w:tc>
          <w:tcPr>
            <w:tcW w:w="3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20" w:type="dxa"/>
            <w:vAlign w:val="bottom"/>
            <w:tcBorders>
              <w:top w:val="single" w:sz="8" w:color="00C08A"/>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00C08A"/>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00C08A"/>
            </w:tcBorders>
            <w:shd w:val="clear" w:color="auto" w:fill="CCEEFF"/>
          </w:tcPr>
          <w:p>
            <w:pPr>
              <w:spacing w:after="0"/>
              <w:rPr>
                <w:sz w:val="22"/>
                <w:szCs w:val="22"/>
                <w:color w:val="auto"/>
              </w:rPr>
            </w:pPr>
          </w:p>
        </w:tc>
        <w:tc>
          <w:tcPr>
            <w:tcW w:w="3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tcBorders>
              <w:top w:val="single" w:sz="8" w:color="00C08A"/>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820" w:type="dxa"/>
            <w:vAlign w:val="bottom"/>
            <w:vMerge w:val="restart"/>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​2,807,260(10)</w:t>
            </w:r>
          </w:p>
        </w:tc>
        <w:tc>
          <w:tcPr>
            <w:tcW w:w="1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8,373,836(11)</w:t>
            </w:r>
          </w:p>
        </w:tc>
        <w:tc>
          <w:tcPr>
            <w:tcW w:w="1320" w:type="dxa"/>
            <w:vAlign w:val="bottom"/>
            <w:gridSpan w:val="3"/>
          </w:tcPr>
          <w:p>
            <w:pPr>
              <w:ind w:left="180"/>
              <w:spacing w:after="0" w:line="202" w:lineRule="exact"/>
              <w:rPr>
                <w:sz w:val="20"/>
                <w:szCs w:val="20"/>
                <w:color w:val="auto"/>
              </w:rPr>
            </w:pPr>
            <w:r>
              <w:rPr>
                <w:rFonts w:ascii="Arial" w:cs="Arial" w:eastAsia="Arial" w:hAnsi="Arial"/>
                <w:sz w:val="18"/>
                <w:szCs w:val="18"/>
                <w:color w:val="auto"/>
                <w:w w:val="99"/>
              </w:rPr>
              <w:t>​2,807,260(10)</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8,373,836(11)</w:t>
            </w:r>
          </w:p>
        </w:tc>
        <w:tc>
          <w:tcPr>
            <w:tcW w:w="56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8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​2,551,250(12)</w:t>
            </w:r>
          </w:p>
        </w:tc>
        <w:tc>
          <w:tcPr>
            <w:tcW w:w="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2,551,250(12)</w:t>
            </w:r>
          </w:p>
        </w:tc>
        <w:tc>
          <w:tcPr>
            <w:tcW w:w="13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​2,551,250(12)</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2,551,250(12)</w:t>
            </w:r>
          </w:p>
        </w:tc>
        <w:tc>
          <w:tcPr>
            <w:tcW w:w="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Sean P. Galvin</w:t>
            </w:r>
          </w:p>
        </w:tc>
        <w:tc>
          <w:tcPr>
            <w:tcW w:w="820" w:type="dxa"/>
            <w:vAlign w:val="bottom"/>
            <w:tcBorders>
              <w:top w:val="single" w:sz="8" w:color="00C08A"/>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00C08A"/>
            </w:tcBorders>
            <w:shd w:val="clear" w:color="auto" w:fill="CCEEFF"/>
          </w:tcPr>
          <w:p>
            <w:pPr>
              <w:spacing w:after="0"/>
              <w:rPr>
                <w:sz w:val="22"/>
                <w:szCs w:val="22"/>
                <w:color w:val="auto"/>
              </w:rPr>
            </w:pPr>
          </w:p>
        </w:tc>
        <w:tc>
          <w:tcPr>
            <w:tcW w:w="3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20" w:type="dxa"/>
            <w:vAlign w:val="bottom"/>
            <w:tcBorders>
              <w:top w:val="single" w:sz="8" w:color="00C08A"/>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00C08A"/>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00C08A"/>
            </w:tcBorders>
            <w:shd w:val="clear" w:color="auto" w:fill="CCEEFF"/>
          </w:tcPr>
          <w:p>
            <w:pPr>
              <w:spacing w:after="0"/>
              <w:rPr>
                <w:sz w:val="22"/>
                <w:szCs w:val="22"/>
                <w:color w:val="auto"/>
              </w:rPr>
            </w:pPr>
          </w:p>
        </w:tc>
        <w:tc>
          <w:tcPr>
            <w:tcW w:w="3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tcBorders>
              <w:top w:val="single" w:sz="8" w:color="00C08A"/>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w:t>
            </w:r>
          </w:p>
        </w:tc>
        <w:tc>
          <w:tcPr>
            <w:tcW w:w="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60" w:type="dxa"/>
            <w:vAlign w:val="bottom"/>
            <w:tcBorders>
              <w:bottom w:val="single" w:sz="8" w:color="00C08A"/>
            </w:tcBorders>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Borders>
              <w:bottom w:val="single" w:sz="8" w:color="00C08A"/>
            </w:tcBorders>
          </w:tcPr>
          <w:p>
            <w:pPr>
              <w:ind w:left="66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00C08A"/>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0C08A"/>
            </w:tcBorders>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00C08A"/>
            </w:tcBorders>
          </w:tcPr>
          <w:p>
            <w:pPr>
              <w:ind w:lef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00C08A"/>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00C08A"/>
            </w:tcBorders>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00C08A"/>
            </w:tcBorders>
          </w:tcPr>
          <w:p>
            <w:pPr>
              <w:ind w:left="3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00C08A"/>
            </w:tcBorders>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080" w:hanging="318"/>
        <w:spacing w:after="0"/>
        <w:tabs>
          <w:tab w:leader="none" w:pos="10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the greater of (i) base salary and continued health, dental, vision and life</w:t>
      </w:r>
    </w:p>
    <w:p>
      <w:pPr>
        <w:spacing w:after="0" w:line="28" w:lineRule="exact"/>
        <w:rPr>
          <w:rFonts w:ascii="Arial" w:cs="Arial" w:eastAsia="Arial" w:hAnsi="Arial"/>
          <w:sz w:val="14"/>
          <w:szCs w:val="14"/>
          <w:color w:val="auto"/>
        </w:rPr>
      </w:pPr>
    </w:p>
    <w:p>
      <w:pPr>
        <w:ind w:left="1080" w:right="400"/>
        <w:spacing w:after="0" w:line="278" w:lineRule="auto"/>
        <w:rPr>
          <w:rFonts w:ascii="Arial" w:cs="Arial" w:eastAsia="Arial" w:hAnsi="Arial"/>
          <w:sz w:val="14"/>
          <w:szCs w:val="14"/>
          <w:color w:val="auto"/>
        </w:rPr>
      </w:pPr>
      <w:r>
        <w:rPr>
          <w:rFonts w:ascii="Arial" w:cs="Arial" w:eastAsia="Arial" w:hAnsi="Arial"/>
          <w:sz w:val="14"/>
          <w:szCs w:val="14"/>
          <w:color w:val="auto"/>
        </w:rPr>
        <w:t>insurance benefits through the remainder of applicable employment term and (ii)12 months of base salary health, dental, vision and life insurance benefits.</w:t>
      </w:r>
    </w:p>
    <w:p>
      <w:pPr>
        <w:spacing w:after="0" w:line="86" w:lineRule="exact"/>
        <w:rPr>
          <w:rFonts w:ascii="Arial" w:cs="Arial" w:eastAsia="Arial" w:hAnsi="Arial"/>
          <w:sz w:val="14"/>
          <w:szCs w:val="14"/>
          <w:color w:val="auto"/>
        </w:rPr>
      </w:pPr>
    </w:p>
    <w:p>
      <w:pPr>
        <w:ind w:left="1080" w:right="160" w:hanging="318"/>
        <w:spacing w:after="0" w:line="298" w:lineRule="auto"/>
        <w:tabs>
          <w:tab w:leader="none" w:pos="10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$5,000,000) and (ii) continued health, dental, vision and life insurance benefits for twenty-four months.</w:t>
      </w:r>
    </w:p>
    <w:p>
      <w:pPr>
        <w:spacing w:after="0" w:line="72" w:lineRule="exact"/>
        <w:rPr>
          <w:rFonts w:ascii="Arial" w:cs="Arial" w:eastAsia="Arial" w:hAnsi="Arial"/>
          <w:sz w:val="14"/>
          <w:szCs w:val="14"/>
          <w:color w:val="auto"/>
        </w:rPr>
      </w:pPr>
    </w:p>
    <w:p>
      <w:pPr>
        <w:ind w:left="1080" w:right="480" w:hanging="318"/>
        <w:spacing w:after="0" w:line="278" w:lineRule="auto"/>
        <w:tabs>
          <w:tab w:leader="none" w:pos="10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then-current annual equity grant based on shares earned, which was 150,000, and (ii) a grant of 150,000 shares of Class A common stock.</w:t>
      </w:r>
    </w:p>
    <w:p>
      <w:pPr>
        <w:spacing w:after="0" w:line="99" w:lineRule="exact"/>
        <w:rPr>
          <w:rFonts w:ascii="Arial" w:cs="Arial" w:eastAsia="Arial" w:hAnsi="Arial"/>
          <w:sz w:val="14"/>
          <w:szCs w:val="14"/>
          <w:color w:val="auto"/>
        </w:rPr>
      </w:pPr>
    </w:p>
    <w:p>
      <w:pPr>
        <w:ind w:left="1080" w:right="640" w:hanging="318"/>
        <w:spacing w:after="0" w:line="278" w:lineRule="auto"/>
        <w:tabs>
          <w:tab w:leader="none" w:pos="10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April 30, 2026).</w:t>
      </w:r>
    </w:p>
    <w:p>
      <w:pPr>
        <w:spacing w:after="0" w:line="86" w:lineRule="exact"/>
        <w:rPr>
          <w:rFonts w:ascii="Arial" w:cs="Arial" w:eastAsia="Arial" w:hAnsi="Arial"/>
          <w:sz w:val="14"/>
          <w:szCs w:val="14"/>
          <w:color w:val="auto"/>
        </w:rPr>
      </w:pPr>
    </w:p>
    <w:p>
      <w:pPr>
        <w:ind w:left="1080" w:right="160" w:hanging="318"/>
        <w:spacing w:after="0" w:line="298" w:lineRule="auto"/>
        <w:tabs>
          <w:tab w:leader="none" w:pos="10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$2,500,000) and (ii) continued health, dental, vision and life insurance benefits for twenty-four months.</w:t>
      </w:r>
    </w:p>
    <w:p>
      <w:pPr>
        <w:spacing w:after="0" w:line="72" w:lineRule="exact"/>
        <w:rPr>
          <w:rFonts w:ascii="Arial" w:cs="Arial" w:eastAsia="Arial" w:hAnsi="Arial"/>
          <w:sz w:val="14"/>
          <w:szCs w:val="14"/>
          <w:color w:val="auto"/>
        </w:rPr>
      </w:pPr>
    </w:p>
    <w:p>
      <w:pPr>
        <w:ind w:left="1080" w:right="100" w:hanging="318"/>
        <w:spacing w:after="0" w:line="278" w:lineRule="auto"/>
        <w:tabs>
          <w:tab w:leader="none" w:pos="10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50,000, and (ii) a grant of 75,000 shares of Class A common stock.</w:t>
      </w:r>
    </w:p>
    <w:p>
      <w:pPr>
        <w:spacing w:after="0" w:line="99" w:lineRule="exact"/>
        <w:rPr>
          <w:rFonts w:ascii="Arial" w:cs="Arial" w:eastAsia="Arial" w:hAnsi="Arial"/>
          <w:sz w:val="14"/>
          <w:szCs w:val="14"/>
          <w:color w:val="auto"/>
        </w:rPr>
      </w:pPr>
    </w:p>
    <w:p>
      <w:pPr>
        <w:ind w:left="1080" w:right="640" w:hanging="318"/>
        <w:spacing w:after="0" w:line="278" w:lineRule="auto"/>
        <w:tabs>
          <w:tab w:leader="none" w:pos="10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2027).</w:t>
      </w:r>
    </w:p>
    <w:p>
      <w:pPr>
        <w:spacing w:after="0" w:line="20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31" w:lineRule="exact"/>
        <w:rPr>
          <w:sz w:val="20"/>
          <w:szCs w:val="20"/>
          <w:color w:val="auto"/>
        </w:rPr>
      </w:pPr>
    </w:p>
    <w:p>
      <w:pPr>
        <w:jc w:val="both"/>
        <w:ind w:left="1080" w:right="120" w:hanging="318"/>
        <w:spacing w:after="0" w:line="280" w:lineRule="auto"/>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$2,500,000) and (ii) continued health, dental, vision and life insurance benefits through the remainder of the employment term (i.e., February 26, 2027).</w:t>
      </w:r>
    </w:p>
    <w:p>
      <w:pPr>
        <w:spacing w:after="0" w:line="84" w:lineRule="exact"/>
        <w:rPr>
          <w:rFonts w:ascii="Arial" w:cs="Arial" w:eastAsia="Arial" w:hAnsi="Arial"/>
          <w:sz w:val="14"/>
          <w:szCs w:val="14"/>
          <w:color w:val="auto"/>
        </w:rPr>
      </w:pPr>
    </w:p>
    <w:p>
      <w:pPr>
        <w:ind w:left="1080" w:right="100" w:hanging="318"/>
        <w:spacing w:after="0" w:line="278" w:lineRule="auto"/>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50,000, and (ii) a grant of 75,000 shares of Class A common stock.</w:t>
      </w:r>
    </w:p>
    <w:p>
      <w:pPr>
        <w:spacing w:after="0" w:line="99" w:lineRule="exact"/>
        <w:rPr>
          <w:rFonts w:ascii="Arial" w:cs="Arial" w:eastAsia="Arial" w:hAnsi="Arial"/>
          <w:sz w:val="14"/>
          <w:szCs w:val="14"/>
          <w:color w:val="auto"/>
        </w:rPr>
      </w:pPr>
    </w:p>
    <w:p>
      <w:pPr>
        <w:ind w:left="1080" w:right="640" w:hanging="318"/>
        <w:spacing w:after="0" w:line="278" w:lineRule="auto"/>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2026).</w:t>
      </w:r>
    </w:p>
    <w:p>
      <w:pPr>
        <w:spacing w:after="0" w:line="86" w:lineRule="exact"/>
        <w:rPr>
          <w:rFonts w:ascii="Arial" w:cs="Arial" w:eastAsia="Arial" w:hAnsi="Arial"/>
          <w:sz w:val="14"/>
          <w:szCs w:val="14"/>
          <w:color w:val="auto"/>
        </w:rPr>
      </w:pPr>
    </w:p>
    <w:p>
      <w:pPr>
        <w:ind w:left="1080" w:hanging="318"/>
        <w:spacing w:after="0"/>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w:t>
      </w:r>
    </w:p>
    <w:p>
      <w:pPr>
        <w:spacing w:after="0" w:line="28" w:lineRule="exact"/>
        <w:rPr>
          <w:rFonts w:ascii="Arial" w:cs="Arial" w:eastAsia="Arial" w:hAnsi="Arial"/>
          <w:sz w:val="14"/>
          <w:szCs w:val="14"/>
          <w:color w:val="auto"/>
        </w:rPr>
      </w:pPr>
    </w:p>
    <w:p>
      <w:pPr>
        <w:ind w:left="1080" w:right="120"/>
        <w:spacing w:after="0" w:line="278" w:lineRule="auto"/>
        <w:rPr>
          <w:rFonts w:ascii="Arial" w:cs="Arial" w:eastAsia="Arial" w:hAnsi="Arial"/>
          <w:sz w:val="14"/>
          <w:szCs w:val="14"/>
          <w:color w:val="auto"/>
        </w:rPr>
      </w:pPr>
      <w:r>
        <w:rPr>
          <w:rFonts w:ascii="Arial" w:cs="Arial" w:eastAsia="Arial" w:hAnsi="Arial"/>
          <w:sz w:val="14"/>
          <w:szCs w:val="14"/>
          <w:color w:val="auto"/>
        </w:rPr>
        <w:t>awarded annual bonus (which was $2,500,000) and (ii) continued health, dental, vision and life insurance benefits through the remainder of the employment term (i.e., February 26, 2026).</w:t>
      </w:r>
    </w:p>
    <w:p>
      <w:pPr>
        <w:spacing w:after="0" w:line="86" w:lineRule="exact"/>
        <w:rPr>
          <w:rFonts w:ascii="Arial" w:cs="Arial" w:eastAsia="Arial" w:hAnsi="Arial"/>
          <w:sz w:val="14"/>
          <w:szCs w:val="14"/>
          <w:color w:val="auto"/>
        </w:rPr>
      </w:pPr>
    </w:p>
    <w:p>
      <w:pPr>
        <w:ind w:left="1080" w:right="100" w:hanging="318"/>
        <w:spacing w:after="0" w:line="298" w:lineRule="auto"/>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50,000, and (ii) a grant of 75,000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5975350</wp:posOffset>
            </wp:positionV>
            <wp:extent cx="754380" cy="2400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CEO Pay Ratio Disclosure</w:t>
      </w:r>
    </w:p>
    <w:p>
      <w:pPr>
        <w:spacing w:after="0" w:line="112" w:lineRule="exact"/>
        <w:rPr>
          <w:sz w:val="20"/>
          <w:szCs w:val="20"/>
          <w:color w:val="auto"/>
        </w:rPr>
      </w:pPr>
    </w:p>
    <w:p>
      <w:pPr>
        <w:ind w:left="760" w:right="400"/>
        <w:spacing w:after="0" w:line="256" w:lineRule="auto"/>
        <w:rPr>
          <w:sz w:val="20"/>
          <w:szCs w:val="20"/>
          <w:color w:val="auto"/>
        </w:rPr>
      </w:pPr>
      <w:r>
        <w:rPr>
          <w:rFonts w:ascii="Arial" w:cs="Arial" w:eastAsia="Arial" w:hAnsi="Arial"/>
          <w:sz w:val="18"/>
          <w:szCs w:val="18"/>
          <w:color w:val="auto"/>
        </w:rPr>
        <w:t>As required by Section 953(b) of the Dodd-Frank Act, we are providing the following information about the relationship of the annual total compensation of our Chief Executive Officer, Mr. Douglas A. Cifu, and the annual total compensation of our median employee. For the year ended December 31, 2022:</w:t>
      </w:r>
    </w:p>
    <w:p>
      <w:pPr>
        <w:spacing w:after="0" w:line="94" w:lineRule="exact"/>
        <w:rPr>
          <w:sz w:val="20"/>
          <w:szCs w:val="20"/>
          <w:color w:val="auto"/>
        </w:rPr>
      </w:pPr>
    </w:p>
    <w:p>
      <w:pPr>
        <w:ind w:left="1340" w:right="720" w:hanging="218"/>
        <w:spacing w:after="0" w:line="261" w:lineRule="auto"/>
        <w:tabs>
          <w:tab w:leader="none" w:pos="1340" w:val="left"/>
        </w:tabs>
        <w:numPr>
          <w:ilvl w:val="0"/>
          <w:numId w:val="30"/>
        </w:numPr>
        <w:rPr>
          <w:rFonts w:ascii="Arial" w:cs="Arial" w:eastAsia="Arial" w:hAnsi="Arial"/>
          <w:sz w:val="18"/>
          <w:szCs w:val="18"/>
          <w:color w:val="002453"/>
        </w:rPr>
      </w:pPr>
      <w:r>
        <w:rPr>
          <w:rFonts w:ascii="Arial" w:cs="Arial" w:eastAsia="Arial" w:hAnsi="Arial"/>
          <w:sz w:val="18"/>
          <w:szCs w:val="18"/>
          <w:color w:val="auto"/>
        </w:rPr>
        <w:t>The median of the annual total compensation of all employees of our Company (other than our Chief Executive Officer) was approximately $240,512;</w:t>
      </w:r>
    </w:p>
    <w:p>
      <w:pPr>
        <w:spacing w:after="0" w:line="89" w:lineRule="exact"/>
        <w:rPr>
          <w:rFonts w:ascii="Arial" w:cs="Arial" w:eastAsia="Arial" w:hAnsi="Arial"/>
          <w:sz w:val="18"/>
          <w:szCs w:val="18"/>
          <w:color w:val="002453"/>
        </w:rPr>
      </w:pPr>
    </w:p>
    <w:p>
      <w:pPr>
        <w:ind w:left="1340" w:right="840" w:hanging="218"/>
        <w:spacing w:after="0" w:line="261" w:lineRule="auto"/>
        <w:tabs>
          <w:tab w:leader="none" w:pos="1340" w:val="left"/>
        </w:tabs>
        <w:numPr>
          <w:ilvl w:val="0"/>
          <w:numId w:val="30"/>
        </w:numPr>
        <w:rPr>
          <w:rFonts w:ascii="Arial" w:cs="Arial" w:eastAsia="Arial" w:hAnsi="Arial"/>
          <w:sz w:val="18"/>
          <w:szCs w:val="18"/>
          <w:color w:val="002453"/>
        </w:rPr>
      </w:pPr>
      <w:r>
        <w:rPr>
          <w:rFonts w:ascii="Arial" w:cs="Arial" w:eastAsia="Arial" w:hAnsi="Arial"/>
          <w:sz w:val="18"/>
          <w:szCs w:val="18"/>
          <w:color w:val="auto"/>
        </w:rPr>
        <w:t>The annual total compensation of our Chief Executive Officer was $12,052,261 (as disclosed in the Summary Compensation Table herein); and</w:t>
      </w:r>
    </w:p>
    <w:p>
      <w:pPr>
        <w:spacing w:after="0" w:line="89" w:lineRule="exact"/>
        <w:rPr>
          <w:rFonts w:ascii="Arial" w:cs="Arial" w:eastAsia="Arial" w:hAnsi="Arial"/>
          <w:sz w:val="18"/>
          <w:szCs w:val="18"/>
          <w:color w:val="002453"/>
        </w:rPr>
      </w:pPr>
    </w:p>
    <w:p>
      <w:pPr>
        <w:ind w:left="1340" w:right="400" w:hanging="218"/>
        <w:spacing w:after="0" w:line="261" w:lineRule="auto"/>
        <w:tabs>
          <w:tab w:leader="none" w:pos="1340" w:val="left"/>
        </w:tabs>
        <w:numPr>
          <w:ilvl w:val="0"/>
          <w:numId w:val="30"/>
        </w:numPr>
        <w:rPr>
          <w:rFonts w:ascii="Arial" w:cs="Arial" w:eastAsia="Arial" w:hAnsi="Arial"/>
          <w:sz w:val="18"/>
          <w:szCs w:val="18"/>
          <w:color w:val="002453"/>
        </w:rPr>
      </w:pPr>
      <w:r>
        <w:rPr>
          <w:rFonts w:ascii="Arial" w:cs="Arial" w:eastAsia="Arial" w:hAnsi="Arial"/>
          <w:sz w:val="18"/>
          <w:szCs w:val="18"/>
          <w:color w:val="auto"/>
        </w:rPr>
        <w:t>Based on this information, the ratio of the annual total compensation of our Chief Executive Officer to the median employee was 50 to 1.</w:t>
      </w:r>
    </w:p>
    <w:p>
      <w:pPr>
        <w:spacing w:after="0" w:line="90" w:lineRule="exact"/>
        <w:rPr>
          <w:sz w:val="20"/>
          <w:szCs w:val="20"/>
          <w:color w:val="auto"/>
        </w:rPr>
      </w:pPr>
    </w:p>
    <w:p>
      <w:pPr>
        <w:ind w:left="760" w:right="280"/>
        <w:spacing w:after="0" w:line="256" w:lineRule="auto"/>
        <w:rPr>
          <w:sz w:val="20"/>
          <w:szCs w:val="20"/>
          <w:color w:val="auto"/>
        </w:rPr>
      </w:pPr>
      <w:r>
        <w:rPr>
          <w:rFonts w:ascii="Arial" w:cs="Arial" w:eastAsia="Arial" w:hAnsi="Arial"/>
          <w:sz w:val="18"/>
          <w:szCs w:val="18"/>
          <w:color w:val="auto"/>
        </w:rPr>
        <w:t>To determine the median of the annual total compensation of all employees of the Company (other than our Chief Executive Officer), we identified our total employee population as of December 31, 2022, which consisted of approximately 990 individuals, 8 of which were temporary employees.</w:t>
      </w:r>
    </w:p>
    <w:p>
      <w:pPr>
        <w:spacing w:after="0" w:line="94"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We determined the median based on each employee’s annual base pay as of December 31, 2022, plus the variable incentive compensation award they received in 2023 for the 2022 performance year. Variable incentive compensation consisted of cash bonuses and/or the fair value of stock awards granted under the Virtu Financial, Inc. Amended and Restated Management Incentive Plan and the Investment Technology Group, Inc. 2007 Omnibus Equity Compensation Plan (which was assumed in connection with the ITG Acquisition) at the grant date. The annual total compensation of the median employee presented above is a reasonable estimate calculated in accordance with the requirements of Item 402(c)(2)(x)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Hedging Policy</w:t>
      </w:r>
    </w:p>
    <w:p>
      <w:pPr>
        <w:spacing w:after="0" w:line="125" w:lineRule="exact"/>
        <w:rPr>
          <w:sz w:val="20"/>
          <w:szCs w:val="20"/>
          <w:color w:val="auto"/>
        </w:rPr>
      </w:pPr>
    </w:p>
    <w:p>
      <w:pPr>
        <w:ind w:left="760" w:right="260"/>
        <w:spacing w:after="0" w:line="254" w:lineRule="auto"/>
        <w:rPr>
          <w:sz w:val="20"/>
          <w:szCs w:val="20"/>
          <w:color w:val="auto"/>
        </w:rPr>
      </w:pPr>
      <w:r>
        <w:rPr>
          <w:rFonts w:ascii="Arial" w:cs="Arial" w:eastAsia="Arial" w:hAnsi="Arial"/>
          <w:sz w:val="18"/>
          <w:szCs w:val="18"/>
          <w:color w:val="auto"/>
        </w:rPr>
        <w:t>The Company’s Securities Trading Policy discourages speculative hedging transactions, but permits directors, officers and employees of the Company to enter into long-term (six-month or longer) hedging transactions relating to shares of common stock or stock options of the Company, subject to pre-clearance pursuant to the Securities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Compensation of Directors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payable to our non-employee directors consisted of the following during the year ended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2022:</w:t>
      </w:r>
    </w:p>
    <w:p>
      <w:pPr>
        <w:spacing w:after="0" w:line="117" w:lineRule="exact"/>
        <w:rPr>
          <w:sz w:val="20"/>
          <w:szCs w:val="20"/>
          <w:color w:val="auto"/>
        </w:rPr>
      </w:pPr>
    </w:p>
    <w:p>
      <w:pPr>
        <w:ind w:left="1340" w:right="260" w:hanging="218"/>
        <w:spacing w:after="0" w:line="256"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award of restricted stock units valued at $150,000 at the time of grant upon reelection at each subsequent annual meeting of stockholders. The restricted stock units vest on the one-year anniversary of the date of grant;</w:t>
      </w:r>
    </w:p>
    <w:p>
      <w:pPr>
        <w:spacing w:after="0" w:line="93" w:lineRule="exact"/>
        <w:rPr>
          <w:rFonts w:ascii="Arial" w:cs="Arial" w:eastAsia="Arial" w:hAnsi="Arial"/>
          <w:sz w:val="18"/>
          <w:szCs w:val="18"/>
          <w:color w:val="002453"/>
        </w:rPr>
      </w:pPr>
    </w:p>
    <w:p>
      <w:pPr>
        <w:ind w:left="1340" w:right="700" w:hanging="218"/>
        <w:spacing w:after="0" w:line="261"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annual cash retainer of $100,000, with no additional fees paid for board of director and committee meetings attended;</w:t>
      </w:r>
    </w:p>
    <w:p>
      <w:pPr>
        <w:spacing w:after="0" w:line="89" w:lineRule="exact"/>
        <w:rPr>
          <w:rFonts w:ascii="Arial" w:cs="Arial" w:eastAsia="Arial" w:hAnsi="Arial"/>
          <w:sz w:val="18"/>
          <w:szCs w:val="18"/>
          <w:color w:val="002453"/>
        </w:rPr>
      </w:pPr>
    </w:p>
    <w:p>
      <w:pPr>
        <w:ind w:left="1340" w:right="340" w:hanging="218"/>
        <w:spacing w:after="0" w:line="254"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annual cash retainer of $150,000 for the non-executive chairman of the board of directors, $40,000 for the chair of the Audit Committee, $30,000 for the chair of the Compensation Committee, $30,000 for the chair of the Nominating and Corporate Governance Committee and $30,000 for the chair of the Risk Committee; and</w:t>
      </w:r>
    </w:p>
    <w:p>
      <w:pPr>
        <w:spacing w:after="0" w:line="95" w:lineRule="exact"/>
        <w:rPr>
          <w:rFonts w:ascii="Arial" w:cs="Arial" w:eastAsia="Arial" w:hAnsi="Arial"/>
          <w:sz w:val="18"/>
          <w:szCs w:val="18"/>
          <w:color w:val="002453"/>
        </w:rPr>
      </w:pPr>
    </w:p>
    <w:p>
      <w:pPr>
        <w:ind w:left="1340" w:right="160" w:hanging="218"/>
        <w:spacing w:after="0" w:line="256"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annual cash retainer of $20,000 for members of the Audit Committee, $15,000 for members of the Compensation Committee, $15,000 for members of the Nominating and Corporate Governance Committee, and $15,000 for members of the Risk Committee.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After four years of service, non-employee directors must maintain a minimum stock ownership equal to $225,000.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compensation earned by our directors during the year ended December 31, 2022.</w:t>
      </w:r>
    </w:p>
    <w:p>
      <w:pPr>
        <w:spacing w:after="0" w:line="112" w:lineRule="exact"/>
        <w:rPr>
          <w:sz w:val="20"/>
          <w:szCs w:val="20"/>
          <w:color w:val="auto"/>
        </w:rPr>
      </w:pPr>
    </w:p>
    <w:tbl>
      <w:tblPr>
        <w:tblLayout w:type="fixed"/>
        <w:tblInd w:w="760" w:type="dxa"/>
        <w:tblCellMar>
          <w:top w:w="0" w:type="dxa"/>
          <w:left w:w="0" w:type="dxa"/>
          <w:bottom w:w="0" w:type="dxa"/>
          <w:right w:w="0" w:type="dxa"/>
        </w:tblCellMar>
      </w:tblPr>
      <w:tr>
        <w:trPr>
          <w:trHeight w:val="168"/>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002453"/>
              </w:rPr>
              <w:t>Name</w:t>
            </w:r>
          </w:p>
        </w:tc>
        <w:tc>
          <w:tcPr>
            <w:tcW w:w="14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002453"/>
              </w:rPr>
              <w:t>Fees Earned or</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002453"/>
              </w:rPr>
              <w:t>Equity</w:t>
            </w:r>
          </w:p>
        </w:tc>
        <w:tc>
          <w:tcPr>
            <w:tcW w:w="44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002453"/>
              </w:rPr>
              <w:t>All Other</w:t>
            </w:r>
          </w:p>
        </w:tc>
        <w:tc>
          <w:tcPr>
            <w:tcW w:w="4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2453"/>
              </w:rPr>
              <w:t xml:space="preserve">Total ($) </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202"/>
        </w:trPr>
        <w:tc>
          <w:tcPr>
            <w:tcW w:w="2920" w:type="dxa"/>
            <w:vAlign w:val="bottom"/>
            <w:vMerge w:val="continue"/>
          </w:tcPr>
          <w:p>
            <w:pPr>
              <w:spacing w:after="0"/>
              <w:rPr>
                <w:sz w:val="17"/>
                <w:szCs w:val="17"/>
                <w:color w:val="auto"/>
              </w:rPr>
            </w:pPr>
          </w:p>
        </w:tc>
        <w:tc>
          <w:tcPr>
            <w:tcW w:w="5660" w:type="dxa"/>
            <w:vAlign w:val="bottom"/>
            <w:gridSpan w:val="9"/>
          </w:tcPr>
          <w:p>
            <w:pPr>
              <w:ind w:left="1260"/>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Paid in Cash ($)(1)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Award(s)(2)(3)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Compensation ($) </w:t>
            </w:r>
            <w:r>
              <w:rPr>
                <w:rFonts w:ascii="Arial" w:cs="Arial" w:eastAsia="Arial" w:hAnsi="Arial"/>
                <w:sz w:val="23"/>
                <w:szCs w:val="23"/>
                <w:b w:val="1"/>
                <w:bCs w:val="1"/>
                <w:color w:val="002453"/>
                <w:vertAlign w:val="subscript"/>
              </w:rPr>
              <w:t>​ ​</w:t>
            </w: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Douglas A. Cifu</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00C08A"/>
              <w:bottom w:val="single" w:sz="8" w:color="00C08A"/>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00C08A"/>
              <w:bottom w:val="single" w:sz="8" w:color="00C08A"/>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460" w:type="dxa"/>
            <w:vAlign w:val="bottom"/>
            <w:tcBorders>
              <w:top w:val="single" w:sz="8" w:color="00C08A"/>
              <w:bottom w:val="single" w:sz="8" w:color="00C08A"/>
            </w:tcBorders>
            <w:shd w:val="clear" w:color="auto" w:fill="CCEEFF"/>
          </w:tcPr>
          <w:p>
            <w:pPr>
              <w:ind w:left="1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6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William F. Cruger, Jr</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​158,347</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​308,347</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Virginia Gambale</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​134,691</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60" w:type="dxa"/>
            <w:vAlign w:val="bottom"/>
            <w:tcBorders>
              <w:top w:val="single" w:sz="8" w:color="00C08A"/>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​284,691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Joseph J. Grano, Jr.</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​138,347</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​288,347</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4"/>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Robert Greifeld(4)</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​280,000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00C08A"/>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​430,000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Joanne M. Minieri</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​138,347</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​288,347</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4"/>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John D. Nixon</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60" w:type="dxa"/>
            <w:vAlign w:val="bottom"/>
            <w:tcBorders>
              <w:top w:val="single" w:sz="8" w:color="00C08A"/>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​335,000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Christopher C. Quick</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​145,000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​295,000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David Urban</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​133,347</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60" w:type="dxa"/>
            <w:vAlign w:val="bottom"/>
            <w:tcBorders>
              <w:top w:val="single" w:sz="8" w:color="00C08A"/>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​283,347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0"/>
                <w:szCs w:val="20"/>
                <w:color w:val="auto"/>
              </w:rPr>
            </w:pPr>
            <w:r>
              <w:rPr>
                <w:rFonts w:ascii="Arial" w:cs="Arial" w:eastAsia="Arial" w:hAnsi="Arial"/>
                <w:sz w:val="18"/>
                <w:szCs w:val="18"/>
                <w:color w:val="auto"/>
              </w:rPr>
              <w:t>Michael T. Viola</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​145,000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​295,000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Vincent Viola</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00C08A"/>
              <w:bottom w:val="single" w:sz="8" w:color="00C08A"/>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00C08A"/>
              <w:bottom w:val="single" w:sz="8" w:color="00C08A"/>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00C08A"/>
              <w:bottom w:val="single" w:sz="8" w:color="00C08A"/>
            </w:tcBorders>
            <w:shd w:val="clear" w:color="auto" w:fill="CCEEFF"/>
          </w:tcPr>
          <w:p>
            <w:pPr>
              <w:ind w:left="1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6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980" w:hanging="218"/>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fees allocable to fiscal year 2022.</w:t>
      </w:r>
    </w:p>
    <w:p>
      <w:pPr>
        <w:spacing w:after="0" w:line="136" w:lineRule="exact"/>
        <w:rPr>
          <w:rFonts w:ascii="Arial" w:cs="Arial" w:eastAsia="Arial" w:hAnsi="Arial"/>
          <w:sz w:val="14"/>
          <w:szCs w:val="14"/>
          <w:color w:val="auto"/>
        </w:rPr>
      </w:pPr>
    </w:p>
    <w:p>
      <w:pPr>
        <w:ind w:left="980" w:right="180" w:hanging="218"/>
        <w:spacing w:after="0" w:line="273" w:lineRule="auto"/>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reported in this column represents the grant date fair value calculated in accordance with FASB ASC Topic 718 with respect to the grant of restricted stock units. Assumptions used in calculating these amounts are described in Note 19 of the Company’s audited financial statements for the fiscal year ended December 31, 2022, included in our Annual Report on Form 10-K for the fiscal year ended December 31, 2022.</w:t>
      </w:r>
    </w:p>
    <w:p>
      <w:pPr>
        <w:spacing w:after="0" w:line="90" w:lineRule="exact"/>
        <w:rPr>
          <w:rFonts w:ascii="Arial" w:cs="Arial" w:eastAsia="Arial" w:hAnsi="Arial"/>
          <w:sz w:val="14"/>
          <w:szCs w:val="14"/>
          <w:color w:val="auto"/>
        </w:rPr>
      </w:pPr>
    </w:p>
    <w:p>
      <w:pPr>
        <w:ind w:left="980" w:right="120" w:hanging="218"/>
        <w:spacing w:after="0" w:line="271" w:lineRule="auto"/>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December 31, 2022, Mmes. Gambale and Minieri, and Messrs. Cruger, Grano, Greifeld, Nixon, Quick, Urban, and Michael Viola each held 6,365 unvested restricted stock units of the Company. In addition, as of December 31, 2022, Vincent Viola held 693,750 stock options of</w:t>
      </w:r>
    </w:p>
    <w:p>
      <w:pPr>
        <w:ind w:left="980" w:right="440"/>
        <w:spacing w:after="0" w:line="278" w:lineRule="auto"/>
        <w:rPr>
          <w:rFonts w:ascii="Arial" w:cs="Arial" w:eastAsia="Arial" w:hAnsi="Arial"/>
          <w:sz w:val="14"/>
          <w:szCs w:val="14"/>
          <w:color w:val="auto"/>
        </w:rPr>
      </w:pPr>
      <w:r>
        <w:rPr>
          <w:rFonts w:ascii="Arial" w:cs="Arial" w:eastAsia="Arial" w:hAnsi="Arial"/>
          <w:sz w:val="14"/>
          <w:szCs w:val="14"/>
          <w:color w:val="auto"/>
        </w:rPr>
        <w:t>the Company, all of which were vested and exercisable. For outstanding equity awards held by Mr. Cifu, please see “Outstanding Equity Awards at End of Fiscal Year 2022” above.</w:t>
      </w:r>
    </w:p>
    <w:p>
      <w:pPr>
        <w:spacing w:after="0" w:line="86" w:lineRule="exact"/>
        <w:rPr>
          <w:rFonts w:ascii="Arial" w:cs="Arial" w:eastAsia="Arial" w:hAnsi="Arial"/>
          <w:sz w:val="14"/>
          <w:szCs w:val="14"/>
          <w:color w:val="auto"/>
        </w:rPr>
      </w:pPr>
    </w:p>
    <w:p>
      <w:pPr>
        <w:ind w:left="980" w:hanging="218"/>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Greifeld served as a director and our Chairman until April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897890</wp:posOffset>
            </wp:positionV>
            <wp:extent cx="754380" cy="2400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right="1000"/>
        <w:spacing w:after="0" w:line="236" w:lineRule="auto"/>
        <w:rPr>
          <w:sz w:val="20"/>
          <w:szCs w:val="20"/>
          <w:color w:val="auto"/>
        </w:rPr>
      </w:pPr>
      <w:r>
        <w:rPr>
          <w:rFonts w:ascii="Arial" w:cs="Arial" w:eastAsia="Arial" w:hAnsi="Arial"/>
          <w:sz w:val="53"/>
          <w:szCs w:val="53"/>
          <w:color w:val="002453"/>
        </w:rPr>
        <w:t>Proposal 3: Ratification of Appointment of Independent Registered Public Accounting Firm</w:t>
      </w:r>
    </w:p>
    <w:p>
      <w:pPr>
        <w:spacing w:after="0" w:line="96"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2023. Stockholder ratification of the appointment of PricewaterhouseCoopers LLP is not required by law. If the stockholders do not ratify the appointment of PricewaterhouseCoopers LLP, the Audit Committee will reconsider the appointment. Even if the stockholders ratify the appointment of PricewaterhouseCoopers LLP, the Audit Committee retains the discretion to appoint a different independent registered public accounting firm at any time if it determines that such a change would be in the best interests of Virtu and its stockholders.</w:t>
      </w:r>
    </w:p>
    <w:p>
      <w:pPr>
        <w:spacing w:after="0" w:line="99" w:lineRule="exact"/>
        <w:rPr>
          <w:sz w:val="20"/>
          <w:szCs w:val="20"/>
          <w:color w:val="auto"/>
        </w:rPr>
      </w:pPr>
    </w:p>
    <w:p>
      <w:pPr>
        <w:ind w:left="760" w:right="240"/>
        <w:spacing w:after="0" w:line="256"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the ratification of the appointment of PricewaterhouseCoopers LLP. Abstentions have the same effect as a vote “against” the proposal, and broker non-votes are not expected as the proposal is a “routine”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292735</wp:posOffset>
            </wp:positionV>
            <wp:extent cx="5829300" cy="4800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453"/>
                <w:w w:val="99"/>
              </w:rPr>
              <w:t>The board of directors recommends that you vote FOR the ratification of PricewaterhouseCoopers LLP</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453"/>
                <w:w w:val="99"/>
              </w:rPr>
              <w:t>as our independent auditor for the fiscal year ending December 31, 2023.</w:t>
            </w:r>
          </w:p>
        </w:tc>
        <w:tc>
          <w:tcPr>
            <w:tcW w:w="120" w:type="dxa"/>
            <w:vAlign w:val="bottom"/>
            <w:vMerge w:val="restart"/>
          </w:tcPr>
          <w:p>
            <w:pPr>
              <w:ind w:left="6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right="780"/>
        <w:spacing w:after="0"/>
        <w:rPr>
          <w:sz w:val="20"/>
          <w:szCs w:val="20"/>
          <w:color w:val="auto"/>
        </w:rPr>
      </w:pPr>
      <w:r>
        <w:rPr>
          <w:rFonts w:ascii="Arial" w:cs="Arial" w:eastAsia="Arial" w:hAnsi="Arial"/>
          <w:sz w:val="53"/>
          <w:szCs w:val="53"/>
          <w:color w:val="002453"/>
        </w:rPr>
        <w:t>Information Regarding Independent Registered Public Accounting Firm</w:t>
      </w:r>
    </w:p>
    <w:p>
      <w:pPr>
        <w:spacing w:after="0" w:line="81" w:lineRule="exact"/>
        <w:rPr>
          <w:sz w:val="20"/>
          <w:szCs w:val="20"/>
          <w:color w:val="auto"/>
        </w:rPr>
      </w:pPr>
    </w:p>
    <w:p>
      <w:pPr>
        <w:ind w:left="760" w:right="320"/>
        <w:spacing w:after="0" w:line="246" w:lineRule="auto"/>
        <w:rPr>
          <w:sz w:val="20"/>
          <w:szCs w:val="20"/>
          <w:color w:val="auto"/>
        </w:rPr>
      </w:pPr>
      <w:r>
        <w:rPr>
          <w:rFonts w:ascii="Arial" w:cs="Arial" w:eastAsia="Arial" w:hAnsi="Arial"/>
          <w:sz w:val="18"/>
          <w:szCs w:val="18"/>
          <w:color w:val="auto"/>
        </w:rPr>
        <w:t>PricewaterhouseCoopers LLP has served as the Company’s independent registered public accounting firm since 2018.</w:t>
      </w:r>
    </w:p>
    <w:p>
      <w:pPr>
        <w:spacing w:after="0" w:line="89" w:lineRule="exact"/>
        <w:rPr>
          <w:sz w:val="20"/>
          <w:szCs w:val="20"/>
          <w:color w:val="auto"/>
        </w:rPr>
      </w:pPr>
    </w:p>
    <w:p>
      <w:pPr>
        <w:ind w:left="760" w:right="240"/>
        <w:spacing w:after="0" w:line="248" w:lineRule="auto"/>
        <w:rPr>
          <w:sz w:val="20"/>
          <w:szCs w:val="20"/>
          <w:color w:val="auto"/>
        </w:rPr>
      </w:pPr>
      <w:r>
        <w:rPr>
          <w:rFonts w:ascii="Arial" w:cs="Arial" w:eastAsia="Arial" w:hAnsi="Arial"/>
          <w:sz w:val="18"/>
          <w:szCs w:val="18"/>
          <w:color w:val="auto"/>
        </w:rPr>
        <w:t>The Audit Committee has the discretion to appoint a different independent registered public accounting firm at any time during the year if the Audit Committee believes that such a change would be in the best interest of the Company and our stockholders.</w:t>
      </w:r>
    </w:p>
    <w:p>
      <w:pPr>
        <w:spacing w:after="0" w:line="87" w:lineRule="exact"/>
        <w:rPr>
          <w:sz w:val="20"/>
          <w:szCs w:val="20"/>
          <w:color w:val="auto"/>
        </w:rPr>
      </w:pPr>
    </w:p>
    <w:p>
      <w:pPr>
        <w:ind w:left="760" w:right="240"/>
        <w:spacing w:after="0" w:line="248"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280"/>
        <w:spacing w:after="0" w:line="248" w:lineRule="auto"/>
        <w:rPr>
          <w:sz w:val="20"/>
          <w:szCs w:val="20"/>
          <w:color w:val="auto"/>
        </w:rPr>
      </w:pPr>
      <w:r>
        <w:rPr>
          <w:rFonts w:ascii="Arial" w:cs="Arial" w:eastAsia="Arial" w:hAnsi="Arial"/>
          <w:sz w:val="18"/>
          <w:szCs w:val="18"/>
          <w:color w:val="auto"/>
        </w:rPr>
        <w:t>The policy of our Audit Committee is to review in advance and preapprove all audit or non-audit services to be provided by the Company’s independent or other registered public accounting firm and to approve all related fees and other terms of engagement.</w:t>
      </w:r>
    </w:p>
    <w:p>
      <w:pPr>
        <w:spacing w:after="0" w:line="87" w:lineRule="exact"/>
        <w:rPr>
          <w:sz w:val="20"/>
          <w:szCs w:val="20"/>
          <w:color w:val="auto"/>
        </w:rPr>
      </w:pPr>
    </w:p>
    <w:p>
      <w:pPr>
        <w:ind w:left="760" w:right="80"/>
        <w:spacing w:after="0" w:line="241" w:lineRule="auto"/>
        <w:rPr>
          <w:sz w:val="20"/>
          <w:szCs w:val="20"/>
          <w:color w:val="auto"/>
        </w:rPr>
      </w:pPr>
      <w:r>
        <w:rPr>
          <w:rFonts w:ascii="Arial" w:cs="Arial" w:eastAsia="Arial" w:hAnsi="Arial"/>
          <w:sz w:val="18"/>
          <w:szCs w:val="18"/>
          <w:color w:val="auto"/>
        </w:rPr>
        <w:t>All of the audit related, tax and all other services provided by PricewaterhouseCoopers LLP to us since their appointment in 2018, and by Deloitte &amp; Touche LLP to us subsequent to our initial public offering in 2015 and until their dismissal in 2018, were approved by our Audit Committee, and none of such services were approved pursuant to the exception provided by Rule 2-01(c)(7)(i)(C) under Regulation S X. All non-audit services provided subsequent to our initial public offering in 2015 were reviewed with the Audit Committee, which in each case concluded that the provision of such services by the relevant independent registered public accounting firm was compatible with the maintenance of that firm’s independence in the conduct of its auditing functions.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Independent Registered Public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The following table presents aggregate fees billed to us for services rendered by our current independent registered public accounting firm, PricewaterhouseCoopers LLP, for the fiscal years ended December 31, 2022, and December 31, 2021.</w:t>
      </w:r>
    </w:p>
    <w:p>
      <w:pPr>
        <w:spacing w:after="0" w:line="10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1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3140" w:type="dxa"/>
            <w:vAlign w:val="bottom"/>
            <w:tcBorders>
              <w:bottom w:val="single" w:sz="8" w:color="00C08A"/>
            </w:tcBorders>
          </w:tcPr>
          <w:p>
            <w:pPr>
              <w:ind w:left="2760"/>
              <w:spacing w:after="0"/>
              <w:rPr>
                <w:sz w:val="20"/>
                <w:szCs w:val="20"/>
                <w:color w:val="auto"/>
              </w:rPr>
            </w:pPr>
            <w:r>
              <w:rPr>
                <w:rFonts w:ascii="Arial" w:cs="Arial" w:eastAsia="Arial" w:hAnsi="Arial"/>
                <w:sz w:val="14"/>
                <w:szCs w:val="14"/>
                <w:b w:val="1"/>
                <w:bCs w:val="1"/>
                <w:color w:val="002453"/>
              </w:rPr>
              <w:t>​ ​</w:t>
            </w:r>
          </w:p>
        </w:tc>
        <w:tc>
          <w:tcPr>
            <w:tcW w:w="480" w:type="dxa"/>
            <w:vAlign w:val="bottom"/>
            <w:tcBorders>
              <w:bottom w:val="single" w:sz="8" w:color="00C08A"/>
            </w:tcBorders>
          </w:tcPr>
          <w:p>
            <w:pPr>
              <w:jc w:val="right"/>
              <w:ind w:right="4"/>
              <w:spacing w:after="0"/>
              <w:rPr>
                <w:sz w:val="20"/>
                <w:szCs w:val="20"/>
                <w:color w:val="auto"/>
              </w:rPr>
            </w:pPr>
            <w:r>
              <w:rPr>
                <w:rFonts w:ascii="Arial" w:cs="Arial" w:eastAsia="Arial" w:hAnsi="Arial"/>
                <w:sz w:val="14"/>
                <w:szCs w:val="14"/>
                <w:b w:val="1"/>
                <w:bCs w:val="1"/>
                <w:color w:val="002453"/>
              </w:rPr>
              <w:t>2022</w:t>
            </w:r>
          </w:p>
        </w:tc>
        <w:tc>
          <w:tcPr>
            <w:tcW w:w="660" w:type="dxa"/>
            <w:vAlign w:val="bottom"/>
            <w:tcBorders>
              <w:bottom w:val="single" w:sz="8" w:color="00C08A"/>
            </w:tcBorders>
          </w:tcPr>
          <w:p>
            <w:pPr>
              <w:jc w:val="right"/>
              <w:ind w:right="144"/>
              <w:spacing w:after="0"/>
              <w:rPr>
                <w:sz w:val="20"/>
                <w:szCs w:val="20"/>
                <w:color w:val="auto"/>
              </w:rPr>
            </w:pPr>
            <w:r>
              <w:rPr>
                <w:rFonts w:ascii="Arial" w:cs="Arial" w:eastAsia="Arial" w:hAnsi="Arial"/>
                <w:sz w:val="14"/>
                <w:szCs w:val="14"/>
                <w:b w:val="1"/>
                <w:bCs w:val="1"/>
                <w:color w:val="002453"/>
              </w:rPr>
              <w:t>​ ​</w:t>
            </w:r>
          </w:p>
        </w:tc>
        <w:tc>
          <w:tcPr>
            <w:tcW w:w="4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2021</w:t>
            </w:r>
          </w:p>
        </w:tc>
        <w:tc>
          <w:tcPr>
            <w:tcW w:w="240" w:type="dxa"/>
            <w:vAlign w:val="bottom"/>
            <w:tcBorders>
              <w:bottom w:val="single" w:sz="8" w:color="00C08A"/>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r>
      <w:tr>
        <w:trPr>
          <w:trHeight w:val="263"/>
        </w:trPr>
        <w:tc>
          <w:tcPr>
            <w:tcW w:w="41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5000" w:type="dxa"/>
            <w:vAlign w:val="bottom"/>
            <w:tcBorders>
              <w:bottom w:val="single" w:sz="8" w:color="00C08A"/>
            </w:tcBorders>
            <w:gridSpan w:val="5"/>
            <w:shd w:val="clear" w:color="auto" w:fill="CCEEFF"/>
          </w:tcPr>
          <w:p>
            <w:pPr>
              <w:ind w:left="27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$6,449,900</w:t>
            </w:r>
            <w:r>
              <w:rPr>
                <w:rFonts w:ascii="Arial" w:cs="Arial" w:eastAsia="Arial" w:hAnsi="Arial"/>
                <w:sz w:val="30"/>
                <w:szCs w:val="30"/>
                <w:color w:val="auto"/>
                <w:vertAlign w:val="subscript"/>
              </w:rPr>
              <w:t>​​ ​​</w:t>
            </w:r>
            <w:r>
              <w:rPr>
                <w:rFonts w:ascii="Arial" w:cs="Arial" w:eastAsia="Arial" w:hAnsi="Arial"/>
                <w:sz w:val="16"/>
                <w:szCs w:val="16"/>
                <w:color w:val="auto"/>
              </w:rPr>
              <w:t>$6,343,035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80" w:type="dxa"/>
            <w:vAlign w:val="bottom"/>
          </w:tcPr>
          <w:p>
            <w:pPr>
              <w:spacing w:after="0"/>
              <w:rPr>
                <w:sz w:val="20"/>
                <w:szCs w:val="20"/>
                <w:color w:val="auto"/>
              </w:rPr>
            </w:pPr>
            <w:r>
              <w:rPr>
                <w:rFonts w:ascii="Arial" w:cs="Arial" w:eastAsia="Arial" w:hAnsi="Arial"/>
                <w:sz w:val="18"/>
                <w:szCs w:val="18"/>
                <w:color w:val="auto"/>
              </w:rPr>
              <w:t>Audit-related fees</w:t>
            </w:r>
          </w:p>
        </w:tc>
        <w:tc>
          <w:tcPr>
            <w:tcW w:w="3140" w:type="dxa"/>
            <w:vAlign w:val="bottom"/>
          </w:tcPr>
          <w:p>
            <w:pPr>
              <w:ind w:left="27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40" w:type="dxa"/>
            <w:vAlign w:val="bottom"/>
            <w:gridSpan w:val="2"/>
          </w:tcPr>
          <w:p>
            <w:pPr>
              <w:jc w:val="right"/>
              <w:ind w:right="4"/>
              <w:spacing w:after="0" w:line="264" w:lineRule="exact"/>
              <w:rPr>
                <w:sz w:val="20"/>
                <w:szCs w:val="20"/>
                <w:color w:val="auto"/>
              </w:rPr>
            </w:pPr>
            <w:r>
              <w:rPr>
                <w:rFonts w:ascii="Arial" w:cs="Arial" w:eastAsia="Arial" w:hAnsi="Arial"/>
                <w:sz w:val="16"/>
                <w:szCs w:val="16"/>
                <w:color w:val="auto"/>
              </w:rPr>
              <w:t>99,733</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78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129,732</w:t>
            </w:r>
            <w:r>
              <w:rPr>
                <w:rFonts w:ascii="Arial" w:cs="Arial" w:eastAsia="Arial" w:hAnsi="Arial"/>
                <w:sz w:val="30"/>
                <w:szCs w:val="30"/>
                <w:color w:val="auto"/>
                <w:vertAlign w:val="subscript"/>
              </w:rPr>
              <w:t>​</w:t>
            </w:r>
          </w:p>
        </w:tc>
      </w:tr>
      <w:tr>
        <w:trPr>
          <w:trHeight w:val="264"/>
        </w:trPr>
        <w:tc>
          <w:tcPr>
            <w:tcW w:w="418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5000" w:type="dxa"/>
            <w:vAlign w:val="bottom"/>
            <w:tcBorders>
              <w:top w:val="single" w:sz="8" w:color="00C08A"/>
              <w:bottom w:val="single" w:sz="8" w:color="00C08A"/>
            </w:tcBorders>
            <w:gridSpan w:val="5"/>
            <w:shd w:val="clear" w:color="auto" w:fill="CCEEFF"/>
          </w:tcPr>
          <w:p>
            <w:pPr>
              <w:ind w:left="27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$2,240,498</w:t>
            </w:r>
            <w:r>
              <w:rPr>
                <w:rFonts w:ascii="Arial" w:cs="Arial" w:eastAsia="Arial" w:hAnsi="Arial"/>
                <w:sz w:val="30"/>
                <w:szCs w:val="30"/>
                <w:color w:val="auto"/>
                <w:vertAlign w:val="subscript"/>
              </w:rPr>
              <w:t>​​ ​​</w:t>
            </w:r>
            <w:r>
              <w:rPr>
                <w:rFonts w:ascii="Arial" w:cs="Arial" w:eastAsia="Arial" w:hAnsi="Arial"/>
                <w:sz w:val="16"/>
                <w:szCs w:val="16"/>
                <w:color w:val="auto"/>
              </w:rPr>
              <w:t>$2,160,918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80" w:type="dxa"/>
            <w:vAlign w:val="bottom"/>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ind w:left="27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480" w:type="dxa"/>
            <w:vAlign w:val="bottom"/>
          </w:tcPr>
          <w:p>
            <w:pPr>
              <w:spacing w:after="0"/>
              <w:rPr>
                <w:sz w:val="22"/>
                <w:szCs w:val="22"/>
                <w:color w:val="auto"/>
              </w:rPr>
            </w:pPr>
          </w:p>
        </w:tc>
        <w:tc>
          <w:tcPr>
            <w:tcW w:w="660" w:type="dxa"/>
            <w:vAlign w:val="bottom"/>
          </w:tcPr>
          <w:p>
            <w:pPr>
              <w:jc w:val="right"/>
              <w:ind w:right="4"/>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480" w:type="dxa"/>
            <w:vAlign w:val="bottom"/>
          </w:tcPr>
          <w:p>
            <w:pPr>
              <w:spacing w:after="0"/>
              <w:rPr>
                <w:sz w:val="22"/>
                <w:szCs w:val="22"/>
                <w:color w:val="auto"/>
              </w:rPr>
            </w:pPr>
          </w:p>
        </w:tc>
        <w:tc>
          <w:tcPr>
            <w:tcW w:w="30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r>
      <w:tr>
        <w:trPr>
          <w:trHeight w:val="263"/>
        </w:trPr>
        <w:tc>
          <w:tcPr>
            <w:tcW w:w="418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0" w:type="dxa"/>
            <w:vAlign w:val="bottom"/>
            <w:tcBorders>
              <w:top w:val="single" w:sz="8" w:color="00C08A"/>
              <w:bottom w:val="single" w:sz="8" w:color="00C08A"/>
            </w:tcBorders>
            <w:gridSpan w:val="5"/>
            <w:shd w:val="clear" w:color="auto" w:fill="CCEEFF"/>
          </w:tcPr>
          <w:p>
            <w:pPr>
              <w:ind w:left="27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$8,790,131</w:t>
            </w:r>
            <w:r>
              <w:rPr>
                <w:rFonts w:ascii="Arial" w:cs="Arial" w:eastAsia="Arial" w:hAnsi="Arial"/>
                <w:sz w:val="30"/>
                <w:szCs w:val="30"/>
                <w:color w:val="auto"/>
                <w:vertAlign w:val="subscript"/>
              </w:rPr>
              <w:t>​​ ​​</w:t>
            </w:r>
            <w:r>
              <w:rPr>
                <w:rFonts w:ascii="Arial" w:cs="Arial" w:eastAsia="Arial" w:hAnsi="Arial"/>
                <w:sz w:val="16"/>
                <w:szCs w:val="16"/>
                <w:color w:val="auto"/>
              </w:rPr>
              <w:t>$8,633,685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180"/>
        <w:spacing w:after="0" w:line="245" w:lineRule="auto"/>
        <w:rPr>
          <w:sz w:val="20"/>
          <w:szCs w:val="20"/>
          <w:color w:val="auto"/>
        </w:rPr>
      </w:pPr>
      <w:r>
        <w:rPr>
          <w:rFonts w:ascii="Arial" w:cs="Arial" w:eastAsia="Arial" w:hAnsi="Arial"/>
          <w:sz w:val="18"/>
          <w:szCs w:val="18"/>
          <w:color w:val="auto"/>
        </w:rPr>
        <w:t>This category includes the aggregate fees during 2022 and 2021 for audit services provided by our independent registered public accounting firm for the fiscal years ending December 31, 2022 and December 31, 2021, including for the audits of our annual consolidated financial statements, and reviews of each of the quarterly financial statements included in our Quarterly Reports on Form 10-Q, as well as audits of the consolidated financial statements of various of our regulated and foreign operating subsidiaries.</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520"/>
        <w:spacing w:after="0" w:line="246" w:lineRule="auto"/>
        <w:rPr>
          <w:sz w:val="20"/>
          <w:szCs w:val="20"/>
          <w:color w:val="auto"/>
        </w:rPr>
      </w:pPr>
      <w:r>
        <w:rPr>
          <w:rFonts w:ascii="Arial" w:cs="Arial" w:eastAsia="Arial" w:hAnsi="Arial"/>
          <w:sz w:val="18"/>
          <w:szCs w:val="18"/>
          <w:color w:val="auto"/>
        </w:rPr>
        <w:t>This category includes the aggregate fees during 2022 and 2021 for services related to the performance of the audits and reviews described in the preceding paragraph that are not included in the Audit Fees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194310</wp:posOffset>
            </wp:positionV>
            <wp:extent cx="754380" cy="240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REGARDING INDEPENDENT REGISTERED PUBLIC ACCOUNTING FIRM</w:t>
      </w:r>
    </w:p>
    <w:p>
      <w:pPr>
        <w:spacing w:after="0" w:line="225" w:lineRule="exact"/>
        <w:rPr>
          <w:sz w:val="20"/>
          <w:szCs w:val="20"/>
          <w:color w:val="auto"/>
        </w:rPr>
      </w:pPr>
    </w:p>
    <w:p>
      <w:pPr>
        <w:ind w:left="760" w:right="360"/>
        <w:spacing w:after="0" w:line="265" w:lineRule="auto"/>
        <w:rPr>
          <w:sz w:val="20"/>
          <w:szCs w:val="20"/>
          <w:color w:val="auto"/>
        </w:rPr>
      </w:pPr>
      <w:r>
        <w:rPr>
          <w:rFonts w:ascii="Arial" w:cs="Arial" w:eastAsia="Arial" w:hAnsi="Arial"/>
          <w:sz w:val="17"/>
          <w:szCs w:val="17"/>
          <w:color w:val="auto"/>
        </w:rPr>
        <w:t>This category also includes fees associated with (i) accounting consultations and due diligence related to certain transactions, (ii) services rendered in connection with our registration statements and securities offerings,</w:t>
      </w:r>
    </w:p>
    <w:p>
      <w:pPr>
        <w:ind w:left="1040" w:hanging="278"/>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reports on controls of a service organization, (iv) reports on internal controls with respect to client assets, and</w:t>
      </w:r>
    </w:p>
    <w:p>
      <w:pPr>
        <w:spacing w:after="0" w:line="9" w:lineRule="exact"/>
        <w:rPr>
          <w:rFonts w:ascii="Arial" w:cs="Arial" w:eastAsia="Arial" w:hAnsi="Arial"/>
          <w:sz w:val="18"/>
          <w:szCs w:val="18"/>
          <w:color w:val="auto"/>
        </w:rPr>
      </w:pPr>
    </w:p>
    <w:p>
      <w:pPr>
        <w:ind w:left="1020" w:hanging="25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subscriptions to technical accounting resources.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580"/>
        <w:spacing w:after="0" w:line="291" w:lineRule="auto"/>
        <w:rPr>
          <w:sz w:val="20"/>
          <w:szCs w:val="20"/>
          <w:color w:val="auto"/>
        </w:rPr>
      </w:pPr>
      <w:r>
        <w:rPr>
          <w:rFonts w:ascii="Arial" w:cs="Arial" w:eastAsia="Arial" w:hAnsi="Arial"/>
          <w:sz w:val="17"/>
          <w:szCs w:val="17"/>
          <w:color w:val="auto"/>
        </w:rPr>
        <w:t>This category includes the aggregate fees during 2022 and 2021 for professional tax services provided by the independent registered public accounting firm or its affiliates, including for tax compliance and tax advice.</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other fees during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right="580"/>
        <w:spacing w:after="0" w:line="225" w:lineRule="auto"/>
        <w:rPr>
          <w:sz w:val="20"/>
          <w:szCs w:val="20"/>
          <w:color w:val="auto"/>
        </w:rPr>
      </w:pPr>
      <w:r>
        <w:rPr>
          <w:rFonts w:ascii="Arial" w:cs="Arial" w:eastAsia="Arial" w:hAnsi="Arial"/>
          <w:sz w:val="54"/>
          <w:szCs w:val="54"/>
          <w:color w:val="002453"/>
        </w:rPr>
        <w:t>Proposal 4: Amendment to the Virtu Financial, Inc. Certificate of Incorporation to Reflect New Delaware Law Provisions Regarding Officer Exculpation</w:t>
      </w:r>
    </w:p>
    <w:p>
      <w:pPr>
        <w:spacing w:after="0" w:line="90" w:lineRule="exact"/>
        <w:rPr>
          <w:sz w:val="20"/>
          <w:szCs w:val="20"/>
          <w:color w:val="auto"/>
        </w:rPr>
      </w:pPr>
    </w:p>
    <w:p>
      <w:pPr>
        <w:ind w:left="760" w:right="220"/>
        <w:spacing w:after="0" w:line="241" w:lineRule="auto"/>
        <w:rPr>
          <w:sz w:val="20"/>
          <w:szCs w:val="20"/>
          <w:color w:val="auto"/>
        </w:rPr>
      </w:pPr>
      <w:r>
        <w:rPr>
          <w:rFonts w:ascii="Arial" w:cs="Arial" w:eastAsia="Arial" w:hAnsi="Arial"/>
          <w:sz w:val="18"/>
          <w:szCs w:val="18"/>
          <w:color w:val="auto"/>
        </w:rPr>
        <w:t>The State of Delaware, which is our state of incorporation, recently amended Section 102(b)(7) of the Delaware General Corporation Law (the “DGCL”) to permit the exculpation of officers in specified situations. Our Amended and Restated Certificate of Incorporation currently provides for the exculpation of directors, but does not include a provision that allows for the exculpation of officers.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w:t>
      </w:r>
    </w:p>
    <w:p>
      <w:pPr>
        <w:spacing w:after="0" w:line="95" w:lineRule="exact"/>
        <w:rPr>
          <w:sz w:val="20"/>
          <w:szCs w:val="20"/>
          <w:color w:val="auto"/>
        </w:rPr>
      </w:pPr>
    </w:p>
    <w:p>
      <w:pPr>
        <w:ind w:left="760" w:right="180"/>
        <w:spacing w:after="0" w:line="243" w:lineRule="auto"/>
        <w:rPr>
          <w:sz w:val="20"/>
          <w:szCs w:val="20"/>
          <w:color w:val="auto"/>
        </w:rPr>
      </w:pPr>
      <w:r>
        <w:rPr>
          <w:rFonts w:ascii="Arial" w:cs="Arial" w:eastAsia="Arial" w:hAnsi="Arial"/>
          <w:sz w:val="18"/>
          <w:szCs w:val="18"/>
          <w:color w:val="auto"/>
        </w:rPr>
        <w:t>The exculpation provision would only apply to certain officers, namely a person who (during the course of conduct alleged to be wrongful) (i) is or was president, chief executive officer, chief operating officer, chief financial officer, chief legal officer, controller, treasurer or chief accounting officer; (ii) is or was identified in the Company’s public filings with the Securities and Exchange Commission because such person is or was one of the most highly compensated executive officers of the Company; or (iii) has, by written agreement with the Company, consented to be identified as an officer for purposes of accepting service of process.</w:t>
      </w:r>
    </w:p>
    <w:p>
      <w:pPr>
        <w:spacing w:after="0" w:line="93" w:lineRule="exact"/>
        <w:rPr>
          <w:sz w:val="20"/>
          <w:szCs w:val="20"/>
          <w:color w:val="auto"/>
        </w:rPr>
      </w:pPr>
    </w:p>
    <w:p>
      <w:pPr>
        <w:ind w:left="760" w:right="80"/>
        <w:spacing w:after="0" w:line="241" w:lineRule="auto"/>
        <w:rPr>
          <w:sz w:val="20"/>
          <w:szCs w:val="20"/>
          <w:color w:val="auto"/>
        </w:rPr>
      </w:pPr>
      <w:r>
        <w:rPr>
          <w:rFonts w:ascii="Arial" w:cs="Arial" w:eastAsia="Arial" w:hAnsi="Arial"/>
          <w:sz w:val="18"/>
          <w:szCs w:val="18"/>
          <w:color w:val="auto"/>
        </w:rPr>
        <w:t>As part of the Board’s ongoing evaluation of the corporate governance structures and practices of the Company, the Board considered the benefits and detriments of eliminating personal liability under certain circumstances for our executive officers. The Board believes it is appropriate for public companies in states that allow exculpation of officers to extend exculpation clauses in their certificates of incorporation to eligible officers. The nature of the roles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Moreover, failing to adopt the proposed amendment to extend exculpation to our officers could impact our recruitment and retention of exceptional officer candidates that conclude that the potential exposure to liabilities, costs of defense and other risks of proceedings exceeds the benefits of serving as an officer.</w:t>
      </w:r>
    </w:p>
    <w:p>
      <w:pPr>
        <w:spacing w:after="0" w:line="98"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Our stockholders should be aware that certain of our officers have interests in Proposal 4 that may be different from, or in addition to, the interests of our stockholders more generally since those officers will receive the liability exculpation protections afforded by Proposal 4. Our Board was aware of these interests and considered them, among other matters, in reaching its decision to approve Proposal 4. The amendment reflected in Proposal 4 was unanimously approved by the independent members of our Board of Directors, with our non-independent directors abstaining.</w:t>
      </w:r>
    </w:p>
    <w:p>
      <w:pPr>
        <w:spacing w:after="0" w:line="108" w:lineRule="exact"/>
        <w:rPr>
          <w:sz w:val="20"/>
          <w:szCs w:val="20"/>
          <w:color w:val="auto"/>
        </w:rPr>
      </w:pPr>
    </w:p>
    <w:p>
      <w:pPr>
        <w:jc w:val="both"/>
        <w:ind w:left="760" w:right="260"/>
        <w:spacing w:after="0" w:line="243" w:lineRule="auto"/>
        <w:rPr>
          <w:sz w:val="20"/>
          <w:szCs w:val="20"/>
          <w:color w:val="auto"/>
        </w:rPr>
      </w:pPr>
      <w:r>
        <w:rPr>
          <w:rFonts w:ascii="Arial" w:cs="Arial" w:eastAsia="Arial" w:hAnsi="Arial"/>
          <w:sz w:val="18"/>
          <w:szCs w:val="18"/>
          <w:color w:val="auto"/>
        </w:rPr>
        <w:t>The Board believes Proposal 4 would better position us to retain our current officers and attract new officers, and enable such officers to exercise their business judgment in furtherance of the interests of the stockholders without the potential for distraction posed by the risk of personal liability. Additionally, it would align the protections for our officers with those protections currently afforded to our directors.</w:t>
      </w:r>
    </w:p>
    <w:p>
      <w:pPr>
        <w:spacing w:after="0" w:line="93" w:lineRule="exact"/>
        <w:rPr>
          <w:sz w:val="20"/>
          <w:szCs w:val="20"/>
          <w:color w:val="auto"/>
        </w:rPr>
      </w:pPr>
    </w:p>
    <w:p>
      <w:pPr>
        <w:ind w:left="760" w:right="280"/>
        <w:spacing w:after="0" w:line="248" w:lineRule="auto"/>
        <w:rPr>
          <w:sz w:val="20"/>
          <w:szCs w:val="20"/>
          <w:color w:val="auto"/>
        </w:rPr>
      </w:pPr>
      <w:r>
        <w:rPr>
          <w:rFonts w:ascii="Arial" w:cs="Arial" w:eastAsia="Arial" w:hAnsi="Arial"/>
          <w:sz w:val="18"/>
          <w:szCs w:val="18"/>
          <w:color w:val="auto"/>
        </w:rPr>
        <w:t>Approval of this Proposal 4 constitutes approval of the Proposed Amended and Restated Articles of Incorporation as set forth above and in Appendix A. In Appendix A, additions are indicated by underlining and deletions are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193040</wp:posOffset>
            </wp:positionV>
            <wp:extent cx="75438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right="760"/>
        <w:spacing w:after="0" w:line="308" w:lineRule="auto"/>
        <w:rPr>
          <w:sz w:val="20"/>
          <w:szCs w:val="20"/>
          <w:color w:val="auto"/>
        </w:rPr>
      </w:pPr>
      <w:r>
        <w:rPr>
          <w:rFonts w:ascii="Arial" w:cs="Arial" w:eastAsia="Arial" w:hAnsi="Arial"/>
          <w:sz w:val="18"/>
          <w:szCs w:val="18"/>
          <w:color w:val="auto"/>
        </w:rPr>
        <w:t>PROPOSAL 4: AMENDMENT TO THE VIRTU FINANCIAL, INC. CERTIFICATE OF INCORPORATION TO REFLECT NEW DELAWARE LAW PROVISIONS REGARDING OFFICER EXCULPATION</w:t>
      </w:r>
    </w:p>
    <w:p>
      <w:pPr>
        <w:spacing w:after="0" w:line="157" w:lineRule="exact"/>
        <w:rPr>
          <w:sz w:val="20"/>
          <w:szCs w:val="20"/>
          <w:color w:val="auto"/>
        </w:rPr>
      </w:pPr>
    </w:p>
    <w:p>
      <w:pPr>
        <w:ind w:left="760" w:right="180"/>
        <w:spacing w:after="0" w:line="261" w:lineRule="auto"/>
        <w:rPr>
          <w:sz w:val="20"/>
          <w:szCs w:val="20"/>
          <w:color w:val="auto"/>
        </w:rPr>
      </w:pPr>
      <w:r>
        <w:rPr>
          <w:rFonts w:ascii="Arial" w:cs="Arial" w:eastAsia="Arial" w:hAnsi="Arial"/>
          <w:sz w:val="18"/>
          <w:szCs w:val="18"/>
          <w:color w:val="auto"/>
        </w:rPr>
        <w:t>by strikethroughs. This description of the Proposed Amendment is a summary and is qualified by the complete text of the Proposed Amended and Restated Articles of Incorporation.</w:t>
      </w:r>
    </w:p>
    <w:p>
      <w:pPr>
        <w:spacing w:after="0" w:line="90" w:lineRule="exact"/>
        <w:rPr>
          <w:sz w:val="20"/>
          <w:szCs w:val="20"/>
          <w:color w:val="auto"/>
        </w:rPr>
      </w:pPr>
    </w:p>
    <w:p>
      <w:pPr>
        <w:ind w:left="760" w:right="140"/>
        <w:spacing w:after="0" w:line="261" w:lineRule="auto"/>
        <w:rPr>
          <w:sz w:val="20"/>
          <w:szCs w:val="20"/>
          <w:color w:val="auto"/>
        </w:rPr>
      </w:pPr>
      <w:r>
        <w:rPr>
          <w:rFonts w:ascii="Arial" w:cs="Arial" w:eastAsia="Arial" w:hAnsi="Arial"/>
          <w:sz w:val="18"/>
          <w:szCs w:val="18"/>
          <w:color w:val="auto"/>
        </w:rPr>
        <w:t>Proposal 4 is not being proposed in response to any specific resignation, threat of resignation or refusal to serve by any officer.</w:t>
      </w:r>
    </w:p>
    <w:p>
      <w:pPr>
        <w:spacing w:after="0" w:line="90" w:lineRule="exact"/>
        <w:rPr>
          <w:sz w:val="20"/>
          <w:szCs w:val="20"/>
          <w:color w:val="auto"/>
        </w:rPr>
      </w:pPr>
    </w:p>
    <w:p>
      <w:pPr>
        <w:ind w:left="760" w:right="500"/>
        <w:spacing w:after="0" w:line="261" w:lineRule="auto"/>
        <w:rPr>
          <w:sz w:val="20"/>
          <w:szCs w:val="20"/>
          <w:color w:val="auto"/>
        </w:rPr>
      </w:pPr>
      <w:r>
        <w:rPr>
          <w:rFonts w:ascii="Arial" w:cs="Arial" w:eastAsia="Arial" w:hAnsi="Arial"/>
          <w:sz w:val="18"/>
          <w:szCs w:val="18"/>
          <w:color w:val="auto"/>
        </w:rPr>
        <w:t>Broker non-votes have no effect on this proposal, and abstentions have the same effect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280670</wp:posOffset>
            </wp:positionV>
            <wp:extent cx="5829300" cy="4800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the amendment to the Company’s Certificate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960" w:type="dxa"/>
            <w:vAlign w:val="bottom"/>
          </w:tcPr>
          <w:p>
            <w:pPr>
              <w:jc w:val="center"/>
              <w:spacing w:after="0"/>
              <w:rPr>
                <w:sz w:val="20"/>
                <w:szCs w:val="20"/>
                <w:color w:val="auto"/>
              </w:rPr>
            </w:pPr>
            <w:r>
              <w:rPr>
                <w:rFonts w:ascii="Arial" w:cs="Arial" w:eastAsia="Arial" w:hAnsi="Arial"/>
                <w:sz w:val="18"/>
                <w:szCs w:val="18"/>
                <w:b w:val="1"/>
                <w:bCs w:val="1"/>
                <w:color w:val="002453"/>
                <w:w w:val="99"/>
              </w:rPr>
              <w:t>Incorporation to reflect new Delaware law provisions regarding officer exculpation.</w:t>
            </w:r>
          </w:p>
        </w:tc>
        <w:tc>
          <w:tcPr>
            <w:tcW w:w="100" w:type="dxa"/>
            <w:vAlign w:val="bottom"/>
            <w:vMerge w:val="restart"/>
          </w:tcPr>
          <w:p>
            <w:pPr>
              <w:ind w:left="4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60" w:type="dxa"/>
            <w:vAlign w:val="bottom"/>
            <w:vMerge w:val="continue"/>
          </w:tcPr>
          <w:p>
            <w:pPr>
              <w:spacing w:after="0"/>
              <w:rPr>
                <w:sz w:val="5"/>
                <w:szCs w:val="5"/>
                <w:color w:val="auto"/>
              </w:rPr>
            </w:pPr>
          </w:p>
        </w:tc>
        <w:tc>
          <w:tcPr>
            <w:tcW w:w="89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Audit Committee Report</w:t>
      </w:r>
    </w:p>
    <w:p>
      <w:pPr>
        <w:spacing w:after="0" w:line="90" w:lineRule="exact"/>
        <w:rPr>
          <w:sz w:val="20"/>
          <w:szCs w:val="20"/>
          <w:color w:val="auto"/>
        </w:rPr>
      </w:pPr>
    </w:p>
    <w:p>
      <w:pPr>
        <w:ind w:left="760" w:right="220"/>
        <w:spacing w:after="0" w:line="257" w:lineRule="auto"/>
        <w:rPr>
          <w:sz w:val="20"/>
          <w:szCs w:val="20"/>
          <w:color w:val="auto"/>
        </w:rPr>
      </w:pPr>
      <w:r>
        <w:rPr>
          <w:rFonts w:ascii="Arial" w:cs="Arial" w:eastAsia="Arial" w:hAnsi="Arial"/>
          <w:sz w:val="18"/>
          <w:szCs w:val="18"/>
          <w:i w:val="1"/>
          <w:iCs w:val="1"/>
          <w:color w:val="auto"/>
        </w:rPr>
        <w:t>The following is the report of the Audit Committee of Virtu Financial, Inc. (the “</w:t>
      </w:r>
      <w:r>
        <w:rPr>
          <w:rFonts w:ascii="Arial" w:cs="Arial" w:eastAsia="Arial" w:hAnsi="Arial"/>
          <w:sz w:val="18"/>
          <w:szCs w:val="18"/>
          <w:b w:val="1"/>
          <w:bCs w:val="1"/>
          <w:color w:val="auto"/>
        </w:rPr>
        <w:t>Company</w:t>
      </w:r>
      <w:r>
        <w:rPr>
          <w:rFonts w:ascii="Arial" w:cs="Arial" w:eastAsia="Arial" w:hAnsi="Arial"/>
          <w:sz w:val="18"/>
          <w:szCs w:val="18"/>
          <w:i w:val="1"/>
          <w:iCs w:val="1"/>
          <w:color w:val="auto"/>
        </w:rPr>
        <w:t>”) with respect to our audited financial statements for the year ended December 31, 2022. The information contained in this report shall not be deemed “soliciting material” or otherwise considered “filed”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i w:val="1"/>
          <w:iCs w:val="1"/>
          <w:color w:val="auto"/>
        </w:rPr>
        <w:t>”), and such information shall not be incorporated by reference into any future filing under the Securities Exchange Act of 1934, as amended, except to the extent that we specifically incorporate such information by reference in such filing.</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hereby reports as follows:</w:t>
      </w:r>
    </w:p>
    <w:p>
      <w:pPr>
        <w:spacing w:after="0" w:line="117" w:lineRule="exact"/>
        <w:rPr>
          <w:sz w:val="20"/>
          <w:szCs w:val="20"/>
          <w:color w:val="auto"/>
        </w:rPr>
      </w:pPr>
    </w:p>
    <w:p>
      <w:pPr>
        <w:ind w:left="980" w:right="340" w:hanging="2"/>
        <w:spacing w:after="0" w:line="256" w:lineRule="auto"/>
        <w:tabs>
          <w:tab w:leader="none" w:pos="11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p>
    <w:p>
      <w:pPr>
        <w:spacing w:after="0" w:line="93" w:lineRule="exact"/>
        <w:rPr>
          <w:rFonts w:ascii="Arial" w:cs="Arial" w:eastAsia="Arial" w:hAnsi="Arial"/>
          <w:sz w:val="18"/>
          <w:szCs w:val="18"/>
          <w:color w:val="auto"/>
        </w:rPr>
      </w:pPr>
    </w:p>
    <w:p>
      <w:pPr>
        <w:ind w:left="980" w:right="240" w:hanging="2"/>
        <w:spacing w:after="0" w:line="254" w:lineRule="auto"/>
        <w:tabs>
          <w:tab w:leader="none" w:pos="11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applicable requirements of the PCAOB and the SEC.</w:t>
      </w:r>
    </w:p>
    <w:p>
      <w:pPr>
        <w:spacing w:after="0" w:line="96" w:lineRule="exact"/>
        <w:rPr>
          <w:sz w:val="20"/>
          <w:szCs w:val="20"/>
          <w:color w:val="auto"/>
        </w:rPr>
      </w:pPr>
    </w:p>
    <w:p>
      <w:pPr>
        <w:ind w:left="980" w:right="260"/>
        <w:spacing w:after="0" w:line="252" w:lineRule="auto"/>
        <w:rPr>
          <w:sz w:val="20"/>
          <w:szCs w:val="20"/>
          <w:color w:val="auto"/>
        </w:rPr>
      </w:pPr>
      <w:r>
        <w:rPr>
          <w:rFonts w:ascii="Arial" w:cs="Arial" w:eastAsia="Arial" w:hAnsi="Arial"/>
          <w:sz w:val="18"/>
          <w:szCs w:val="18"/>
          <w:color w:val="auto"/>
        </w:rPr>
        <w:t>3.The Audit Committee has received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The Audit Committee has concluded that PricewaterhouseCoopers LLP’s provision of audit and non-audit services to the Company and its affiliates is compatible with PricewaterhouseCoopers LLP’s independence.</w:t>
      </w:r>
    </w:p>
    <w:p>
      <w:pPr>
        <w:spacing w:after="0" w:line="100" w:lineRule="exact"/>
        <w:rPr>
          <w:sz w:val="20"/>
          <w:szCs w:val="20"/>
          <w:color w:val="auto"/>
        </w:rPr>
      </w:pPr>
    </w:p>
    <w:p>
      <w:pPr>
        <w:ind w:left="980" w:right="280" w:hanging="2"/>
        <w:spacing w:after="0" w:line="261" w:lineRule="auto"/>
        <w:tabs>
          <w:tab w:leader="none" w:pos="11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Audit Committee has an established charter outlining the practices it follows. The charter is available on the Company’s website at: http://ir.virtu.com/corporate-governance.cfm.</w:t>
      </w:r>
    </w:p>
    <w:p>
      <w:pPr>
        <w:spacing w:after="0" w:line="89" w:lineRule="exact"/>
        <w:rPr>
          <w:rFonts w:ascii="Arial" w:cs="Arial" w:eastAsia="Arial" w:hAnsi="Arial"/>
          <w:sz w:val="18"/>
          <w:szCs w:val="18"/>
          <w:color w:val="auto"/>
        </w:rPr>
      </w:pPr>
    </w:p>
    <w:p>
      <w:pPr>
        <w:ind w:left="980" w:right="280" w:hanging="2"/>
        <w:spacing w:after="0" w:line="254" w:lineRule="auto"/>
        <w:tabs>
          <w:tab w:leader="none" w:pos="11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paragraphs (1) through (3) above, the Audit Committee recommended to the Company’s board of directors, and the board has approved, that the audited financial statements be included in the Company’s Annual Report on Form 10-K for the fiscal year ended December 31, 2022, for filing with the SEC.</w:t>
      </w:r>
    </w:p>
    <w:p>
      <w:pPr>
        <w:spacing w:after="0" w:line="290"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1"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William F. Cruger, Jr.</w:t>
      </w:r>
    </w:p>
    <w:p>
      <w:pPr>
        <w:spacing w:after="0" w:line="27"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Joanne M. Minieri</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John D.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2260600</wp:posOffset>
            </wp:positionV>
            <wp:extent cx="754380" cy="240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right="220"/>
        <w:spacing w:after="0" w:line="238" w:lineRule="auto"/>
        <w:rPr>
          <w:sz w:val="20"/>
          <w:szCs w:val="20"/>
          <w:color w:val="auto"/>
        </w:rPr>
      </w:pPr>
      <w:r>
        <w:rPr>
          <w:rFonts w:ascii="Arial" w:cs="Arial" w:eastAsia="Arial" w:hAnsi="Arial"/>
          <w:sz w:val="54"/>
          <w:szCs w:val="54"/>
          <w:color w:val="002453"/>
        </w:rPr>
        <w:t>Stock Ownership of Certain Beneficial Owners and Management</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tables below set forth information with respect to the beneficial ownership of our Class A common stock and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Class B common stock by:</w:t>
      </w:r>
    </w:p>
    <w:p>
      <w:pPr>
        <w:spacing w:after="0" w:line="117" w:lineRule="exact"/>
        <w:rPr>
          <w:sz w:val="20"/>
          <w:szCs w:val="20"/>
          <w:color w:val="auto"/>
        </w:rPr>
      </w:pPr>
    </w:p>
    <w:p>
      <w:pPr>
        <w:ind w:left="1340" w:hanging="218"/>
        <w:spacing w:after="0"/>
        <w:tabs>
          <w:tab w:leader="none" w:pos="1340" w:val="left"/>
        </w:tabs>
        <w:numPr>
          <w:ilvl w:val="0"/>
          <w:numId w:val="37"/>
        </w:numPr>
        <w:rPr>
          <w:rFonts w:ascii="Arial" w:cs="Arial" w:eastAsia="Arial" w:hAnsi="Arial"/>
          <w:sz w:val="18"/>
          <w:szCs w:val="18"/>
          <w:color w:val="002453"/>
        </w:rPr>
      </w:pPr>
      <w:r>
        <w:rPr>
          <w:rFonts w:ascii="Arial" w:cs="Arial" w:eastAsia="Arial" w:hAnsi="Arial"/>
          <w:sz w:val="18"/>
          <w:szCs w:val="18"/>
          <w:color w:val="auto"/>
        </w:rPr>
        <w:t>Each of our directors and executive officers;</w:t>
      </w:r>
    </w:p>
    <w:p>
      <w:pPr>
        <w:spacing w:after="0" w:line="117" w:lineRule="exact"/>
        <w:rPr>
          <w:rFonts w:ascii="Arial" w:cs="Arial" w:eastAsia="Arial" w:hAnsi="Arial"/>
          <w:sz w:val="18"/>
          <w:szCs w:val="18"/>
          <w:color w:val="002453"/>
        </w:rPr>
      </w:pPr>
    </w:p>
    <w:p>
      <w:pPr>
        <w:ind w:left="1340" w:right="520" w:hanging="218"/>
        <w:spacing w:after="0" w:line="261" w:lineRule="auto"/>
        <w:tabs>
          <w:tab w:leader="none" w:pos="1340" w:val="left"/>
        </w:tabs>
        <w:numPr>
          <w:ilvl w:val="0"/>
          <w:numId w:val="37"/>
        </w:numPr>
        <w:rPr>
          <w:rFonts w:ascii="Arial" w:cs="Arial" w:eastAsia="Arial" w:hAnsi="Arial"/>
          <w:sz w:val="18"/>
          <w:szCs w:val="18"/>
          <w:color w:val="002453"/>
        </w:rPr>
      </w:pPr>
      <w:r>
        <w:rPr>
          <w:rFonts w:ascii="Arial" w:cs="Arial" w:eastAsia="Arial" w:hAnsi="Arial"/>
          <w:sz w:val="18"/>
          <w:szCs w:val="18"/>
          <w:color w:val="auto"/>
        </w:rPr>
        <w:t>Each person who is known to be the beneficial owner of more than 5% of the outstanding shares of our Class A common stock and Class B common stock; and</w:t>
      </w:r>
    </w:p>
    <w:p>
      <w:pPr>
        <w:spacing w:after="0" w:line="89" w:lineRule="exact"/>
        <w:rPr>
          <w:rFonts w:ascii="Arial" w:cs="Arial" w:eastAsia="Arial" w:hAnsi="Arial"/>
          <w:sz w:val="18"/>
          <w:szCs w:val="18"/>
          <w:color w:val="002453"/>
        </w:rPr>
      </w:pPr>
    </w:p>
    <w:p>
      <w:pPr>
        <w:ind w:left="1340" w:hanging="218"/>
        <w:spacing w:after="0"/>
        <w:tabs>
          <w:tab w:leader="none" w:pos="1340" w:val="left"/>
        </w:tabs>
        <w:numPr>
          <w:ilvl w:val="0"/>
          <w:numId w:val="37"/>
        </w:numPr>
        <w:rPr>
          <w:rFonts w:ascii="Arial" w:cs="Arial" w:eastAsia="Arial" w:hAnsi="Arial"/>
          <w:sz w:val="18"/>
          <w:szCs w:val="18"/>
          <w:color w:val="002453"/>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jc w:val="both"/>
        <w:ind w:left="760" w:right="440"/>
        <w:spacing w:after="0" w:line="254" w:lineRule="auto"/>
        <w:rPr>
          <w:sz w:val="20"/>
          <w:szCs w:val="20"/>
          <w:color w:val="auto"/>
        </w:rPr>
      </w:pPr>
      <w:r>
        <w:rPr>
          <w:rFonts w:ascii="Arial" w:cs="Arial" w:eastAsia="Arial" w:hAnsi="Arial"/>
          <w:sz w:val="18"/>
          <w:szCs w:val="18"/>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96" w:lineRule="exact"/>
        <w:rPr>
          <w:sz w:val="20"/>
          <w:szCs w:val="20"/>
          <w:color w:val="auto"/>
        </w:rPr>
      </w:pPr>
    </w:p>
    <w:p>
      <w:pPr>
        <w:ind w:left="760" w:right="60"/>
        <w:spacing w:after="0" w:line="251" w:lineRule="auto"/>
        <w:rPr>
          <w:sz w:val="20"/>
          <w:szCs w:val="20"/>
          <w:color w:val="auto"/>
        </w:rPr>
      </w:pPr>
      <w:r>
        <w:rPr>
          <w:rFonts w:ascii="Arial" w:cs="Arial" w:eastAsia="Arial" w:hAnsi="Arial"/>
          <w:sz w:val="18"/>
          <w:szCs w:val="18"/>
          <w:color w:val="auto"/>
        </w:rPr>
        <w:t>Prior to our initial public offering, our business was conducted through Virtu Financial and its subsidiaries. In a series of transactions that occurred in connection with our initial public offering, (i) we became the sole managing member of Virtu Financial and acquired non-voting common interest units of Virtu Financial Units, (ii) certain direct or indirect equity holders of Virtu Financial acquired shares of our Class A common stock and (iii) certain direct or indirect equity holders of Virtu Financial had their interests reclassified into Virtu Financial Units and acquired shares of our Class C common stock or, in the case of the Founder Member only, shares of our Class D common stock (collectively, the “</w:t>
      </w:r>
      <w:r>
        <w:rPr>
          <w:rFonts w:ascii="Arial" w:cs="Arial" w:eastAsia="Arial" w:hAnsi="Arial"/>
          <w:sz w:val="18"/>
          <w:szCs w:val="18"/>
          <w:b w:val="1"/>
          <w:bCs w:val="1"/>
          <w:color w:val="auto"/>
        </w:rPr>
        <w:t>Virtu Members</w:t>
      </w:r>
      <w:r>
        <w:rPr>
          <w:rFonts w:ascii="Arial" w:cs="Arial" w:eastAsia="Arial" w:hAnsi="Arial"/>
          <w:sz w:val="18"/>
          <w:szCs w:val="18"/>
          <w:color w:val="auto"/>
        </w:rPr>
        <w:t>”). Subject to certain restrictions, each Virtu Member, other than the Founder Member, has the right at any time to exchange any vested Virtu Financial Units (together with a corresponding number of shares of Class C common stock) for shares of Class A common stock on a one for one basis. Subject to certain restrictions, the Founder Member has the right at any time to exchange any Virtu Financial Units (together with a corresponding number of shares of Class D common stock) for shares of Class B common stock on a one for one basis. Shares of Class B common stock may be converted into shares of Class A common stock on a one for one basis.</w:t>
      </w:r>
    </w:p>
    <w:p>
      <w:pPr>
        <w:spacing w:after="0" w:line="102" w:lineRule="exact"/>
        <w:rPr>
          <w:sz w:val="20"/>
          <w:szCs w:val="20"/>
          <w:color w:val="auto"/>
        </w:rPr>
      </w:pPr>
    </w:p>
    <w:p>
      <w:pPr>
        <w:ind w:left="760" w:right="200"/>
        <w:spacing w:after="0" w:line="265" w:lineRule="auto"/>
        <w:rPr>
          <w:sz w:val="20"/>
          <w:szCs w:val="20"/>
          <w:color w:val="auto"/>
        </w:rPr>
      </w:pPr>
      <w:r>
        <w:rPr>
          <w:rFonts w:ascii="Arial" w:cs="Arial" w:eastAsia="Arial" w:hAnsi="Arial"/>
          <w:sz w:val="17"/>
          <w:szCs w:val="17"/>
          <w:color w:val="auto"/>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 (ii) all Virtu Financial Units (together with the corresponding shares of Class D common stock) have been exchanged for shares of Class B common stock and (iii) all shares of Class B common stock have been converted into shares of Class A common stock. Subject to the assumptions in the preceding sentence, the amounts</w:t>
      </w:r>
    </w:p>
    <w:p>
      <w:pPr>
        <w:spacing w:after="0" w:line="1"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99"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Except as set forth in the footnotes below, the percentages included in the following table are based on 95,833,520 shares of Class A common stock outstanding, 8,856,531 Virtu Financial Units and related shares of Class C common stock and 60,091,740 Virtu Financial Units and related shares of Class D common stock outstanding as of April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170"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25" w:lineRule="exact"/>
        <w:rPr>
          <w:sz w:val="20"/>
          <w:szCs w:val="20"/>
          <w:color w:val="auto"/>
        </w:rPr>
      </w:pPr>
    </w:p>
    <w:p>
      <w:pPr>
        <w:ind w:left="760" w:right="920"/>
        <w:spacing w:after="0" w:line="246" w:lineRule="auto"/>
        <w:rPr>
          <w:sz w:val="20"/>
          <w:szCs w:val="20"/>
          <w:color w:val="auto"/>
        </w:rPr>
      </w:pPr>
      <w:r>
        <w:rPr>
          <w:rFonts w:ascii="Arial" w:cs="Arial" w:eastAsia="Arial" w:hAnsi="Arial"/>
          <w:sz w:val="18"/>
          <w:szCs w:val="18"/>
          <w:color w:val="auto"/>
        </w:rPr>
        <w:t>Unless otherwise indicated, the address for each beneficial owner listed below is: c/o Virtu Financial, Inc., 1633 Broadway, New York, New York 10019.</w:t>
      </w:r>
    </w:p>
    <w:p>
      <w:pPr>
        <w:spacing w:after="0" w:line="9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002453"/>
              </w:rPr>
              <w:t>Class A Common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002453"/>
              </w:rPr>
              <w:t>Class B Common Stock</w:t>
            </w: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002453"/>
              </w:rPr>
              <w:t>Combined</w:t>
            </w:r>
          </w:p>
        </w:tc>
        <w:tc>
          <w:tcPr>
            <w:tcW w:w="60" w:type="dxa"/>
            <w:vAlign w:val="bottom"/>
          </w:tcPr>
          <w:p>
            <w:pPr>
              <w:spacing w:after="0"/>
              <w:rPr>
                <w:sz w:val="14"/>
                <w:szCs w:val="14"/>
                <w:color w:val="auto"/>
              </w:rPr>
            </w:pPr>
          </w:p>
        </w:tc>
      </w:tr>
      <w:tr>
        <w:trPr>
          <w:trHeight w:val="148"/>
        </w:trPr>
        <w:tc>
          <w:tcPr>
            <w:tcW w:w="4140" w:type="dxa"/>
            <w:vAlign w:val="bottom"/>
          </w:tcPr>
          <w:p>
            <w:pPr>
              <w:spacing w:after="0"/>
              <w:rPr>
                <w:sz w:val="12"/>
                <w:szCs w:val="12"/>
                <w:color w:val="auto"/>
              </w:rPr>
            </w:pPr>
          </w:p>
        </w:tc>
        <w:tc>
          <w:tcPr>
            <w:tcW w:w="1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002453"/>
              </w:rPr>
              <w:t>(on a fully exchanged and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right"/>
              <w:ind w:right="30"/>
              <w:spacing w:after="0" w:line="149" w:lineRule="exact"/>
              <w:rPr>
                <w:sz w:val="20"/>
                <w:szCs w:val="20"/>
                <w:color w:val="auto"/>
              </w:rPr>
            </w:pPr>
            <w:r>
              <w:rPr>
                <w:rFonts w:ascii="Arial" w:cs="Arial" w:eastAsia="Arial" w:hAnsi="Arial"/>
                <w:sz w:val="14"/>
                <w:szCs w:val="14"/>
                <w:b w:val="1"/>
                <w:bCs w:val="1"/>
                <w:color w:val="002453"/>
              </w:rPr>
              <w:t>(on a fully exchanged and</w:t>
            </w:r>
          </w:p>
        </w:tc>
        <w:tc>
          <w:tcPr>
            <w:tcW w:w="180" w:type="dxa"/>
            <w:vAlign w:val="bottom"/>
          </w:tcPr>
          <w:p>
            <w:pPr>
              <w:spacing w:after="0"/>
              <w:rPr>
                <w:sz w:val="12"/>
                <w:szCs w:val="12"/>
                <w:color w:val="auto"/>
              </w:rPr>
            </w:pPr>
          </w:p>
        </w:tc>
        <w:tc>
          <w:tcPr>
            <w:tcW w:w="680" w:type="dxa"/>
            <w:vAlign w:val="bottom"/>
            <w:gridSpan w:val="2"/>
          </w:tcPr>
          <w:p>
            <w:pPr>
              <w:jc w:val="right"/>
              <w:ind w:right="110"/>
              <w:spacing w:after="0" w:line="149" w:lineRule="exact"/>
              <w:rPr>
                <w:sz w:val="20"/>
                <w:szCs w:val="20"/>
                <w:color w:val="auto"/>
              </w:rPr>
            </w:pPr>
            <w:r>
              <w:rPr>
                <w:rFonts w:ascii="Arial" w:cs="Arial" w:eastAsia="Arial" w:hAnsi="Arial"/>
                <w:sz w:val="14"/>
                <w:szCs w:val="14"/>
                <w:b w:val="1"/>
                <w:bCs w:val="1"/>
                <w:color w:val="002453"/>
              </w:rPr>
              <w:t>Voting</w:t>
            </w:r>
          </w:p>
        </w:tc>
        <w:tc>
          <w:tcPr>
            <w:tcW w:w="60" w:type="dxa"/>
            <w:vAlign w:val="bottom"/>
          </w:tcPr>
          <w:p>
            <w:pPr>
              <w:spacing w:after="0"/>
              <w:rPr>
                <w:sz w:val="12"/>
                <w:szCs w:val="12"/>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480" w:type="dxa"/>
            <w:vAlign w:val="bottom"/>
            <w:tcBorders>
              <w:bottom w:val="single" w:sz="8" w:color="00C08A"/>
            </w:tcBorders>
            <w:gridSpan w:val="2"/>
          </w:tcPr>
          <w:p>
            <w:pPr>
              <w:jc w:val="center"/>
              <w:ind w:left="134"/>
              <w:spacing w:after="0"/>
              <w:rPr>
                <w:sz w:val="20"/>
                <w:szCs w:val="20"/>
                <w:color w:val="auto"/>
              </w:rPr>
            </w:pPr>
            <w:r>
              <w:rPr>
                <w:rFonts w:ascii="Arial" w:cs="Arial" w:eastAsia="Arial" w:hAnsi="Arial"/>
                <w:sz w:val="14"/>
                <w:szCs w:val="14"/>
                <w:b w:val="1"/>
                <w:bCs w:val="1"/>
                <w:color w:val="002453"/>
              </w:rPr>
              <w:t>converted basis)</w:t>
            </w:r>
          </w:p>
        </w:tc>
        <w:tc>
          <w:tcPr>
            <w:tcW w:w="300" w:type="dxa"/>
            <w:vAlign w:val="bottom"/>
            <w:tcBorders>
              <w:bottom w:val="single" w:sz="8" w:color="00C08A"/>
            </w:tcBorders>
          </w:tcPr>
          <w:p>
            <w:pPr>
              <w:spacing w:after="0"/>
              <w:rPr>
                <w:sz w:val="16"/>
                <w:szCs w:val="16"/>
                <w:color w:val="auto"/>
              </w:rPr>
            </w:pPr>
          </w:p>
        </w:tc>
        <w:tc>
          <w:tcPr>
            <w:tcW w:w="20" w:type="dxa"/>
            <w:vAlign w:val="bottom"/>
            <w:tcBorders>
              <w:bottom w:val="single" w:sz="8" w:color="00C08A"/>
            </w:tcBorders>
          </w:tcPr>
          <w:p>
            <w:pPr>
              <w:spacing w:after="0"/>
              <w:rPr>
                <w:sz w:val="16"/>
                <w:szCs w:val="16"/>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002453"/>
              </w:rPr>
              <w:t>​ ​</w:t>
            </w:r>
          </w:p>
        </w:tc>
        <w:tc>
          <w:tcPr>
            <w:tcW w:w="120" w:type="dxa"/>
            <w:vAlign w:val="bottom"/>
            <w:tcBorders>
              <w:bottom w:val="single" w:sz="8" w:color="00C08A"/>
            </w:tcBorders>
          </w:tcPr>
          <w:p>
            <w:pPr>
              <w:spacing w:after="0"/>
              <w:rPr>
                <w:sz w:val="16"/>
                <w:szCs w:val="16"/>
                <w:color w:val="auto"/>
              </w:rPr>
            </w:pPr>
          </w:p>
        </w:tc>
        <w:tc>
          <w:tcPr>
            <w:tcW w:w="1940" w:type="dxa"/>
            <w:vAlign w:val="bottom"/>
            <w:tcBorders>
              <w:bottom w:val="single" w:sz="8" w:color="00C08A"/>
            </w:tcBorders>
            <w:gridSpan w:val="3"/>
          </w:tcPr>
          <w:p>
            <w:pPr>
              <w:jc w:val="right"/>
              <w:ind w:right="250"/>
              <w:spacing w:after="0"/>
              <w:rPr>
                <w:sz w:val="20"/>
                <w:szCs w:val="20"/>
                <w:color w:val="auto"/>
              </w:rPr>
            </w:pPr>
            <w:r>
              <w:rPr>
                <w:rFonts w:ascii="Arial" w:cs="Arial" w:eastAsia="Arial" w:hAnsi="Arial"/>
                <w:sz w:val="14"/>
                <w:szCs w:val="14"/>
                <w:b w:val="1"/>
                <w:bCs w:val="1"/>
                <w:color w:val="002453"/>
              </w:rPr>
              <w:t>converted basis)(1)</w:t>
            </w:r>
          </w:p>
        </w:tc>
        <w:tc>
          <w:tcPr>
            <w:tcW w:w="860" w:type="dxa"/>
            <w:vAlign w:val="bottom"/>
            <w:tcBorders>
              <w:bottom w:val="single" w:sz="8" w:color="00C08A"/>
            </w:tcBorders>
            <w:gridSpan w:val="3"/>
          </w:tcPr>
          <w:p>
            <w:pPr>
              <w:ind w:left="80"/>
              <w:spacing w:after="0"/>
              <w:rPr>
                <w:sz w:val="20"/>
                <w:szCs w:val="20"/>
                <w:color w:val="auto"/>
              </w:rPr>
            </w:pPr>
            <w:r>
              <w:rPr>
                <w:rFonts w:ascii="Arial" w:cs="Arial" w:eastAsia="Arial" w:hAnsi="Arial"/>
                <w:sz w:val="14"/>
                <w:szCs w:val="14"/>
                <w:b w:val="1"/>
                <w:bCs w:val="1"/>
                <w:color w:val="002453"/>
              </w:rPr>
              <w:t>​ Power(2)</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r>
      <w:tr>
        <w:trPr>
          <w:trHeight w:val="209"/>
        </w:trPr>
        <w:tc>
          <w:tcPr>
            <w:tcW w:w="4140" w:type="dxa"/>
            <w:vAlign w:val="bottom"/>
          </w:tcPr>
          <w:p>
            <w:pPr>
              <w:spacing w:after="0"/>
              <w:rPr>
                <w:sz w:val="20"/>
                <w:szCs w:val="20"/>
                <w:color w:val="auto"/>
              </w:rPr>
            </w:pPr>
            <w:r>
              <w:rPr>
                <w:rFonts w:ascii="Arial" w:cs="Arial" w:eastAsia="Arial" w:hAnsi="Arial"/>
                <w:sz w:val="14"/>
                <w:szCs w:val="14"/>
                <w:b w:val="1"/>
                <w:bCs w:val="1"/>
                <w:color w:val="002453"/>
              </w:rPr>
              <w:t>​</w:t>
            </w:r>
          </w:p>
        </w:tc>
        <w:tc>
          <w:tcPr>
            <w:tcW w:w="100" w:type="dxa"/>
            <w:vAlign w:val="bottom"/>
          </w:tcPr>
          <w:p>
            <w:pPr>
              <w:spacing w:after="0"/>
              <w:rPr>
                <w:sz w:val="20"/>
                <w:szCs w:val="20"/>
                <w:color w:val="auto"/>
              </w:rPr>
            </w:pPr>
            <w:r>
              <w:rPr>
                <w:rFonts w:ascii="Arial" w:cs="Arial" w:eastAsia="Arial" w:hAnsi="Arial"/>
                <w:sz w:val="14"/>
                <w:szCs w:val="14"/>
                <w:b w:val="1"/>
                <w:bCs w:val="1"/>
                <w:color w:val="002453"/>
              </w:rPr>
              <w:t>​</w:t>
            </w:r>
          </w:p>
        </w:tc>
        <w:tc>
          <w:tcPr>
            <w:tcW w:w="2140" w:type="dxa"/>
            <w:vAlign w:val="bottom"/>
            <w:gridSpan w:val="6"/>
          </w:tcPr>
          <w:p>
            <w:pPr>
              <w:ind w:left="80"/>
              <w:spacing w:after="0" w:line="210" w:lineRule="exact"/>
              <w:rPr>
                <w:sz w:val="20"/>
                <w:szCs w:val="20"/>
                <w:color w:val="auto"/>
              </w:rPr>
            </w:pPr>
            <w:r>
              <w:rPr>
                <w:rFonts w:ascii="Arial" w:cs="Arial" w:eastAsia="Arial" w:hAnsi="Arial"/>
                <w:sz w:val="13"/>
                <w:szCs w:val="13"/>
                <w:b w:val="1"/>
                <w:bCs w:val="1"/>
                <w:color w:val="002453"/>
              </w:rPr>
              <w:t xml:space="preserve">Number   </w:t>
            </w: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Percentage </w:t>
            </w:r>
            <w:r>
              <w:rPr>
                <w:rFonts w:ascii="Arial" w:cs="Arial" w:eastAsia="Arial" w:hAnsi="Arial"/>
                <w:sz w:val="24"/>
                <w:szCs w:val="24"/>
                <w:b w:val="1"/>
                <w:bCs w:val="1"/>
                <w:color w:val="002453"/>
                <w:vertAlign w:val="subscript"/>
              </w:rPr>
              <w:t>​ ​</w:t>
            </w:r>
          </w:p>
        </w:tc>
        <w:tc>
          <w:tcPr>
            <w:tcW w:w="1000" w:type="dxa"/>
            <w:vAlign w:val="bottom"/>
          </w:tcPr>
          <w:p>
            <w:pPr>
              <w:jc w:val="right"/>
              <w:spacing w:after="0" w:line="210" w:lineRule="exact"/>
              <w:rPr>
                <w:sz w:val="20"/>
                <w:szCs w:val="20"/>
                <w:color w:val="auto"/>
              </w:rPr>
            </w:pPr>
            <w:r>
              <w:rPr>
                <w:rFonts w:ascii="Arial" w:cs="Arial" w:eastAsia="Arial" w:hAnsi="Arial"/>
                <w:sz w:val="13"/>
                <w:szCs w:val="13"/>
                <w:b w:val="1"/>
                <w:bCs w:val="1"/>
                <w:color w:val="002453"/>
              </w:rPr>
              <w:t xml:space="preserve">Number   </w:t>
            </w:r>
            <w:r>
              <w:rPr>
                <w:rFonts w:ascii="Arial" w:cs="Arial" w:eastAsia="Arial" w:hAnsi="Arial"/>
                <w:sz w:val="24"/>
                <w:szCs w:val="24"/>
                <w:b w:val="1"/>
                <w:bCs w:val="1"/>
                <w:color w:val="002453"/>
                <w:vertAlign w:val="subscript"/>
              </w:rPr>
              <w:t>​​</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002453"/>
              </w:rPr>
              <w:t>Percentage</w:t>
            </w:r>
          </w:p>
        </w:tc>
        <w:tc>
          <w:tcPr>
            <w:tcW w:w="920" w:type="dxa"/>
            <w:vAlign w:val="bottom"/>
            <w:gridSpan w:val="4"/>
          </w:tcPr>
          <w:p>
            <w:pPr>
              <w:jc w:val="right"/>
              <w:spacing w:after="0" w:line="210" w:lineRule="exact"/>
              <w:rPr>
                <w:sz w:val="20"/>
                <w:szCs w:val="20"/>
                <w:color w:val="auto"/>
              </w:rPr>
            </w:pPr>
            <w:r>
              <w:rPr>
                <w:rFonts w:ascii="Arial" w:cs="Arial" w:eastAsia="Arial" w:hAnsi="Arial"/>
                <w:sz w:val="24"/>
                <w:szCs w:val="24"/>
                <w:b w:val="1"/>
                <w:bCs w:val="1"/>
                <w:color w:val="002453"/>
                <w:vertAlign w:val="subscript"/>
              </w:rPr>
              <w:t>​</w:t>
            </w:r>
            <w:r>
              <w:rPr>
                <w:rFonts w:ascii="Arial" w:cs="Arial" w:eastAsia="Arial" w:hAnsi="Arial"/>
                <w:sz w:val="13"/>
                <w:szCs w:val="13"/>
                <w:b w:val="1"/>
                <w:bCs w:val="1"/>
                <w:color w:val="002453"/>
              </w:rPr>
              <w:t>Percentage</w:t>
            </w:r>
            <w:r>
              <w:rPr>
                <w:rFonts w:ascii="Arial" w:cs="Arial" w:eastAsia="Arial" w:hAnsi="Arial"/>
                <w:sz w:val="24"/>
                <w:szCs w:val="24"/>
                <w:b w:val="1"/>
                <w:bCs w:val="1"/>
                <w:color w:val="002453"/>
                <w:vertAlign w:val="subscript"/>
              </w:rPr>
              <w:t>​</w:t>
            </w:r>
          </w:p>
        </w:tc>
      </w:tr>
      <w:tr>
        <w:trPr>
          <w:trHeight w:val="210"/>
        </w:trPr>
        <w:tc>
          <w:tcPr>
            <w:tcW w:w="414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top w:val="single" w:sz="8" w:color="00C08A"/>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4940" w:type="dxa"/>
            <w:vAlign w:val="bottom"/>
            <w:tcBorders>
              <w:top w:val="single" w:sz="8" w:color="00C08A"/>
              <w:bottom w:val="single" w:sz="8" w:color="00C08A"/>
            </w:tcBorders>
            <w:gridSpan w:val="12"/>
          </w:tcPr>
          <w:p>
            <w:pPr>
              <w:jc w:val="right"/>
              <w:ind w:right="110"/>
              <w:spacing w:after="0"/>
              <w:rPr>
                <w:sz w:val="20"/>
                <w:szCs w:val="20"/>
                <w:color w:val="auto"/>
              </w:rPr>
            </w:pPr>
            <w:r>
              <w:rPr>
                <w:rFonts w:ascii="Arial" w:cs="Arial" w:eastAsia="Arial" w:hAnsi="Arial"/>
                <w:sz w:val="14"/>
                <w:szCs w:val="14"/>
                <w:b w:val="1"/>
                <w:bCs w:val="1"/>
                <w:color w:val="002453"/>
              </w:rPr>
              <w:t>As of April 14, 2023 (unless otherwise stated in the footnotes below)</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r>
      <w:tr>
        <w:trPr>
          <w:trHeight w:val="236"/>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0C08A"/>
            </w:tcBorders>
            <w:gridSpan w:val="3"/>
            <w:shd w:val="clear" w:color="auto" w:fill="CCEEFF"/>
          </w:tcPr>
          <w:p>
            <w:pPr>
              <w:jc w:val="center"/>
              <w:ind w:right="40"/>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5% Equity holders</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00C08A"/>
            </w:tcBorders>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08A"/>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0C08A"/>
            </w:tcBorders>
            <w:gridSpan w:val="3"/>
          </w:tcPr>
          <w:p>
            <w:pPr>
              <w:jc w:val="center"/>
              <w:ind w:right="40"/>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00C08A"/>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0C08A"/>
            </w:tcBorders>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TJMT Holdings LLC(3)</w:t>
            </w:r>
          </w:p>
        </w:tc>
        <w:tc>
          <w:tcPr>
            <w:tcW w:w="1240" w:type="dxa"/>
            <w:vAlign w:val="bottom"/>
            <w:tcBorders>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​68,244,453​​ ​</w:t>
            </w:r>
          </w:p>
        </w:tc>
        <w:tc>
          <w:tcPr>
            <w:tcW w:w="640" w:type="dxa"/>
            <w:vAlign w:val="bottom"/>
            <w:tcBorders>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41.0%</w:t>
            </w:r>
          </w:p>
        </w:tc>
        <w:tc>
          <w:tcPr>
            <w:tcW w:w="1360" w:type="dxa"/>
            <w:vAlign w:val="bottom"/>
            <w:tcBorders>
              <w:bottom w:val="single" w:sz="8" w:color="00C08A"/>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bottom w:val="single" w:sz="8" w:color="00C08A"/>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85.8%</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Virtu Employee Holdco LLC(4)</w:t>
            </w:r>
          </w:p>
        </w:tc>
        <w:tc>
          <w:tcPr>
            <w:tcW w:w="124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 4,142,980​​ ​</w:t>
            </w:r>
          </w:p>
        </w:tc>
        <w:tc>
          <w:tcPr>
            <w:tcW w:w="640" w:type="dxa"/>
            <w:vAlign w:val="bottom"/>
            <w:tcBorders>
              <w:bottom w:val="single" w:sz="8" w:color="00C08A"/>
            </w:tcBorders>
            <w:gridSpan w:val="2"/>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2.5%</w:t>
            </w:r>
          </w:p>
        </w:tc>
        <w:tc>
          <w:tcPr>
            <w:tcW w:w="360" w:type="dxa"/>
            <w:vAlign w:val="bottom"/>
            <w:tcBorders>
              <w:bottom w:val="single" w:sz="8" w:color="00C08A"/>
            </w:tcBorders>
            <w:gridSpan w:val="3"/>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The Vanguard Group(5)</w:t>
            </w:r>
          </w:p>
        </w:tc>
        <w:tc>
          <w:tcPr>
            <w:tcW w:w="1240" w:type="dxa"/>
            <w:vAlign w:val="bottom"/>
            <w:tcBorders>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 9,465,023​​ ​</w:t>
            </w:r>
          </w:p>
        </w:tc>
        <w:tc>
          <w:tcPr>
            <w:tcW w:w="640" w:type="dxa"/>
            <w:vAlign w:val="bottom"/>
            <w:tcBorders>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5.7%</w:t>
            </w:r>
          </w:p>
        </w:tc>
        <w:tc>
          <w:tcPr>
            <w:tcW w:w="360" w:type="dxa"/>
            <w:vAlign w:val="bottom"/>
            <w:tcBorders>
              <w:bottom w:val="single" w:sz="8" w:color="00C08A"/>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1.3%</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William Blair Investment Management, LLC(6)</w:t>
            </w:r>
          </w:p>
        </w:tc>
        <w:tc>
          <w:tcPr>
            <w:tcW w:w="1240" w:type="dxa"/>
            <w:vAlign w:val="bottom"/>
            <w:gridSpan w:val="2"/>
          </w:tcPr>
          <w:p>
            <w:pPr>
              <w:spacing w:after="0"/>
              <w:rPr>
                <w:sz w:val="20"/>
                <w:szCs w:val="20"/>
                <w:color w:val="auto"/>
              </w:rPr>
            </w:pPr>
            <w:r>
              <w:rPr>
                <w:rFonts w:ascii="Arial" w:cs="Arial" w:eastAsia="Arial" w:hAnsi="Arial"/>
                <w:sz w:val="18"/>
                <w:szCs w:val="18"/>
                <w:color w:val="auto"/>
              </w:rPr>
              <w:t>​ 8,203,044​​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4.9%</w:t>
            </w:r>
          </w:p>
        </w:tc>
        <w:tc>
          <w:tcPr>
            <w:tcW w:w="360" w:type="dxa"/>
            <w:vAlign w:val="bottom"/>
            <w:gridSpan w:val="3"/>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1.2%</w:t>
            </w:r>
            <w:r>
              <w:rPr>
                <w:rFonts w:ascii="Arial" w:cs="Arial" w:eastAsia="Arial" w:hAnsi="Arial"/>
                <w:sz w:val="18"/>
                <w:szCs w:val="18"/>
                <w:b w:val="1"/>
                <w:bCs w:val="1"/>
                <w:color w:val="auto"/>
              </w:rPr>
              <w:t xml:space="preserve"> ​</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00C08A"/>
              <w:bottom w:val="single" w:sz="8" w:color="00C08A"/>
            </w:tcBorders>
            <w:gridSpan w:val="3"/>
            <w:shd w:val="clear" w:color="auto" w:fill="CCEEFF"/>
          </w:tcPr>
          <w:p>
            <w:pPr>
              <w:jc w:val="center"/>
              <w:ind w:right="40"/>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Vincent Viola(3)</w:t>
            </w:r>
          </w:p>
        </w:tc>
        <w:tc>
          <w:tcPr>
            <w:tcW w:w="1240" w:type="dxa"/>
            <w:vAlign w:val="bottom"/>
            <w:gridSpan w:val="2"/>
          </w:tcPr>
          <w:p>
            <w:pPr>
              <w:spacing w:after="0"/>
              <w:rPr>
                <w:sz w:val="20"/>
                <w:szCs w:val="20"/>
                <w:color w:val="auto"/>
              </w:rPr>
            </w:pPr>
            <w:r>
              <w:rPr>
                <w:rFonts w:ascii="Arial" w:cs="Arial" w:eastAsia="Arial" w:hAnsi="Arial"/>
                <w:sz w:val="18"/>
                <w:szCs w:val="18"/>
                <w:color w:val="auto"/>
              </w:rPr>
              <w:t>​68,244,453​​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41.0%</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85.8%</w:t>
            </w:r>
            <w:r>
              <w:rPr>
                <w:rFonts w:ascii="Arial" w:cs="Arial" w:eastAsia="Arial" w:hAnsi="Arial"/>
                <w:sz w:val="18"/>
                <w:szCs w:val="18"/>
                <w:b w:val="1"/>
                <w:bCs w:val="1"/>
                <w:color w:val="auto"/>
              </w:rPr>
              <w:t xml:space="preserve"> ​</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Douglas A. Cifu(7)</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 4,771,495​​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2.9%</w:t>
            </w:r>
          </w:p>
        </w:tc>
        <w:tc>
          <w:tcPr>
            <w:tcW w:w="360" w:type="dxa"/>
            <w:vAlign w:val="bottom"/>
            <w:tcBorders>
              <w:top w:val="single" w:sz="8" w:color="00C08A"/>
              <w:bottom w:val="single" w:sz="8" w:color="00C08A"/>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Stephen Cavoli</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tcPr>
          <w:p>
            <w:pPr>
              <w:jc w:val="right"/>
              <w:ind w:right="34"/>
              <w:spacing w:after="0"/>
              <w:rPr>
                <w:sz w:val="20"/>
                <w:szCs w:val="20"/>
                <w:color w:val="auto"/>
              </w:rPr>
            </w:pPr>
            <w:r>
              <w:rPr>
                <w:rFonts w:ascii="Arial" w:cs="Arial" w:eastAsia="Arial" w:hAnsi="Arial"/>
                <w:sz w:val="18"/>
                <w:szCs w:val="18"/>
                <w:color w:val="auto"/>
              </w:rPr>
              <w:t>123,272​​ ​</w:t>
            </w:r>
          </w:p>
        </w:tc>
        <w:tc>
          <w:tcPr>
            <w:tcW w:w="340" w:type="dxa"/>
            <w:vAlign w:val="bottom"/>
            <w:tcBorders>
              <w:bottom w:val="single" w:sz="8" w:color="00C08A"/>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Sean P. Galvin</w:t>
            </w:r>
          </w:p>
        </w:tc>
        <w:tc>
          <w:tcPr>
            <w:tcW w:w="1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27,124​​ ​</w:t>
            </w:r>
          </w:p>
        </w:tc>
        <w:tc>
          <w:tcPr>
            <w:tcW w:w="34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Brett Fairclough(8)</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tcPr>
          <w:p>
            <w:pPr>
              <w:jc w:val="right"/>
              <w:ind w:right="34"/>
              <w:spacing w:after="0"/>
              <w:rPr>
                <w:sz w:val="20"/>
                <w:szCs w:val="20"/>
                <w:color w:val="auto"/>
              </w:rPr>
            </w:pPr>
            <w:r>
              <w:rPr>
                <w:rFonts w:ascii="Arial" w:cs="Arial" w:eastAsia="Arial" w:hAnsi="Arial"/>
                <w:sz w:val="18"/>
                <w:szCs w:val="18"/>
                <w:color w:val="auto"/>
              </w:rPr>
              <w:t>97,935​​ ​</w:t>
            </w:r>
          </w:p>
        </w:tc>
        <w:tc>
          <w:tcPr>
            <w:tcW w:w="340" w:type="dxa"/>
            <w:vAlign w:val="bottom"/>
            <w:tcBorders>
              <w:bottom w:val="single" w:sz="8" w:color="00C08A"/>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Joseph Molluso (9)</w:t>
            </w:r>
          </w:p>
        </w:tc>
        <w:tc>
          <w:tcPr>
            <w:tcW w:w="1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390,729​​ ​</w:t>
            </w:r>
          </w:p>
        </w:tc>
        <w:tc>
          <w:tcPr>
            <w:tcW w:w="34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William F. Cruger, Jr.(8)</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tcPr>
          <w:p>
            <w:pPr>
              <w:jc w:val="right"/>
              <w:ind w:right="34"/>
              <w:spacing w:after="0"/>
              <w:rPr>
                <w:sz w:val="20"/>
                <w:szCs w:val="20"/>
                <w:color w:val="auto"/>
              </w:rPr>
            </w:pPr>
            <w:r>
              <w:rPr>
                <w:rFonts w:ascii="Arial" w:cs="Arial" w:eastAsia="Arial" w:hAnsi="Arial"/>
                <w:sz w:val="18"/>
                <w:szCs w:val="18"/>
                <w:color w:val="auto"/>
              </w:rPr>
              <w:t>48,966​​ ​</w:t>
            </w:r>
          </w:p>
        </w:tc>
        <w:tc>
          <w:tcPr>
            <w:tcW w:w="340" w:type="dxa"/>
            <w:vAlign w:val="bottom"/>
            <w:tcBorders>
              <w:bottom w:val="single" w:sz="8" w:color="00C08A"/>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Virginia Gambale</w:t>
            </w:r>
          </w:p>
        </w:tc>
        <w:tc>
          <w:tcPr>
            <w:tcW w:w="1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14,397​​ ​</w:t>
            </w:r>
          </w:p>
        </w:tc>
        <w:tc>
          <w:tcPr>
            <w:tcW w:w="34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Joseph J. Grano, Jr.</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tcPr>
          <w:p>
            <w:pPr>
              <w:jc w:val="right"/>
              <w:ind w:right="34"/>
              <w:spacing w:after="0"/>
              <w:rPr>
                <w:sz w:val="20"/>
                <w:szCs w:val="20"/>
                <w:color w:val="auto"/>
              </w:rPr>
            </w:pPr>
            <w:r>
              <w:rPr>
                <w:rFonts w:ascii="Arial" w:cs="Arial" w:eastAsia="Arial" w:hAnsi="Arial"/>
                <w:sz w:val="18"/>
                <w:szCs w:val="18"/>
                <w:color w:val="auto"/>
              </w:rPr>
              <w:t>17,016​​ ​</w:t>
            </w:r>
          </w:p>
        </w:tc>
        <w:tc>
          <w:tcPr>
            <w:tcW w:w="340" w:type="dxa"/>
            <w:vAlign w:val="bottom"/>
            <w:tcBorders>
              <w:bottom w:val="single" w:sz="8" w:color="00C08A"/>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Joanne M. Minieri</w:t>
            </w:r>
          </w:p>
        </w:tc>
        <w:tc>
          <w:tcPr>
            <w:tcW w:w="1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16,187​​ ​</w:t>
            </w:r>
          </w:p>
        </w:tc>
        <w:tc>
          <w:tcPr>
            <w:tcW w:w="34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John D. Nixon</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tcPr>
          <w:p>
            <w:pPr>
              <w:jc w:val="right"/>
              <w:ind w:right="34"/>
              <w:spacing w:after="0"/>
              <w:rPr>
                <w:sz w:val="20"/>
                <w:szCs w:val="20"/>
                <w:color w:val="auto"/>
              </w:rPr>
            </w:pPr>
            <w:r>
              <w:rPr>
                <w:rFonts w:ascii="Arial" w:cs="Arial" w:eastAsia="Arial" w:hAnsi="Arial"/>
                <w:sz w:val="18"/>
                <w:szCs w:val="18"/>
                <w:color w:val="auto"/>
              </w:rPr>
              <w:t>35,583​​ ​</w:t>
            </w:r>
          </w:p>
        </w:tc>
        <w:tc>
          <w:tcPr>
            <w:tcW w:w="340" w:type="dxa"/>
            <w:vAlign w:val="bottom"/>
            <w:tcBorders>
              <w:bottom w:val="single" w:sz="8" w:color="00C08A"/>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Christopher C. Quick</w:t>
            </w:r>
          </w:p>
        </w:tc>
        <w:tc>
          <w:tcPr>
            <w:tcW w:w="1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35,998​​ ​</w:t>
            </w:r>
          </w:p>
        </w:tc>
        <w:tc>
          <w:tcPr>
            <w:tcW w:w="34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David J. Urban</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08A"/>
            </w:tcBorders>
          </w:tcPr>
          <w:p>
            <w:pPr>
              <w:jc w:val="right"/>
              <w:ind w:right="34"/>
              <w:spacing w:after="0"/>
              <w:rPr>
                <w:sz w:val="20"/>
                <w:szCs w:val="20"/>
                <w:color w:val="auto"/>
              </w:rPr>
            </w:pPr>
            <w:r>
              <w:rPr>
                <w:rFonts w:ascii="Arial" w:cs="Arial" w:eastAsia="Arial" w:hAnsi="Arial"/>
                <w:sz w:val="18"/>
                <w:szCs w:val="18"/>
                <w:color w:val="auto"/>
              </w:rPr>
              <w:t>19,841​​ ​</w:t>
            </w:r>
          </w:p>
        </w:tc>
        <w:tc>
          <w:tcPr>
            <w:tcW w:w="340" w:type="dxa"/>
            <w:vAlign w:val="bottom"/>
            <w:tcBorders>
              <w:bottom w:val="single" w:sz="8" w:color="00C08A"/>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08A"/>
            </w:tcBorders>
            <w:gridSpan w:val="3"/>
          </w:tcPr>
          <w:p>
            <w:pPr>
              <w:jc w:val="center"/>
              <w:ind w:righ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08A"/>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08A"/>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Michael T. Viola(3)</w:t>
            </w:r>
          </w:p>
        </w:tc>
        <w:tc>
          <w:tcPr>
            <w:tcW w:w="1240" w:type="dxa"/>
            <w:vAlign w:val="bottom"/>
            <w:tcBorders>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​68,244,453​​ ​</w:t>
            </w:r>
          </w:p>
        </w:tc>
        <w:tc>
          <w:tcPr>
            <w:tcW w:w="640" w:type="dxa"/>
            <w:vAlign w:val="bottom"/>
            <w:tcBorders>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41.0%</w:t>
            </w:r>
          </w:p>
        </w:tc>
        <w:tc>
          <w:tcPr>
            <w:tcW w:w="1360" w:type="dxa"/>
            <w:vAlign w:val="bottom"/>
            <w:tcBorders>
              <w:bottom w:val="single" w:sz="8" w:color="00C08A"/>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bottom w:val="single" w:sz="8" w:color="00C08A"/>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86.0%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0"/>
        </w:trPr>
        <w:tc>
          <w:tcPr>
            <w:tcW w:w="4140" w:type="dxa"/>
            <w:vAlign w:val="bottom"/>
          </w:tcPr>
          <w:p>
            <w:pPr>
              <w:spacing w:after="0" w:line="201"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(15 persons)</w:t>
            </w:r>
          </w:p>
        </w:tc>
        <w:tc>
          <w:tcPr>
            <w:tcW w:w="1240" w:type="dxa"/>
            <w:vAlign w:val="bottom"/>
            <w:gridSpan w:val="2"/>
          </w:tcPr>
          <w:p>
            <w:pPr>
              <w:spacing w:after="0"/>
              <w:rPr>
                <w:sz w:val="20"/>
                <w:szCs w:val="20"/>
                <w:color w:val="auto"/>
              </w:rPr>
            </w:pPr>
            <w:r>
              <w:rPr>
                <w:rFonts w:ascii="Arial" w:cs="Arial" w:eastAsia="Arial" w:hAnsi="Arial"/>
                <w:sz w:val="18"/>
                <w:szCs w:val="18"/>
                <w:color w:val="auto"/>
              </w:rPr>
              <w:t>​74,424,356​​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44.8%</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86.9%</w:t>
            </w:r>
            <w:r>
              <w:rPr>
                <w:rFonts w:ascii="Arial" w:cs="Arial" w:eastAsia="Arial" w:hAnsi="Arial"/>
                <w:sz w:val="18"/>
                <w:szCs w:val="18"/>
                <w:b w:val="1"/>
                <w:bCs w:val="1"/>
                <w:color w:val="auto"/>
              </w:rPr>
              <w:t xml:space="preserve"> ​</w:t>
            </w:r>
          </w:p>
        </w:tc>
      </w:tr>
      <w:tr>
        <w:trPr>
          <w:trHeight w:val="20"/>
        </w:trPr>
        <w:tc>
          <w:tcPr>
            <w:tcW w:w="414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140" w:type="dxa"/>
            <w:vAlign w:val="bottom"/>
            <w:shd w:val="clear" w:color="auto" w:fill="00C08A"/>
          </w:tcPr>
          <w:p>
            <w:pPr>
              <w:spacing w:after="0" w:line="20" w:lineRule="exact"/>
              <w:rPr>
                <w:sz w:val="1"/>
                <w:szCs w:val="1"/>
                <w:color w:val="auto"/>
              </w:rPr>
            </w:pPr>
          </w:p>
        </w:tc>
        <w:tc>
          <w:tcPr>
            <w:tcW w:w="340" w:type="dxa"/>
            <w:vAlign w:val="bottom"/>
            <w:shd w:val="clear" w:color="auto" w:fill="00C08A"/>
          </w:tcPr>
          <w:p>
            <w:pPr>
              <w:spacing w:after="0" w:line="20" w:lineRule="exact"/>
              <w:rPr>
                <w:sz w:val="1"/>
                <w:szCs w:val="1"/>
                <w:color w:val="auto"/>
              </w:rPr>
            </w:pPr>
          </w:p>
        </w:tc>
        <w:tc>
          <w:tcPr>
            <w:tcW w:w="30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220" w:type="dxa"/>
            <w:vAlign w:val="bottom"/>
            <w:shd w:val="clear" w:color="auto" w:fill="00C08A"/>
          </w:tcPr>
          <w:p>
            <w:pPr>
              <w:spacing w:after="0" w:line="20" w:lineRule="exact"/>
              <w:rPr>
                <w:sz w:val="1"/>
                <w:szCs w:val="1"/>
                <w:color w:val="auto"/>
              </w:rPr>
            </w:pPr>
          </w:p>
        </w:tc>
        <w:tc>
          <w:tcPr>
            <w:tcW w:w="120" w:type="dxa"/>
            <w:vAlign w:val="bottom"/>
            <w:shd w:val="clear" w:color="auto" w:fill="00C08A"/>
          </w:tcPr>
          <w:p>
            <w:pPr>
              <w:spacing w:after="0" w:line="20" w:lineRule="exact"/>
              <w:rPr>
                <w:sz w:val="1"/>
                <w:szCs w:val="1"/>
                <w:color w:val="auto"/>
              </w:rPr>
            </w:pPr>
          </w:p>
        </w:tc>
        <w:tc>
          <w:tcPr>
            <w:tcW w:w="1000" w:type="dxa"/>
            <w:vAlign w:val="bottom"/>
            <w:shd w:val="clear" w:color="auto" w:fill="00C08A"/>
          </w:tcPr>
          <w:p>
            <w:pPr>
              <w:spacing w:after="0" w:line="20" w:lineRule="exact"/>
              <w:rPr>
                <w:sz w:val="1"/>
                <w:szCs w:val="1"/>
                <w:color w:val="auto"/>
              </w:rPr>
            </w:pPr>
          </w:p>
        </w:tc>
        <w:tc>
          <w:tcPr>
            <w:tcW w:w="400" w:type="dxa"/>
            <w:vAlign w:val="bottom"/>
            <w:shd w:val="clear" w:color="auto" w:fill="00C08A"/>
          </w:tcPr>
          <w:p>
            <w:pPr>
              <w:spacing w:after="0" w:line="20" w:lineRule="exact"/>
              <w:rPr>
                <w:sz w:val="1"/>
                <w:szCs w:val="1"/>
                <w:color w:val="auto"/>
              </w:rPr>
            </w:pPr>
          </w:p>
        </w:tc>
        <w:tc>
          <w:tcPr>
            <w:tcW w:w="540" w:type="dxa"/>
            <w:vAlign w:val="bottom"/>
            <w:shd w:val="clear" w:color="auto" w:fill="00C08A"/>
          </w:tcPr>
          <w:p>
            <w:pPr>
              <w:spacing w:after="0" w:line="20" w:lineRule="exact"/>
              <w:rPr>
                <w:sz w:val="1"/>
                <w:szCs w:val="1"/>
                <w:color w:val="auto"/>
              </w:rPr>
            </w:pPr>
          </w:p>
        </w:tc>
        <w:tc>
          <w:tcPr>
            <w:tcW w:w="180" w:type="dxa"/>
            <w:vAlign w:val="bottom"/>
            <w:shd w:val="clear" w:color="auto" w:fill="00C08A"/>
          </w:tcPr>
          <w:p>
            <w:pPr>
              <w:spacing w:after="0" w:line="20" w:lineRule="exact"/>
              <w:rPr>
                <w:sz w:val="1"/>
                <w:szCs w:val="1"/>
                <w:color w:val="auto"/>
              </w:rPr>
            </w:pPr>
          </w:p>
        </w:tc>
        <w:tc>
          <w:tcPr>
            <w:tcW w:w="280" w:type="dxa"/>
            <w:vAlign w:val="bottom"/>
            <w:shd w:val="clear" w:color="auto" w:fill="00C08A"/>
          </w:tcPr>
          <w:p>
            <w:pPr>
              <w:spacing w:after="0" w:line="20" w:lineRule="exact"/>
              <w:rPr>
                <w:sz w:val="1"/>
                <w:szCs w:val="1"/>
                <w:color w:val="auto"/>
              </w:rPr>
            </w:pPr>
          </w:p>
        </w:tc>
        <w:tc>
          <w:tcPr>
            <w:tcW w:w="4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9" w:lineRule="exact"/>
        <w:rPr>
          <w:sz w:val="20"/>
          <w:szCs w:val="20"/>
          <w:color w:val="auto"/>
        </w:rPr>
      </w:pPr>
    </w:p>
    <w:p>
      <w:pPr>
        <w:ind w:left="1080" w:hanging="318"/>
        <w:spacing w:after="0"/>
        <w:tabs>
          <w:tab w:leader="none" w:pos="10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36" w:lineRule="exact"/>
        <w:rPr>
          <w:sz w:val="20"/>
          <w:szCs w:val="20"/>
          <w:color w:val="auto"/>
        </w:rPr>
      </w:pPr>
    </w:p>
    <w:p>
      <w:pPr>
        <w:ind w:left="1080" w:right="440" w:hanging="318"/>
        <w:spacing w:after="0" w:line="270" w:lineRule="auto"/>
        <w:tabs>
          <w:tab w:leader="none" w:pos="10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(i) 60,091,740 shares of Class A common stock issuable to the Founder Member at any time upon (a) the exchange of the 60,091,740 Virtu Financial Units and an equal number of shares of Class D common stock held by the Founder Member for shares of Class B common stock; and (b) the conversion of such shares of Class B common stock into shares of Class A common stock.</w:t>
      </w:r>
    </w:p>
    <w:p>
      <w:pPr>
        <w:spacing w:after="0" w:line="91" w:lineRule="exact"/>
        <w:rPr>
          <w:rFonts w:ascii="Arial" w:cs="Arial" w:eastAsia="Arial" w:hAnsi="Arial"/>
          <w:sz w:val="14"/>
          <w:szCs w:val="14"/>
          <w:color w:val="auto"/>
        </w:rPr>
      </w:pPr>
    </w:p>
    <w:p>
      <w:pPr>
        <w:ind w:left="1080" w:hanging="318"/>
        <w:spacing w:after="0"/>
        <w:tabs>
          <w:tab w:leader="none" w:pos="10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w:t>
      </w:r>
    </w:p>
    <w:p>
      <w:pPr>
        <w:spacing w:after="0" w:line="28" w:lineRule="exact"/>
        <w:rPr>
          <w:rFonts w:ascii="Arial" w:cs="Arial" w:eastAsia="Arial" w:hAnsi="Arial"/>
          <w:sz w:val="14"/>
          <w:szCs w:val="14"/>
          <w:color w:val="auto"/>
        </w:rPr>
      </w:pPr>
    </w:p>
    <w:p>
      <w:pPr>
        <w:ind w:left="1080" w:right="120"/>
        <w:spacing w:after="0" w:line="268" w:lineRule="auto"/>
        <w:rPr>
          <w:rFonts w:ascii="Arial" w:cs="Arial" w:eastAsia="Arial" w:hAnsi="Arial"/>
          <w:sz w:val="14"/>
          <w:szCs w:val="14"/>
          <w:color w:val="auto"/>
        </w:rPr>
      </w:pPr>
      <w:r>
        <w:rPr>
          <w:rFonts w:ascii="Arial" w:cs="Arial" w:eastAsia="Arial" w:hAnsi="Arial"/>
          <w:sz w:val="14"/>
          <w:szCs w:val="14"/>
          <w:color w:val="auto"/>
        </w:rPr>
        <w:t>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w:t>
      </w:r>
    </w:p>
    <w:p>
      <w:pPr>
        <w:ind w:left="1080" w:right="120"/>
        <w:spacing w:after="0" w:line="278" w:lineRule="auto"/>
        <w:rPr>
          <w:rFonts w:ascii="Arial" w:cs="Arial" w:eastAsia="Arial" w:hAnsi="Arial"/>
          <w:sz w:val="14"/>
          <w:szCs w:val="14"/>
          <w:color w:val="auto"/>
        </w:rPr>
      </w:pPr>
      <w:r>
        <w:rPr>
          <w:rFonts w:ascii="Arial" w:cs="Arial" w:eastAsia="Arial" w:hAnsi="Arial"/>
          <w:sz w:val="14"/>
          <w:szCs w:val="14"/>
          <w:color w:val="auto"/>
        </w:rPr>
        <w:t>have any of the economic rights (including rights to dividends and distributions upon liquidation) associated with our Class A common stock and Class B common stock.</w:t>
      </w:r>
    </w:p>
    <w:p>
      <w:pPr>
        <w:spacing w:after="0" w:line="86" w:lineRule="exact"/>
        <w:rPr>
          <w:rFonts w:ascii="Arial" w:cs="Arial" w:eastAsia="Arial" w:hAnsi="Arial"/>
          <w:sz w:val="14"/>
          <w:szCs w:val="14"/>
          <w:color w:val="auto"/>
        </w:rPr>
      </w:pPr>
    </w:p>
    <w:p>
      <w:pPr>
        <w:ind w:left="1080" w:hanging="318"/>
        <w:spacing w:after="0"/>
        <w:tabs>
          <w:tab w:leader="none" w:pos="10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Founder Member is owned by trusts for the benefit of family members of Vincent Viola and Teresa Viola, Vincent Viola’s wife.</w:t>
      </w:r>
    </w:p>
    <w:p>
      <w:pPr>
        <w:spacing w:after="0" w:line="28" w:lineRule="exact"/>
        <w:rPr>
          <w:rFonts w:ascii="Arial" w:cs="Arial" w:eastAsia="Arial" w:hAnsi="Arial"/>
          <w:sz w:val="14"/>
          <w:szCs w:val="14"/>
          <w:color w:val="auto"/>
        </w:rPr>
      </w:pPr>
    </w:p>
    <w:p>
      <w:pPr>
        <w:ind w:left="1080" w:right="180"/>
        <w:spacing w:after="0" w:line="268" w:lineRule="auto"/>
        <w:rPr>
          <w:rFonts w:ascii="Arial" w:cs="Arial" w:eastAsia="Arial" w:hAnsi="Arial"/>
          <w:sz w:val="14"/>
          <w:szCs w:val="14"/>
          <w:color w:val="auto"/>
        </w:rPr>
      </w:pPr>
      <w:r>
        <w:rPr>
          <w:rFonts w:ascii="Arial" w:cs="Arial" w:eastAsia="Arial" w:hAnsi="Arial"/>
          <w:sz w:val="14"/>
          <w:szCs w:val="14"/>
          <w:color w:val="auto"/>
        </w:rPr>
        <w:t>Teresa Viola and Michael T. Viola, Vincent Viola’s son and one of our directors, share dispositive control and voting control over the shares held by the Founder Member. As a result of these relationships, Teresa Viola, Michael T. Viola and Vincent Viola may be deemed to beneficially own (i) 60,091,740 shares of Class A common stock issuable to the Founder Member upon the exchange of Virtu Financial</w:t>
      </w:r>
    </w:p>
    <w:p>
      <w:pPr>
        <w:jc w:val="both"/>
        <w:ind w:left="1080" w:right="120"/>
        <w:spacing w:after="0" w:line="268" w:lineRule="auto"/>
        <w:rPr>
          <w:rFonts w:ascii="Arial" w:cs="Arial" w:eastAsia="Arial" w:hAnsi="Arial"/>
          <w:sz w:val="14"/>
          <w:szCs w:val="14"/>
          <w:color w:val="auto"/>
        </w:rPr>
      </w:pPr>
      <w:r>
        <w:rPr>
          <w:rFonts w:ascii="Arial" w:cs="Arial" w:eastAsia="Arial" w:hAnsi="Arial"/>
          <w:sz w:val="14"/>
          <w:szCs w:val="14"/>
          <w:color w:val="auto"/>
        </w:rPr>
        <w:t>Units and an equal number of shares of Class D common stock held by the Founder Member, (ii) 216,680 shares of Class A common stock issuable to the Founder Member upon the exchange of Virtu Financial Units and an equal number of shares of Class C common stock held by the Founder Member, (iii) 3,000,000 shares of Class A common stock held directly by the Founder, (iv) 4,142,980 shares of Class A</w:t>
      </w:r>
    </w:p>
    <w:p>
      <w:pPr>
        <w:spacing w:after="0" w:line="1" w:lineRule="exact"/>
        <w:rPr>
          <w:sz w:val="20"/>
          <w:szCs w:val="20"/>
          <w:color w:val="auto"/>
        </w:rPr>
      </w:pPr>
    </w:p>
    <w:p>
      <w:pPr>
        <w:ind w:left="1080" w:right="320"/>
        <w:spacing w:after="0" w:line="261" w:lineRule="auto"/>
        <w:rPr>
          <w:sz w:val="20"/>
          <w:szCs w:val="20"/>
          <w:color w:val="auto"/>
        </w:rPr>
      </w:pPr>
      <w:r>
        <w:rPr>
          <w:rFonts w:ascii="Arial" w:cs="Arial" w:eastAsia="Arial" w:hAnsi="Arial"/>
          <w:sz w:val="14"/>
          <w:szCs w:val="14"/>
          <w:color w:val="auto"/>
        </w:rPr>
        <w:t>common stock issuable to Virtu Employee Holdco upon the exchange of Virtu Financial Units and an equal number of shares of Class C common stock held by Virtu Employee Holdco, (v) 99,303 shares of Class A common stock held directly by Michael T. Viola, and</w:t>
      </w:r>
    </w:p>
    <w:p>
      <w:pPr>
        <w:spacing w:after="0" w:line="1" w:lineRule="exact"/>
        <w:rPr>
          <w:sz w:val="20"/>
          <w:szCs w:val="20"/>
          <w:color w:val="auto"/>
        </w:rPr>
      </w:pPr>
    </w:p>
    <w:p>
      <w:pPr>
        <w:ind w:left="1080" w:right="220"/>
        <w:spacing w:after="0" w:line="298" w:lineRule="auto"/>
        <w:rPr>
          <w:sz w:val="20"/>
          <w:szCs w:val="20"/>
          <w:color w:val="auto"/>
        </w:rPr>
      </w:pPr>
      <w:r>
        <w:rPr>
          <w:rFonts w:ascii="Arial" w:cs="Arial" w:eastAsia="Arial" w:hAnsi="Arial"/>
          <w:sz w:val="14"/>
          <w:szCs w:val="14"/>
          <w:color w:val="auto"/>
        </w:rPr>
        <w:t>(vi) 693,750 shares of Class A common stock issuable to Mr. Vincent Viola upon the exercise of stock options that have vested or will vest within the next 60 days.</w:t>
      </w:r>
    </w:p>
    <w:p>
      <w:pPr>
        <w:spacing w:after="0" w:line="72" w:lineRule="exact"/>
        <w:rPr>
          <w:sz w:val="20"/>
          <w:szCs w:val="20"/>
          <w:color w:val="auto"/>
        </w:rPr>
      </w:pPr>
    </w:p>
    <w:p>
      <w:pPr>
        <w:ind w:left="1080" w:right="400" w:hanging="318"/>
        <w:spacing w:after="0" w:line="273" w:lineRule="auto"/>
        <w:tabs>
          <w:tab w:leader="none" w:pos="10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 vehicle that holds Virtu Financial Units on behalf of certain directors and key employees, and exercises dispositive control and voting control over the 4,142,980 shares of Class A common stock issuable upon the exchange of Virtu Financial Units and corresponding shares of Class C common stock held by Virtu Employee Holdco (including both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191770</wp:posOffset>
            </wp:positionV>
            <wp:extent cx="754380"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31" w:lineRule="exact"/>
        <w:rPr>
          <w:sz w:val="20"/>
          <w:szCs w:val="20"/>
          <w:color w:val="auto"/>
        </w:rPr>
      </w:pPr>
    </w:p>
    <w:p>
      <w:pPr>
        <w:ind w:left="1080" w:right="260"/>
        <w:spacing w:after="0" w:line="280" w:lineRule="auto"/>
        <w:rPr>
          <w:sz w:val="20"/>
          <w:szCs w:val="20"/>
          <w:color w:val="auto"/>
        </w:rPr>
      </w:pPr>
      <w:r>
        <w:rPr>
          <w:rFonts w:ascii="Arial" w:cs="Arial" w:eastAsia="Arial" w:hAnsi="Arial"/>
          <w:sz w:val="14"/>
          <w:szCs w:val="14"/>
          <w:color w:val="auto"/>
        </w:rPr>
        <w:t>and unvested Virtu Financial Units and corresponding shares of Class C common stock), which represents 2.5% of the shares of Class A common stock on a fully exchanged and converted basis as of April 14, 2023. Mr. Viola disclaims beneficial ownership in such shares except to the extent of his pecuniary interest therein.</w:t>
      </w:r>
    </w:p>
    <w:p>
      <w:pPr>
        <w:spacing w:after="0" w:line="67" w:lineRule="exact"/>
        <w:rPr>
          <w:sz w:val="20"/>
          <w:szCs w:val="20"/>
          <w:color w:val="auto"/>
        </w:rPr>
      </w:pPr>
    </w:p>
    <w:p>
      <w:pPr>
        <w:ind w:left="1080" w:right="80" w:hanging="318"/>
        <w:spacing w:after="0" w:line="285" w:lineRule="auto"/>
        <w:tabs>
          <w:tab w:leader="none" w:pos="10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upon statements in the Schedule 13G/A filed by The Vanguard Group (“</w:t>
      </w:r>
      <w:r>
        <w:rPr>
          <w:rFonts w:ascii="Arial" w:cs="Arial" w:eastAsia="Arial" w:hAnsi="Arial"/>
          <w:sz w:val="14"/>
          <w:szCs w:val="14"/>
          <w:b w:val="1"/>
          <w:bCs w:val="1"/>
          <w:color w:val="auto"/>
        </w:rPr>
        <w:t>Vanguard</w:t>
      </w:r>
      <w:r>
        <w:rPr>
          <w:rFonts w:ascii="Arial" w:cs="Arial" w:eastAsia="Arial" w:hAnsi="Arial"/>
          <w:sz w:val="14"/>
          <w:szCs w:val="14"/>
          <w:color w:val="auto"/>
        </w:rPr>
        <w:t>”) on February 9, 2023. Vanguard has (i) shared voting power over 31,588 shares of Class A common stock; (ii) sole dispositive power over 9,342,068 shares of Class A common stock; and</w:t>
      </w:r>
    </w:p>
    <w:p>
      <w:pPr>
        <w:jc w:val="both"/>
        <w:ind w:left="1080" w:right="160" w:firstLine="6"/>
        <w:spacing w:after="0" w:line="270" w:lineRule="auto"/>
        <w:tabs>
          <w:tab w:leader="none" w:pos="1309" w:val="left"/>
        </w:tabs>
        <w:numPr>
          <w:ilvl w:val="1"/>
          <w:numId w:val="41"/>
        </w:numPr>
        <w:rPr>
          <w:rFonts w:ascii="Arial" w:cs="Arial" w:eastAsia="Arial" w:hAnsi="Arial"/>
          <w:sz w:val="14"/>
          <w:szCs w:val="14"/>
          <w:color w:val="auto"/>
        </w:rPr>
      </w:pPr>
      <w:r>
        <w:rPr>
          <w:rFonts w:ascii="Arial" w:cs="Arial" w:eastAsia="Arial" w:hAnsi="Arial"/>
          <w:sz w:val="14"/>
          <w:szCs w:val="14"/>
          <w:color w:val="auto"/>
        </w:rPr>
        <w:t>shared dispositive power over 122,955 shares of Class A common stock. The aggregate amount of Class A common stock beneficially owned by Vanguard represents 5.6% of the shares of Class A common stock on a fully exchanged and converted basis as of April 5, 2023. The address of Vanguard is 100 Vanguard Blvd., Malvern, PA 19355.</w:t>
      </w:r>
    </w:p>
    <w:p>
      <w:pPr>
        <w:spacing w:after="0" w:line="86" w:lineRule="exact"/>
        <w:rPr>
          <w:rFonts w:ascii="Arial" w:cs="Arial" w:eastAsia="Arial" w:hAnsi="Arial"/>
          <w:sz w:val="14"/>
          <w:szCs w:val="14"/>
          <w:color w:val="auto"/>
        </w:rPr>
      </w:pPr>
    </w:p>
    <w:p>
      <w:pPr>
        <w:ind w:left="1080" w:right="200" w:hanging="318"/>
        <w:spacing w:after="0" w:line="277" w:lineRule="auto"/>
        <w:tabs>
          <w:tab w:leader="none" w:pos="10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upon statements in the Schedule 13G filed by William Blair Investment Management, LLC (“</w:t>
      </w:r>
      <w:r>
        <w:rPr>
          <w:rFonts w:ascii="Arial" w:cs="Arial" w:eastAsia="Arial" w:hAnsi="Arial"/>
          <w:sz w:val="14"/>
          <w:szCs w:val="14"/>
          <w:b w:val="1"/>
          <w:bCs w:val="1"/>
          <w:color w:val="auto"/>
        </w:rPr>
        <w:t>William Blair</w:t>
      </w:r>
      <w:r>
        <w:rPr>
          <w:rFonts w:ascii="Arial" w:cs="Arial" w:eastAsia="Arial" w:hAnsi="Arial"/>
          <w:sz w:val="14"/>
          <w:szCs w:val="14"/>
          <w:color w:val="auto"/>
        </w:rPr>
        <w:t>”) on February 9, 2023. William Blair has (i) sole voting power over 7,202,173 shares of Class A common stock; and (ii) sole dispositive power over 8,203,044 shares of Class A common stock. The aggregate amount of Class A common stock beneficially owned by William Blair represents 4.9% of</w:t>
      </w:r>
    </w:p>
    <w:p>
      <w:pPr>
        <w:ind w:left="1080" w:right="60"/>
        <w:spacing w:after="0" w:line="278" w:lineRule="auto"/>
        <w:rPr>
          <w:rFonts w:ascii="Arial" w:cs="Arial" w:eastAsia="Arial" w:hAnsi="Arial"/>
          <w:sz w:val="14"/>
          <w:szCs w:val="14"/>
          <w:color w:val="auto"/>
        </w:rPr>
      </w:pPr>
      <w:r>
        <w:rPr>
          <w:rFonts w:ascii="Arial" w:cs="Arial" w:eastAsia="Arial" w:hAnsi="Arial"/>
          <w:sz w:val="14"/>
          <w:szCs w:val="14"/>
          <w:color w:val="auto"/>
        </w:rPr>
        <w:t>the shares of Class A common stock on a fully exchanged and converted basis as of April 7, 2022. The address of William Blair is 150 North Riverside Plaza, Chicago, IL 60606.</w:t>
      </w:r>
    </w:p>
    <w:p>
      <w:pPr>
        <w:spacing w:after="0" w:line="86" w:lineRule="exact"/>
        <w:rPr>
          <w:rFonts w:ascii="Arial" w:cs="Arial" w:eastAsia="Arial" w:hAnsi="Arial"/>
          <w:sz w:val="14"/>
          <w:szCs w:val="14"/>
          <w:color w:val="auto"/>
        </w:rPr>
      </w:pPr>
    </w:p>
    <w:p>
      <w:pPr>
        <w:ind w:left="1080" w:hanging="318"/>
        <w:spacing w:after="0"/>
        <w:tabs>
          <w:tab w:leader="none" w:pos="10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Class A common stock owned by Mr. Cifu is comprised of (i) 2,830,742 shares of Class A common stock issuable upon the exchange</w:t>
      </w:r>
    </w:p>
    <w:p>
      <w:pPr>
        <w:spacing w:after="0" w:line="28" w:lineRule="exact"/>
        <w:rPr>
          <w:rFonts w:ascii="Arial" w:cs="Arial" w:eastAsia="Arial" w:hAnsi="Arial"/>
          <w:sz w:val="14"/>
          <w:szCs w:val="14"/>
          <w:color w:val="auto"/>
        </w:rPr>
      </w:pPr>
    </w:p>
    <w:p>
      <w:pPr>
        <w:ind w:left="1080" w:right="220"/>
        <w:spacing w:after="0" w:line="268" w:lineRule="auto"/>
        <w:rPr>
          <w:rFonts w:ascii="Arial" w:cs="Arial" w:eastAsia="Arial" w:hAnsi="Arial"/>
          <w:sz w:val="14"/>
          <w:szCs w:val="14"/>
          <w:color w:val="auto"/>
        </w:rPr>
      </w:pPr>
      <w:r>
        <w:rPr>
          <w:rFonts w:ascii="Arial" w:cs="Arial" w:eastAsia="Arial" w:hAnsi="Arial"/>
          <w:sz w:val="14"/>
          <w:szCs w:val="14"/>
          <w:color w:val="auto"/>
        </w:rPr>
        <w:t>of Virtu Financial Units and corresponding shares of Class C common stock held by DAC Investment LLC, owned by Mr. Cifu and Melissa B. Lautenberg, Mr. Cifu’s wife; (ii) 819,804 shares of Class A common stock issuable upon the exchange of Virtu Financial Units and corresponding shares of Class C common stock held by a trust for the benefit of the Cifu Family (the “</w:t>
      </w:r>
      <w:r>
        <w:rPr>
          <w:rFonts w:ascii="Arial" w:cs="Arial" w:eastAsia="Arial" w:hAnsi="Arial"/>
          <w:sz w:val="14"/>
          <w:szCs w:val="14"/>
          <w:b w:val="1"/>
          <w:bCs w:val="1"/>
          <w:color w:val="auto"/>
        </w:rPr>
        <w:t>2011 Cifu Family Trust</w:t>
      </w:r>
      <w:r>
        <w:rPr>
          <w:rFonts w:ascii="Arial" w:cs="Arial" w:eastAsia="Arial" w:hAnsi="Arial"/>
          <w:sz w:val="14"/>
          <w:szCs w:val="14"/>
          <w:color w:val="auto"/>
        </w:rPr>
        <w:t>”),</w:t>
      </w:r>
    </w:p>
    <w:p>
      <w:pPr>
        <w:ind w:left="1080" w:right="200" w:firstLine="6"/>
        <w:spacing w:after="0" w:line="268" w:lineRule="auto"/>
        <w:tabs>
          <w:tab w:leader="none" w:pos="1309" w:val="left"/>
        </w:tabs>
        <w:numPr>
          <w:ilvl w:val="1"/>
          <w:numId w:val="41"/>
        </w:numPr>
        <w:rPr>
          <w:rFonts w:ascii="Arial" w:cs="Arial" w:eastAsia="Arial" w:hAnsi="Arial"/>
          <w:sz w:val="14"/>
          <w:szCs w:val="14"/>
          <w:color w:val="auto"/>
        </w:rPr>
      </w:pPr>
      <w:r>
        <w:rPr>
          <w:rFonts w:ascii="Arial" w:cs="Arial" w:eastAsia="Arial" w:hAnsi="Arial"/>
          <w:sz w:val="14"/>
          <w:szCs w:val="14"/>
          <w:color w:val="auto"/>
        </w:rPr>
        <w:t>402,907 shares of Class A common stock held by Mr. Cifu directly; (iv) 392,755 shares of Class A common stock held by a trust for the benefit of the Cifu Family (the “</w:t>
      </w:r>
      <w:r>
        <w:rPr>
          <w:rFonts w:ascii="Arial" w:cs="Arial" w:eastAsia="Arial" w:hAnsi="Arial"/>
          <w:sz w:val="14"/>
          <w:szCs w:val="14"/>
          <w:b w:val="1"/>
          <w:bCs w:val="1"/>
          <w:color w:val="auto"/>
        </w:rPr>
        <w:t>2020 Cifu Family Trust</w:t>
      </w:r>
      <w:r>
        <w:rPr>
          <w:rFonts w:ascii="Arial" w:cs="Arial" w:eastAsia="Arial" w:hAnsi="Arial"/>
          <w:sz w:val="14"/>
          <w:szCs w:val="14"/>
          <w:color w:val="auto"/>
        </w:rPr>
        <w:t>”); and (v) 325,287 deferred stock units which will be settled in shares of Class A common stock upon the expiration of a specified deferral period or an earlier triggering event. Ms. Lautenberg, and Dr. Mitchel A.</w:t>
      </w:r>
    </w:p>
    <w:p>
      <w:pPr>
        <w:ind w:left="1080" w:right="240"/>
        <w:spacing w:after="0" w:line="273" w:lineRule="auto"/>
        <w:rPr>
          <w:rFonts w:ascii="Arial" w:cs="Arial" w:eastAsia="Arial" w:hAnsi="Arial"/>
          <w:sz w:val="14"/>
          <w:szCs w:val="14"/>
          <w:color w:val="auto"/>
        </w:rPr>
      </w:pPr>
      <w:r>
        <w:rPr>
          <w:rFonts w:ascii="Arial" w:cs="Arial" w:eastAsia="Arial" w:hAnsi="Arial"/>
          <w:sz w:val="14"/>
          <w:szCs w:val="14"/>
          <w:color w:val="auto"/>
        </w:rPr>
        <w:t>Lautenberg, Ms. Lautenberg’s brother, share dispositive control and voting control over the shares held by the 2011 Cifu Family Trust and Ms. Lautenberg holds sole dispositive control and voting control over the shares held by the 2020 Cifu Family Trust. Mr. Cifu may be deemed to beneficially own the shares held by the 2020 Cifu Family Trust and the 2021 Cifu Family Trust by virtue of his relationship with Ms. Lautenberg.</w:t>
      </w:r>
    </w:p>
    <w:p>
      <w:pPr>
        <w:spacing w:after="0" w:line="90" w:lineRule="exact"/>
        <w:rPr>
          <w:rFonts w:ascii="Arial" w:cs="Arial" w:eastAsia="Arial" w:hAnsi="Arial"/>
          <w:sz w:val="14"/>
          <w:szCs w:val="14"/>
          <w:color w:val="auto"/>
        </w:rPr>
      </w:pPr>
    </w:p>
    <w:p>
      <w:pPr>
        <w:ind w:left="1080" w:right="120" w:hanging="318"/>
        <w:spacing w:after="0" w:line="278" w:lineRule="auto"/>
        <w:tabs>
          <w:tab w:leader="none" w:pos="10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Virtu Financial Units and corresponding shares of Class C common stock held by Virtu Employee Holdco on behalf of such person that have vested or will vest within the next 60 days.</w:t>
      </w:r>
    </w:p>
    <w:p>
      <w:pPr>
        <w:spacing w:after="0" w:line="99" w:lineRule="exact"/>
        <w:rPr>
          <w:rFonts w:ascii="Arial" w:cs="Arial" w:eastAsia="Arial" w:hAnsi="Arial"/>
          <w:sz w:val="14"/>
          <w:szCs w:val="14"/>
          <w:color w:val="auto"/>
        </w:rPr>
      </w:pPr>
    </w:p>
    <w:p>
      <w:pPr>
        <w:ind w:left="1080" w:right="120" w:hanging="318"/>
        <w:spacing w:after="0" w:line="280" w:lineRule="auto"/>
        <w:tabs>
          <w:tab w:leader="none" w:pos="10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Class A common stock owned by Mr. Molluso is comprised of (i) 343,160 shares of Class A common stock and (ii) 47,569 deferred stock units which will be settled in shares of Class A common stock upon the expiration of a specified deferral period or an earlier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right="1080"/>
        <w:spacing w:after="0" w:line="235" w:lineRule="auto"/>
        <w:rPr>
          <w:sz w:val="20"/>
          <w:szCs w:val="20"/>
          <w:color w:val="auto"/>
        </w:rPr>
      </w:pPr>
      <w:r>
        <w:rPr>
          <w:rFonts w:ascii="Arial" w:cs="Arial" w:eastAsia="Arial" w:hAnsi="Arial"/>
          <w:sz w:val="54"/>
          <w:szCs w:val="54"/>
          <w:color w:val="002453"/>
        </w:rPr>
        <w:t>Certain Relationships and Related Party Transactions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Related Party Transactions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280"/>
        <w:spacing w:after="0" w:line="243" w:lineRule="auto"/>
        <w:rPr>
          <w:sz w:val="20"/>
          <w:szCs w:val="20"/>
          <w:color w:val="auto"/>
        </w:rPr>
      </w:pPr>
      <w:r>
        <w:rPr>
          <w:rFonts w:ascii="Arial" w:cs="Arial" w:eastAsia="Arial" w:hAnsi="Arial"/>
          <w:sz w:val="18"/>
          <w:szCs w:val="18"/>
          <w:color w:val="auto"/>
        </w:rPr>
        <w:t>Upon the consummation of our initial public offering, we adopted a written Related Person Transaction Policy (the “</w:t>
      </w:r>
      <w:r>
        <w:rPr>
          <w:rFonts w:ascii="Arial" w:cs="Arial" w:eastAsia="Arial" w:hAnsi="Arial"/>
          <w:sz w:val="18"/>
          <w:szCs w:val="18"/>
          <w:b w:val="1"/>
          <w:bCs w:val="1"/>
          <w:color w:val="auto"/>
        </w:rPr>
        <w:t>Policy</w:t>
      </w:r>
      <w:r>
        <w:rPr>
          <w:rFonts w:ascii="Arial" w:cs="Arial" w:eastAsia="Arial" w:hAnsi="Arial"/>
          <w:sz w:val="18"/>
          <w:szCs w:val="18"/>
          <w:color w:val="auto"/>
        </w:rPr>
        <w:t>”),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93" w:lineRule="exact"/>
        <w:rPr>
          <w:sz w:val="20"/>
          <w:szCs w:val="20"/>
          <w:color w:val="auto"/>
        </w:rPr>
      </w:pPr>
    </w:p>
    <w:p>
      <w:pPr>
        <w:ind w:left="760" w:right="60"/>
        <w:spacing w:after="0" w:line="241"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98" w:lineRule="exact"/>
        <w:rPr>
          <w:sz w:val="20"/>
          <w:szCs w:val="20"/>
          <w:color w:val="auto"/>
        </w:rPr>
      </w:pPr>
    </w:p>
    <w:p>
      <w:pPr>
        <w:ind w:left="760" w:right="80"/>
        <w:spacing w:after="0" w:line="243" w:lineRule="auto"/>
        <w:rPr>
          <w:sz w:val="20"/>
          <w:szCs w:val="20"/>
          <w:color w:val="auto"/>
        </w:rPr>
      </w:pPr>
      <w:r>
        <w:rPr>
          <w:rFonts w:ascii="Arial" w:cs="Arial" w:eastAsia="Arial" w:hAnsi="Arial"/>
          <w:sz w:val="18"/>
          <w:szCs w:val="18"/>
          <w:color w:val="auto"/>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p>
    <w:p>
      <w:pPr>
        <w:spacing w:after="0" w:line="92" w:lineRule="exact"/>
        <w:rPr>
          <w:sz w:val="20"/>
          <w:szCs w:val="20"/>
          <w:color w:val="auto"/>
        </w:rPr>
      </w:pPr>
    </w:p>
    <w:p>
      <w:pPr>
        <w:ind w:left="760" w:right="140"/>
        <w:spacing w:after="0" w:line="241" w:lineRule="auto"/>
        <w:rPr>
          <w:sz w:val="20"/>
          <w:szCs w:val="20"/>
          <w:color w:val="auto"/>
        </w:rPr>
      </w:pPr>
      <w:r>
        <w:rPr>
          <w:rFonts w:ascii="Arial" w:cs="Arial" w:eastAsia="Arial" w:hAnsi="Arial"/>
          <w:sz w:val="18"/>
          <w:szCs w:val="18"/>
          <w:color w:val="auto"/>
        </w:rPr>
        <w:t>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w:t>
      </w:r>
    </w:p>
    <w:p>
      <w:pPr>
        <w:spacing w:after="0" w:line="83" w:lineRule="exact"/>
        <w:rPr>
          <w:sz w:val="20"/>
          <w:szCs w:val="20"/>
          <w:color w:val="auto"/>
        </w:rPr>
      </w:pPr>
    </w:p>
    <w:p>
      <w:pPr>
        <w:ind w:left="760" w:right="360"/>
        <w:spacing w:after="0" w:line="268" w:lineRule="auto"/>
        <w:rPr>
          <w:sz w:val="20"/>
          <w:szCs w:val="20"/>
          <w:color w:val="auto"/>
        </w:rPr>
      </w:pPr>
      <w:r>
        <w:rPr>
          <w:rFonts w:ascii="Arial" w:cs="Arial" w:eastAsia="Arial" w:hAnsi="Arial"/>
          <w:sz w:val="29"/>
          <w:szCs w:val="29"/>
          <w:b w:val="1"/>
          <w:bCs w:val="1"/>
          <w:color w:val="002453"/>
        </w:rPr>
        <w:t>Amended and Restated Virtu Financial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6985</wp:posOffset>
            </wp:positionV>
            <wp:extent cx="58293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reorganization transactions preceding our initial public offering (which we refer to as the</w:t>
      </w:r>
    </w:p>
    <w:p>
      <w:pPr>
        <w:ind w:left="760" w:right="8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transactions</w:t>
      </w:r>
      <w:r>
        <w:rPr>
          <w:rFonts w:ascii="Arial" w:cs="Arial" w:eastAsia="Arial" w:hAnsi="Arial"/>
          <w:sz w:val="18"/>
          <w:szCs w:val="18"/>
          <w:color w:val="auto"/>
        </w:rPr>
        <w:t>”), we, Virtu Financial and each of the Virtu Members (including the Founder Member, Mr. Cifu, certain affiliates of Silver Lake Partners, an affiliate of Temasek and Virtu Employee Holdco) entered into the Amended and Restated Virtu Financial LLC Agreement (as it may be amended from time to time).</w:t>
      </w:r>
    </w:p>
    <w:p>
      <w:pPr>
        <w:spacing w:after="0" w:line="87" w:lineRule="exact"/>
        <w:rPr>
          <w:sz w:val="20"/>
          <w:szCs w:val="20"/>
          <w:color w:val="auto"/>
        </w:rPr>
      </w:pPr>
    </w:p>
    <w:p>
      <w:pPr>
        <w:ind w:left="760" w:right="140"/>
        <w:spacing w:after="0"/>
        <w:rPr>
          <w:sz w:val="20"/>
          <w:szCs w:val="20"/>
          <w:color w:val="auto"/>
        </w:rPr>
      </w:pPr>
      <w:r>
        <w:rPr>
          <w:rFonts w:ascii="Arial" w:cs="Arial" w:eastAsia="Arial" w:hAnsi="Arial"/>
          <w:sz w:val="18"/>
          <w:szCs w:val="18"/>
          <w:color w:val="auto"/>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 making of Virtu Financial. As such, through our officers and directors, we are responsible for all operational and administrative decisions of Virtu Financial and the day-to-day management of Virtu Financial’s business. We will fund any dividends to our stockholders by causing Virtu Financial to make distributions to its equity holders, including the Founder Member, Virtu Employee Holdco, the Employee Trust and us, subject to the limitations imposed by our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209550</wp:posOffset>
            </wp:positionV>
            <wp:extent cx="754380" cy="240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60"/>
        <w:spacing w:after="0" w:line="251" w:lineRule="auto"/>
        <w:rPr>
          <w:sz w:val="20"/>
          <w:szCs w:val="20"/>
          <w:color w:val="auto"/>
        </w:rPr>
      </w:pPr>
      <w:r>
        <w:rPr>
          <w:rFonts w:ascii="Arial" w:cs="Arial" w:eastAsia="Arial" w:hAnsi="Arial"/>
          <w:sz w:val="18"/>
          <w:szCs w:val="18"/>
          <w:color w:val="auto"/>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 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w:t>
      </w:r>
    </w:p>
    <w:p>
      <w:pPr>
        <w:spacing w:after="0" w:line="102" w:lineRule="exact"/>
        <w:rPr>
          <w:sz w:val="20"/>
          <w:szCs w:val="20"/>
          <w:color w:val="auto"/>
        </w:rPr>
      </w:pPr>
    </w:p>
    <w:p>
      <w:pPr>
        <w:ind w:left="760" w:right="100"/>
        <w:spacing w:after="0" w:line="251" w:lineRule="auto"/>
        <w:rPr>
          <w:sz w:val="20"/>
          <w:szCs w:val="20"/>
          <w:color w:val="auto"/>
        </w:rPr>
      </w:pPr>
      <w:r>
        <w:rPr>
          <w:rFonts w:ascii="Arial" w:cs="Arial" w:eastAsia="Arial" w:hAnsi="Arial"/>
          <w:sz w:val="18"/>
          <w:szCs w:val="18"/>
          <w:color w:val="auto"/>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case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affect any subdivision or combination of any class of our common stock unless it is accompanied by a substantively identical subdivision or combination, as applicable, of the Virtu Financial Units.</w:t>
      </w:r>
    </w:p>
    <w:p>
      <w:pPr>
        <w:spacing w:after="0" w:line="99"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including Mr. Fairclough, are subject to similar restrictions under the limited liability company agreements of Virtu Employee Holdco.</w:t>
      </w:r>
    </w:p>
    <w:p>
      <w:pPr>
        <w:spacing w:after="0" w:line="97"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Subject to certain exceptions, Virtu Financial will indemnify the Virtu Members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96" w:lineRule="exact"/>
        <w:rPr>
          <w:sz w:val="20"/>
          <w:szCs w:val="20"/>
          <w:color w:val="auto"/>
        </w:rPr>
      </w:pPr>
    </w:p>
    <w:p>
      <w:pPr>
        <w:ind w:left="760" w:right="180"/>
        <w:spacing w:after="0" w:line="252" w:lineRule="auto"/>
        <w:rPr>
          <w:sz w:val="20"/>
          <w:szCs w:val="20"/>
          <w:color w:val="auto"/>
        </w:rPr>
      </w:pPr>
      <w:r>
        <w:rPr>
          <w:rFonts w:ascii="Arial" w:cs="Arial" w:eastAsia="Arial" w:hAnsi="Arial"/>
          <w:sz w:val="18"/>
          <w:szCs w:val="18"/>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 (b) second, to the members in proportion to their vested Virtu Financial Units (after giving effect to any obligations of Virtu Financial to make tax distributions).</w:t>
      </w:r>
    </w:p>
    <w:p>
      <w:pPr>
        <w:spacing w:after="0" w:line="99" w:lineRule="exact"/>
        <w:rPr>
          <w:sz w:val="20"/>
          <w:szCs w:val="20"/>
          <w:color w:val="auto"/>
        </w:rPr>
      </w:pPr>
    </w:p>
    <w:p>
      <w:pPr>
        <w:ind w:left="760" w:right="80"/>
        <w:spacing w:after="0" w:line="278" w:lineRule="auto"/>
        <w:rPr>
          <w:sz w:val="20"/>
          <w:szCs w:val="20"/>
          <w:color w:val="auto"/>
        </w:rPr>
      </w:pPr>
      <w:r>
        <w:rPr>
          <w:rFonts w:ascii="Arial" w:cs="Arial" w:eastAsia="Arial" w:hAnsi="Arial"/>
          <w:sz w:val="17"/>
          <w:szCs w:val="17"/>
          <w:color w:val="auto"/>
        </w:rPr>
        <w:t>Historically, Virtu Financial has regularly declared and paid distributions on its equity interests to its members, including the Company. During the year ended December 31, 2022, Virtu Financial declared and paid $795.6 million in cash distributions to its members (including our Founder Member, Employee Holdco, and our executive officers).</w:t>
      </w:r>
    </w:p>
    <w:p>
      <w:pPr>
        <w:spacing w:after="0" w:line="25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CERTAIN RELATIONSHIPS AND RELATED PARTY TRANSACTIONS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60"/>
        <w:spacing w:after="0" w:line="241" w:lineRule="auto"/>
        <w:rPr>
          <w:sz w:val="20"/>
          <w:szCs w:val="20"/>
          <w:color w:val="auto"/>
        </w:rPr>
      </w:pPr>
      <w:r>
        <w:rPr>
          <w:rFonts w:ascii="Arial" w:cs="Arial" w:eastAsia="Arial" w:hAnsi="Arial"/>
          <w:sz w:val="18"/>
          <w:szCs w:val="18"/>
          <w:color w:val="auto"/>
        </w:rPr>
        <w:t>In connection with the reorganization transactions, we acquired equity interests in Virtu Financial from certain affiliates of Silver Lake Partners and Temasek, as a result of a series of transactions (the “</w:t>
      </w:r>
      <w:r>
        <w:rPr>
          <w:rFonts w:ascii="Arial" w:cs="Arial" w:eastAsia="Arial" w:hAnsi="Arial"/>
          <w:sz w:val="18"/>
          <w:szCs w:val="18"/>
          <w:b w:val="1"/>
          <w:bCs w:val="1"/>
          <w:color w:val="auto"/>
        </w:rPr>
        <w:t>Mergers</w:t>
      </w:r>
      <w:r>
        <w:rPr>
          <w:rFonts w:ascii="Arial" w:cs="Arial" w:eastAsia="Arial" w:hAnsi="Arial"/>
          <w:sz w:val="18"/>
          <w:szCs w:val="18"/>
          <w:color w:val="auto"/>
        </w:rPr>
        <w:t>”). In addition, we used a portion of the net proceeds from our initial public offering to purchase Virtu Financial Units and corresponding shares of Class C common stock from certain direct or indirect equity 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 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p>
    <w:p>
      <w:pPr>
        <w:spacing w:after="0" w:line="98" w:lineRule="exact"/>
        <w:rPr>
          <w:sz w:val="20"/>
          <w:szCs w:val="20"/>
          <w:color w:val="auto"/>
        </w:rPr>
      </w:pPr>
    </w:p>
    <w:p>
      <w:pPr>
        <w:ind w:left="760" w:right="80"/>
        <w:spacing w:after="0" w:line="239" w:lineRule="auto"/>
        <w:rPr>
          <w:sz w:val="20"/>
          <w:szCs w:val="20"/>
          <w:color w:val="auto"/>
        </w:rPr>
      </w:pPr>
      <w:r>
        <w:rPr>
          <w:rFonts w:ascii="Arial" w:cs="Arial" w:eastAsia="Arial" w:hAnsi="Arial"/>
          <w:sz w:val="18"/>
          <w:szCs w:val="18"/>
          <w:color w:val="auto"/>
        </w:rPr>
        <w:t>We entered into three tax receivable agreements with certain direct or indirect equity holders of Virtu Financial (one with the Founder Member, Virtu Employee Holdco, the Employee Trust, certain management members and other post initial public offering investors), another with affiliates of Silver Lake Partners and affiliates of Temasek, and the other with other affiliates of Silver Lake Partners, that provide for the payment by us to certain direct or indirect equity holders of Virtu Financial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an affiliate of Temasek, and another affiliate of Temasek (the “</w:t>
      </w:r>
      <w:r>
        <w:rPr>
          <w:rFonts w:ascii="Arial" w:cs="Arial" w:eastAsia="Arial" w:hAnsi="Arial"/>
          <w:sz w:val="18"/>
          <w:szCs w:val="18"/>
          <w:b w:val="1"/>
          <w:bCs w:val="1"/>
          <w:color w:val="auto"/>
        </w:rPr>
        <w:t>Temasek Member</w:t>
      </w:r>
      <w:r>
        <w:rPr>
          <w:rFonts w:ascii="Arial" w:cs="Arial" w:eastAsia="Arial" w:hAnsi="Arial"/>
          <w:sz w:val="18"/>
          <w:szCs w:val="18"/>
          <w:color w:val="auto"/>
        </w:rPr>
        <w:t>”) in the reorganization transactions (which represents the unamortized portion of the increase in tax basis in Virtu Financial’s assets resulting from a prior acquisition of interests in Virtu Financial by an affiliate of Silver Lake Partners and Temasek, and the Temasek Member, (b) the purchases of Virtu Financial Units (along with the corresponding shares of our Class C common stock or Class D common stock, as applicable) from certain direct or indirect equity holders of Virtu Financial using a portion of the net proceeds from our initial public offering or in any future offering, (c) exchanges by certain direct or indirect equity holders of Virtu Financial of Virtu Financial Units (together with the corresponding shares of our Class C common stock or Class D common stock, as applicable) for shares of our Class A common stock or Class B common stock, as applicable, or</w:t>
      </w:r>
    </w:p>
    <w:p>
      <w:pPr>
        <w:spacing w:after="0" w:line="10" w:lineRule="exact"/>
        <w:rPr>
          <w:sz w:val="20"/>
          <w:szCs w:val="20"/>
          <w:color w:val="auto"/>
        </w:rPr>
      </w:pPr>
    </w:p>
    <w:p>
      <w:pPr>
        <w:ind w:left="760" w:right="100" w:firstLine="2"/>
        <w:spacing w:after="0" w:line="248" w:lineRule="auto"/>
        <w:tabs>
          <w:tab w:leader="none" w:pos="10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87" w:lineRule="exact"/>
        <w:rPr>
          <w:sz w:val="20"/>
          <w:szCs w:val="20"/>
          <w:color w:val="auto"/>
        </w:rPr>
      </w:pPr>
    </w:p>
    <w:p>
      <w:pPr>
        <w:ind w:left="760" w:right="100"/>
        <w:spacing w:after="0" w:line="259" w:lineRule="auto"/>
        <w:rPr>
          <w:sz w:val="20"/>
          <w:szCs w:val="20"/>
          <w:color w:val="auto"/>
        </w:rPr>
      </w:pPr>
      <w:r>
        <w:rPr>
          <w:rFonts w:ascii="Arial" w:cs="Arial" w:eastAsia="Arial" w:hAnsi="Arial"/>
          <w:sz w:val="17"/>
          <w:szCs w:val="17"/>
          <w:color w:val="auto"/>
        </w:rPr>
        <w:t>The actual increase in tax basis, as well as the amount and timing of any payments under these agreements, varies depending upon a number of factors, including the timing of exchanges by certain direct or indirect equity 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93" w:lineRule="exact"/>
        <w:rPr>
          <w:sz w:val="20"/>
          <w:szCs w:val="20"/>
          <w:color w:val="auto"/>
        </w:rPr>
      </w:pPr>
    </w:p>
    <w:p>
      <w:pPr>
        <w:ind w:left="760" w:right="100"/>
        <w:spacing w:after="0" w:line="241" w:lineRule="auto"/>
        <w:rPr>
          <w:sz w:val="20"/>
          <w:szCs w:val="20"/>
          <w:color w:val="auto"/>
        </w:rPr>
      </w:pPr>
      <w:r>
        <w:rPr>
          <w:rFonts w:ascii="Arial" w:cs="Arial" w:eastAsia="Arial" w:hAnsi="Arial"/>
          <w:sz w:val="18"/>
          <w:szCs w:val="18"/>
          <w:color w:val="auto"/>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 holders of Virtu Financial are expected to range from approximately $0.4 million to $22.0 million per year over the next 15 years. Such payments will occur only after we have filed our U.S. federal and state income tax returns and realized the cash tax savings from the favorable tax attributes. Future payments under the tax receivable agreements in respect of subsequent exchanges would be in addition to these amounts and are expected to be substantial. The payments under the tax receivable agreements are not conditioned upon the certain direct or indirect equity holders of Virtu Financial’s continued ownership of us.</w:t>
      </w:r>
    </w:p>
    <w:p>
      <w:pPr>
        <w:spacing w:after="0" w:line="95"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In addition, although we are not aware of any issue that would cause the IRS to challenge the tax basis increases or other benefits arising under the tax receivable agreements, certain direct or indirect equity holders of Virtu Financial (or their transferees or other assignees) will not reimburse us for any payments previously made if such tax basis increases or other tax benefits are subsequently disallowed, except that any excess payments made to certain direct or indirect equity holders of Virtu Financial will be netted against future payments otherwise to be made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196215</wp:posOffset>
            </wp:positionV>
            <wp:extent cx="754380" cy="240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80"/>
        <w:spacing w:after="0" w:line="243" w:lineRule="auto"/>
        <w:rPr>
          <w:sz w:val="20"/>
          <w:szCs w:val="20"/>
          <w:color w:val="auto"/>
        </w:rPr>
      </w:pPr>
      <w:r>
        <w:rPr>
          <w:rFonts w:ascii="Arial" w:cs="Arial" w:eastAsia="Arial" w:hAnsi="Arial"/>
          <w:sz w:val="18"/>
          <w:szCs w:val="18"/>
          <w:color w:val="auto"/>
        </w:rPr>
        <w:t>tax receivable agreements, if any, after our determination of such excess. As a result, in such circumstances we could make payments to certain direct or indirect equity holders of Virtu Financial under the tax receivable agreements that are greater than our actual cash tax savings and may not be able to recoup those payments, which could negatively impact our liquidity.</w:t>
      </w:r>
    </w:p>
    <w:p>
      <w:pPr>
        <w:spacing w:after="0" w:line="93" w:lineRule="exact"/>
        <w:rPr>
          <w:sz w:val="20"/>
          <w:szCs w:val="20"/>
          <w:color w:val="auto"/>
        </w:rPr>
      </w:pPr>
    </w:p>
    <w:p>
      <w:pPr>
        <w:ind w:left="760" w:right="60"/>
        <w:spacing w:after="0" w:line="241" w:lineRule="auto"/>
        <w:rPr>
          <w:sz w:val="20"/>
          <w:szCs w:val="20"/>
          <w:color w:val="auto"/>
        </w:rPr>
      </w:pPr>
      <w:r>
        <w:rPr>
          <w:rFonts w:ascii="Arial" w:cs="Arial" w:eastAsia="Arial" w:hAnsi="Arial"/>
          <w:sz w:val="18"/>
          <w:szCs w:val="18"/>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111"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In addition, the tax receivable agreements provide that in the case of a change in control of the Company, certain direct or indirect equity 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 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 holders of Virtu Financial have interests that differ from or are in addition to those of our other stockholders. In addition, we could be required to make payments under the tax receivable agreements that are substantial and in excess of our, or a potential acquirer’s, actual cash savings in income tax.</w:t>
      </w:r>
    </w:p>
    <w:p>
      <w:pPr>
        <w:spacing w:after="0" w:line="104" w:lineRule="exact"/>
        <w:rPr>
          <w:sz w:val="20"/>
          <w:szCs w:val="20"/>
          <w:color w:val="auto"/>
        </w:rPr>
      </w:pPr>
    </w:p>
    <w:p>
      <w:pPr>
        <w:ind w:left="760" w:right="240"/>
        <w:spacing w:after="0" w:line="259"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93" w:lineRule="exact"/>
        <w:rPr>
          <w:sz w:val="20"/>
          <w:szCs w:val="20"/>
          <w:color w:val="auto"/>
        </w:rPr>
      </w:pPr>
    </w:p>
    <w:p>
      <w:pPr>
        <w:ind w:left="760" w:right="940"/>
        <w:spacing w:after="0" w:line="265" w:lineRule="auto"/>
        <w:rPr>
          <w:sz w:val="20"/>
          <w:szCs w:val="20"/>
          <w:color w:val="auto"/>
        </w:rPr>
      </w:pPr>
      <w:r>
        <w:rPr>
          <w:rFonts w:ascii="Arial" w:cs="Arial" w:eastAsia="Arial" w:hAnsi="Arial"/>
          <w:sz w:val="17"/>
          <w:szCs w:val="17"/>
          <w:color w:val="auto"/>
        </w:rPr>
        <w:t>We made our first payment of $7.0 million in February 2017, our second payment of $12.4 million in September 2018, our third payment of $13.3 million in March 2020, our fourth payment of $16.5 million in</w:t>
      </w:r>
    </w:p>
    <w:p>
      <w:pPr>
        <w:ind w:left="760" w:right="100"/>
        <w:spacing w:after="0" w:line="254" w:lineRule="auto"/>
        <w:rPr>
          <w:sz w:val="20"/>
          <w:szCs w:val="20"/>
          <w:color w:val="auto"/>
        </w:rPr>
      </w:pPr>
      <w:r>
        <w:rPr>
          <w:rFonts w:ascii="Arial" w:cs="Arial" w:eastAsia="Arial" w:hAnsi="Arial"/>
          <w:sz w:val="18"/>
          <w:szCs w:val="18"/>
          <w:color w:val="auto"/>
        </w:rPr>
        <w:t>April 2021, and our fifth payment of $21.3 million in March 2022. During the year ended December 31, 2022, the Founder Member received $7.8 million, and members and former members of Virtu Employee Holdco LLC received $3.1 million. Through April 14, 2023, during the year ended December 31, 2023, no payments had yet been made under the tax receivable agreements.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300"/>
        <w:spacing w:after="0" w:line="261" w:lineRule="auto"/>
        <w:rPr>
          <w:sz w:val="20"/>
          <w:szCs w:val="20"/>
          <w:color w:val="auto"/>
        </w:rPr>
      </w:pPr>
      <w:r>
        <w:rPr>
          <w:rFonts w:ascii="Arial" w:cs="Arial" w:eastAsia="Arial" w:hAnsi="Arial"/>
          <w:sz w:val="18"/>
          <w:szCs w:val="18"/>
          <w:color w:val="auto"/>
        </w:rPr>
        <w:t>The Company incurs expenses and maintains balances with its affiliates in the ordinary course of business. As of December 31, 2022, the Company had a net receivable from its affiliates of $0.5 million.</w:t>
      </w:r>
    </w:p>
    <w:p>
      <w:pPr>
        <w:spacing w:after="0" w:line="68" w:lineRule="exact"/>
        <w:rPr>
          <w:sz w:val="20"/>
          <w:szCs w:val="20"/>
          <w:color w:val="auto"/>
        </w:rPr>
      </w:pPr>
    </w:p>
    <w:p>
      <w:pPr>
        <w:jc w:val="both"/>
        <w:ind w:left="760" w:right="120"/>
        <w:spacing w:after="0" w:line="268" w:lineRule="auto"/>
        <w:rPr>
          <w:sz w:val="20"/>
          <w:szCs w:val="20"/>
          <w:color w:val="auto"/>
        </w:rPr>
      </w:pPr>
      <w:r>
        <w:rPr>
          <w:rFonts w:ascii="Arial" w:cs="Arial" w:eastAsia="Arial" w:hAnsi="Arial"/>
          <w:sz w:val="18"/>
          <w:szCs w:val="18"/>
          <w:color w:val="auto"/>
        </w:rPr>
        <w:t>The Company has held a minority interest in Japannext Co., Ltd. (“</w:t>
      </w:r>
      <w:r>
        <w:rPr>
          <w:rFonts w:ascii="Arial" w:cs="Arial" w:eastAsia="Arial" w:hAnsi="Arial"/>
          <w:sz w:val="18"/>
          <w:szCs w:val="18"/>
          <w:b w:val="1"/>
          <w:bCs w:val="1"/>
          <w:color w:val="auto"/>
        </w:rPr>
        <w:t>JNX</w:t>
      </w:r>
      <w:r>
        <w:rPr>
          <w:rFonts w:ascii="Arial" w:cs="Arial" w:eastAsia="Arial" w:hAnsi="Arial"/>
          <w:sz w:val="18"/>
          <w:szCs w:val="18"/>
          <w:color w:val="auto"/>
        </w:rPr>
        <w:t>”) since 2016. The Company pays exchange fees to JNX for the trading activities conducted on its proprietary trading system. For the year ended December 31, 2022, the Company paid $13.8 million to JNX for these trading activities.</w:t>
      </w:r>
    </w:p>
    <w:p>
      <w:pPr>
        <w:spacing w:after="0" w:line="63" w:lineRule="exact"/>
        <w:rPr>
          <w:sz w:val="20"/>
          <w:szCs w:val="20"/>
          <w:color w:val="auto"/>
        </w:rPr>
      </w:pPr>
    </w:p>
    <w:p>
      <w:pPr>
        <w:ind w:left="760" w:right="180"/>
        <w:spacing w:after="0" w:line="268" w:lineRule="auto"/>
        <w:rPr>
          <w:sz w:val="20"/>
          <w:szCs w:val="20"/>
          <w:color w:val="auto"/>
        </w:rPr>
      </w:pPr>
      <w:r>
        <w:rPr>
          <w:rFonts w:ascii="Arial" w:cs="Arial" w:eastAsia="Arial" w:hAnsi="Arial"/>
          <w:sz w:val="18"/>
          <w:szCs w:val="18"/>
          <w:color w:val="auto"/>
        </w:rPr>
        <w:t>The Company makes payments to two joint ventures (“</w:t>
      </w:r>
      <w:r>
        <w:rPr>
          <w:rFonts w:ascii="Arial" w:cs="Arial" w:eastAsia="Arial" w:hAnsi="Arial"/>
          <w:sz w:val="18"/>
          <w:szCs w:val="18"/>
          <w:b w:val="1"/>
          <w:bCs w:val="1"/>
          <w:color w:val="auto"/>
        </w:rPr>
        <w:t>JVs</w:t>
      </w:r>
      <w:r>
        <w:rPr>
          <w:rFonts w:ascii="Arial" w:cs="Arial" w:eastAsia="Arial" w:hAnsi="Arial"/>
          <w:sz w:val="18"/>
          <w:szCs w:val="18"/>
          <w:color w:val="auto"/>
        </w:rPr>
        <w:t>”) to fund the construction of the microwave communication networks, and to purchase microwave communication networks. For the year ended December 31, 2022, the Company paid $27.7 million to the JVs.</w:t>
      </w:r>
    </w:p>
    <w:p>
      <w:pPr>
        <w:spacing w:after="0" w:line="26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420"/>
        <w:spacing w:after="0" w:line="256" w:lineRule="auto"/>
        <w:rPr>
          <w:sz w:val="20"/>
          <w:szCs w:val="20"/>
          <w:color w:val="auto"/>
        </w:rPr>
      </w:pPr>
      <w:r>
        <w:rPr>
          <w:rFonts w:ascii="Arial" w:cs="Arial" w:eastAsia="Arial" w:hAnsi="Arial"/>
          <w:sz w:val="18"/>
          <w:szCs w:val="18"/>
          <w:color w:val="auto"/>
        </w:rPr>
        <w:t>The Company has an interest in Members Exchange, a member-owned equities exchange. The Company pays regulatory and transaction fees and receives rebates from trading activities. For the year ended December 31, 2021, the Company received $16.0 million from Members Exchange.</w:t>
      </w:r>
    </w:p>
    <w:p>
      <w:pPr>
        <w:spacing w:after="0" w:line="72" w:lineRule="exact"/>
        <w:rPr>
          <w:sz w:val="20"/>
          <w:szCs w:val="20"/>
          <w:color w:val="auto"/>
        </w:rPr>
      </w:pPr>
    </w:p>
    <w:p>
      <w:pPr>
        <w:ind w:left="760" w:right="120"/>
        <w:spacing w:after="0" w:line="259" w:lineRule="auto"/>
        <w:rPr>
          <w:sz w:val="20"/>
          <w:szCs w:val="20"/>
          <w:color w:val="auto"/>
        </w:rPr>
      </w:pPr>
      <w:r>
        <w:rPr>
          <w:rFonts w:ascii="Arial" w:cs="Arial" w:eastAsia="Arial" w:hAnsi="Arial"/>
          <w:sz w:val="18"/>
          <w:szCs w:val="18"/>
          <w:color w:val="auto"/>
        </w:rPr>
        <w:t>The Company provides brokerage and related services to The Vanguard Group, Inc. and affiliates (“</w:t>
      </w:r>
      <w:r>
        <w:rPr>
          <w:rFonts w:ascii="Arial" w:cs="Arial" w:eastAsia="Arial" w:hAnsi="Arial"/>
          <w:sz w:val="18"/>
          <w:szCs w:val="18"/>
          <w:b w:val="1"/>
          <w:bCs w:val="1"/>
          <w:color w:val="auto"/>
        </w:rPr>
        <w:t>Vanguard</w:t>
      </w:r>
      <w:r>
        <w:rPr>
          <w:rFonts w:ascii="Arial" w:cs="Arial" w:eastAsia="Arial" w:hAnsi="Arial"/>
          <w:sz w:val="18"/>
          <w:szCs w:val="18"/>
          <w:color w:val="auto"/>
        </w:rPr>
        <w:t xml:space="preserve">”). As noted in footnote 5 to the beneficial ownership table on page </w:t>
      </w:r>
      <w:r>
        <w:rPr>
          <w:rFonts w:ascii="Arial" w:cs="Arial" w:eastAsia="Arial" w:hAnsi="Arial"/>
          <w:sz w:val="18"/>
          <w:szCs w:val="18"/>
          <w:u w:val="single" w:color="auto"/>
          <w:color w:val="0000EE"/>
        </w:rPr>
        <w:t>55</w:t>
      </w:r>
      <w:r>
        <w:rPr>
          <w:rFonts w:ascii="Arial" w:cs="Arial" w:eastAsia="Arial" w:hAnsi="Arial"/>
          <w:sz w:val="18"/>
          <w:szCs w:val="18"/>
          <w:color w:val="auto"/>
        </w:rPr>
        <w:t xml:space="preserve"> of this proxy statement, according to the Schedule 13G/A filed by Vanguard on February 9, 2023, Vanguard may have been deemed to have shared voting and dispositive power over more than 5% of the Company’s issued and outstanding Class A common shares. For the year ended December 31, 2022, the Company received $1.4 million from Vanguard for these services.</w:t>
      </w:r>
    </w:p>
    <w:p>
      <w:pPr>
        <w:spacing w:after="0" w:line="93"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auto"/>
        </w:rPr>
        <w:t>The Company provides brokerage and related services to William Blair Investment Management, LLC and affiliates. (“</w:t>
      </w:r>
      <w:r>
        <w:rPr>
          <w:rFonts w:ascii="Arial" w:cs="Arial" w:eastAsia="Arial" w:hAnsi="Arial"/>
          <w:sz w:val="18"/>
          <w:szCs w:val="18"/>
          <w:b w:val="1"/>
          <w:bCs w:val="1"/>
          <w:color w:val="auto"/>
        </w:rPr>
        <w:t>William Blair</w:t>
      </w:r>
      <w:r>
        <w:rPr>
          <w:rFonts w:ascii="Arial" w:cs="Arial" w:eastAsia="Arial" w:hAnsi="Arial"/>
          <w:sz w:val="18"/>
          <w:szCs w:val="18"/>
          <w:color w:val="auto"/>
        </w:rPr>
        <w:t xml:space="preserve">”). As noted in footnote 6 to the beneficial ownership table on page </w:t>
      </w:r>
      <w:r>
        <w:rPr>
          <w:rFonts w:ascii="Arial" w:cs="Arial" w:eastAsia="Arial" w:hAnsi="Arial"/>
          <w:sz w:val="18"/>
          <w:szCs w:val="18"/>
          <w:u w:val="single" w:color="auto"/>
          <w:color w:val="0000EE"/>
        </w:rPr>
        <w:t>55</w:t>
      </w:r>
      <w:r>
        <w:rPr>
          <w:rFonts w:ascii="Arial" w:cs="Arial" w:eastAsia="Arial" w:hAnsi="Arial"/>
          <w:sz w:val="18"/>
          <w:szCs w:val="18"/>
          <w:color w:val="auto"/>
        </w:rPr>
        <w:t xml:space="preserve"> of this proxy statement, according to the Schedule 13G/A filed by William Blair on February 9, 2023, William Blair may have been deemed to have shared voting and dispositive power over more than 5% of the Company’s issued and outstanding Class A common shares. For the year ended December 31, 2022, the Company received $0.2 million from William Blair for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5584825</wp:posOffset>
            </wp:positionV>
            <wp:extent cx="754380" cy="2400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Delinquent Section 16(a) Reports</w:t>
      </w:r>
    </w:p>
    <w:p>
      <w:pPr>
        <w:spacing w:after="0" w:line="112" w:lineRule="exact"/>
        <w:rPr>
          <w:sz w:val="20"/>
          <w:szCs w:val="20"/>
          <w:color w:val="auto"/>
        </w:rPr>
      </w:pPr>
    </w:p>
    <w:p>
      <w:pPr>
        <w:ind w:left="760" w:right="100"/>
        <w:spacing w:after="0" w:line="265" w:lineRule="auto"/>
        <w:rPr>
          <w:sz w:val="20"/>
          <w:szCs w:val="20"/>
          <w:color w:val="auto"/>
        </w:rPr>
      </w:pPr>
      <w:r>
        <w:rPr>
          <w:rFonts w:ascii="Arial" w:cs="Arial" w:eastAsia="Arial" w:hAnsi="Arial"/>
          <w:sz w:val="17"/>
          <w:szCs w:val="17"/>
          <w:color w:val="auto"/>
        </w:rPr>
        <w:t>Section 16(a) of the Exchange Act requires our directors, executive officers and persons who own more than 10% of a registered class of the Company’s equity securities (collectively, the “</w:t>
      </w:r>
      <w:r>
        <w:rPr>
          <w:rFonts w:ascii="Arial" w:cs="Arial" w:eastAsia="Arial" w:hAnsi="Arial"/>
          <w:sz w:val="17"/>
          <w:szCs w:val="17"/>
          <w:b w:val="1"/>
          <w:bCs w:val="1"/>
          <w:color w:val="auto"/>
        </w:rPr>
        <w:t>Reporting Persons</w:t>
      </w:r>
      <w:r>
        <w:rPr>
          <w:rFonts w:ascii="Arial" w:cs="Arial" w:eastAsia="Arial" w:hAnsi="Arial"/>
          <w:sz w:val="17"/>
          <w:szCs w:val="17"/>
          <w:color w:val="auto"/>
        </w:rPr>
        <w:t>”),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year 2022, except that, due to administrative oversight (i) one Form 4 of Mr. Galvin reporting the acquisition of 4,412 shares Class A common stock and the corresponding vesting of 4,412 restricted stock units was filed late on February 7, 2023, and</w:t>
      </w:r>
    </w:p>
    <w:p>
      <w:pPr>
        <w:spacing w:after="0" w:line="1" w:lineRule="exact"/>
        <w:rPr>
          <w:sz w:val="20"/>
          <w:szCs w:val="20"/>
          <w:color w:val="auto"/>
        </w:rPr>
      </w:pPr>
    </w:p>
    <w:p>
      <w:pPr>
        <w:ind w:left="760" w:right="160" w:firstLine="2"/>
        <w:spacing w:after="0" w:line="261" w:lineRule="auto"/>
        <w:tabs>
          <w:tab w:leader="none" w:pos="10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 Form 4 of Virtu Employee Holdco reporting the disposition of 173,535 shares of Class C common stock and corresponding Virtu Financial Units was filed late on February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Additional Information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List of Stockholders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160"/>
        <w:spacing w:after="0" w:line="257" w:lineRule="auto"/>
        <w:rPr>
          <w:sz w:val="20"/>
          <w:szCs w:val="20"/>
          <w:color w:val="auto"/>
        </w:rPr>
      </w:pPr>
      <w:r>
        <w:rPr>
          <w:rFonts w:ascii="Arial" w:cs="Arial" w:eastAsia="Arial" w:hAnsi="Arial"/>
          <w:sz w:val="17"/>
          <w:szCs w:val="17"/>
          <w:color w:val="auto"/>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1633 Broadway, New York, New York 10019. If our offices are not generally open during the ten days prior to the Annual Meeting, stockholders of record may request a list of stockholders of record as of the Record Date for any purpose germane to the Annual Meeting by contacting us by mail sent to the attention of the Secretary of the Company at our principal executive offices located at 1633 Broadway, New York, New York 10019, or by calling us at (212) 418-0100. A list of stockholders of record will be available for inspection during the Annual Meeting through the meeting website.</w:t>
      </w:r>
    </w:p>
    <w:p>
      <w:pPr>
        <w:spacing w:after="0" w:line="82" w:lineRule="exact"/>
        <w:rPr>
          <w:sz w:val="20"/>
          <w:szCs w:val="20"/>
          <w:color w:val="auto"/>
        </w:rPr>
      </w:pPr>
    </w:p>
    <w:p>
      <w:pPr>
        <w:ind w:left="760" w:right="1040"/>
        <w:spacing w:after="0" w:line="268" w:lineRule="auto"/>
        <w:rPr>
          <w:sz w:val="20"/>
          <w:szCs w:val="20"/>
          <w:color w:val="auto"/>
        </w:rPr>
      </w:pPr>
      <w:r>
        <w:rPr>
          <w:rFonts w:ascii="Arial" w:cs="Arial" w:eastAsia="Arial" w:hAnsi="Arial"/>
          <w:sz w:val="29"/>
          <w:szCs w:val="29"/>
          <w:b w:val="1"/>
          <w:bCs w:val="1"/>
          <w:color w:val="002453"/>
        </w:rPr>
        <w:t>Submission of Stockholder Proposals at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6985</wp:posOffset>
            </wp:positionV>
            <wp:extent cx="58293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92" w:lineRule="exact"/>
        <w:rPr>
          <w:sz w:val="20"/>
          <w:szCs w:val="20"/>
          <w:color w:val="auto"/>
        </w:rPr>
      </w:pPr>
    </w:p>
    <w:p>
      <w:pPr>
        <w:ind w:left="760" w:right="140"/>
        <w:spacing w:after="0" w:line="224" w:lineRule="auto"/>
        <w:rPr>
          <w:sz w:val="20"/>
          <w:szCs w:val="20"/>
          <w:color w:val="auto"/>
        </w:rPr>
      </w:pPr>
      <w:r>
        <w:rPr>
          <w:rFonts w:ascii="Arial" w:cs="Arial" w:eastAsia="Arial" w:hAnsi="Arial"/>
          <w:sz w:val="18"/>
          <w:szCs w:val="18"/>
          <w:color w:val="auto"/>
        </w:rPr>
        <w:t>To be considered for inclusion in next year’s proxy statement and form of proxy, stockholder proposals for the 2024 Annual Meeting of Stockholders must be received at our principal executive offices no later than December 28</w:t>
      </w:r>
      <w:r>
        <w:rPr>
          <w:rFonts w:ascii="Arial" w:cs="Arial" w:eastAsia="Arial" w:hAnsi="Arial"/>
          <w:sz w:val="26"/>
          <w:szCs w:val="26"/>
          <w:color w:val="auto"/>
          <w:vertAlign w:val="superscript"/>
        </w:rPr>
        <w:t>2</w:t>
      </w:r>
      <w:r>
        <w:rPr>
          <w:rFonts w:ascii="Arial" w:cs="Arial" w:eastAsia="Arial" w:hAnsi="Arial"/>
          <w:sz w:val="18"/>
          <w:szCs w:val="18"/>
          <w:color w:val="auto"/>
        </w:rPr>
        <w:t>, 2023, unless the date of the 2024 Annual Meeting of Stockholders is more than 30 days before or after June 13, 2024, in which case the stockholder proposal must be received a reasonable time before we begin to print and mail our proxy materials.</w:t>
      </w:r>
    </w:p>
    <w:p>
      <w:pPr>
        <w:spacing w:after="0" w:line="96" w:lineRule="exact"/>
        <w:rPr>
          <w:sz w:val="20"/>
          <w:szCs w:val="20"/>
          <w:color w:val="auto"/>
        </w:rPr>
      </w:pPr>
    </w:p>
    <w:p>
      <w:pPr>
        <w:ind w:left="760" w:right="60"/>
        <w:spacing w:after="0" w:line="257" w:lineRule="auto"/>
        <w:rPr>
          <w:sz w:val="20"/>
          <w:szCs w:val="20"/>
          <w:color w:val="auto"/>
        </w:rPr>
      </w:pPr>
      <w:r>
        <w:rPr>
          <w:rFonts w:ascii="Arial" w:cs="Arial" w:eastAsia="Arial" w:hAnsi="Arial"/>
          <w:sz w:val="17"/>
          <w:szCs w:val="17"/>
          <w:color w:val="auto"/>
        </w:rPr>
        <w:t>For any stockholder proposal or director nomination that is not submitted for inclusion in next year’s proxy statement pursuant to the process set forth above but is instead sought to be presented directly at the 2024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14, 2024, and March 15, 2024, for the 2024 Annual Meeting of Stockholders. In the event that the 2024 Annual Meeting of Stockholders is convened more than 30 days prior to or delayed by more than 60 days after June 13, 2024, notice by the stockholder, to be timely, must be received no earlier than the 120th day prior to the 2024 Annual Meeting of Stockholders and no later than the later of (1) the 90th day prior to the 2024 Annual Meeting of stockholders and (2) the tenth day following the day on which we notify stockholders of the date of the 2024 Annual Meeting of Stockholders, either by mail or other public disclosure.</w:t>
      </w:r>
    </w:p>
    <w:p>
      <w:pPr>
        <w:spacing w:after="0" w:line="80" w:lineRule="exact"/>
        <w:rPr>
          <w:sz w:val="20"/>
          <w:szCs w:val="20"/>
          <w:color w:val="auto"/>
        </w:rPr>
      </w:pPr>
    </w:p>
    <w:p>
      <w:pPr>
        <w:ind w:left="760" w:right="200"/>
        <w:spacing w:after="0" w:line="248" w:lineRule="auto"/>
        <w:rPr>
          <w:sz w:val="20"/>
          <w:szCs w:val="20"/>
          <w:color w:val="auto"/>
        </w:rPr>
      </w:pPr>
      <w:r>
        <w:rPr>
          <w:rFonts w:ascii="Arial" w:cs="Arial" w:eastAsia="Arial" w:hAnsi="Arial"/>
          <w:sz w:val="18"/>
          <w:szCs w:val="18"/>
          <w:color w:val="auto"/>
        </w:rPr>
        <w:t>Additionally, to comply with the SEC’s universal proxy rules (once effective), stockholders who intend to solicit proxies in support of director nominees other than the Company’s nominees must provide notice that sets forth the information required by Rule 14a-19 under the Exchange Act no later than April 14, 2024.</w:t>
      </w:r>
    </w:p>
    <w:p>
      <w:pPr>
        <w:spacing w:after="0" w:line="87" w:lineRule="exact"/>
        <w:rPr>
          <w:sz w:val="20"/>
          <w:szCs w:val="20"/>
          <w:color w:val="auto"/>
        </w:rPr>
      </w:pPr>
    </w:p>
    <w:p>
      <w:pPr>
        <w:ind w:left="760" w:right="300"/>
        <w:spacing w:after="0" w:line="261" w:lineRule="auto"/>
        <w:rPr>
          <w:sz w:val="20"/>
          <w:szCs w:val="20"/>
          <w:color w:val="auto"/>
        </w:rPr>
      </w:pPr>
      <w:r>
        <w:rPr>
          <w:rFonts w:ascii="Arial" w:cs="Arial" w:eastAsia="Arial" w:hAnsi="Arial"/>
          <w:sz w:val="18"/>
          <w:szCs w:val="18"/>
          <w:color w:val="auto"/>
        </w:rPr>
        <w:t>All stockholder proposals should be sent to our principal executive offices at Virtu Financial, Inc., 1633 Broadway, New York, New York 10019, Attn: Secretary.</w:t>
      </w:r>
    </w:p>
    <w:p>
      <w:pPr>
        <w:spacing w:after="0" w:line="76" w:lineRule="exact"/>
        <w:rPr>
          <w:sz w:val="20"/>
          <w:szCs w:val="20"/>
          <w:color w:val="auto"/>
        </w:rPr>
      </w:pPr>
    </w:p>
    <w:p>
      <w:pPr>
        <w:jc w:val="both"/>
        <w:ind w:left="760" w:right="80"/>
        <w:spacing w:after="0" w:line="248" w:lineRule="auto"/>
        <w:rPr>
          <w:sz w:val="20"/>
          <w:szCs w:val="20"/>
          <w:color w:val="auto"/>
        </w:rPr>
      </w:pPr>
      <w:r>
        <w:rPr>
          <w:rFonts w:ascii="Arial" w:cs="Arial" w:eastAsia="Arial" w:hAnsi="Arial"/>
          <w:sz w:val="18"/>
          <w:szCs w:val="18"/>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Consideration of Stockholder 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jc w:val="both"/>
        <w:ind w:left="760" w:right="140"/>
        <w:spacing w:after="0" w:line="254" w:lineRule="auto"/>
        <w:rPr>
          <w:sz w:val="20"/>
          <w:szCs w:val="20"/>
          <w:color w:val="auto"/>
        </w:rPr>
      </w:pPr>
      <w:r>
        <w:rPr>
          <w:rFonts w:ascii="Arial" w:cs="Arial" w:eastAsia="Arial" w:hAnsi="Arial"/>
          <w:sz w:val="17"/>
          <w:szCs w:val="17"/>
          <w:color w:val="auto"/>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w:t>
      </w:r>
    </w:p>
    <w:p>
      <w:pPr>
        <w:ind w:left="760"/>
        <w:spacing w:after="0"/>
        <w:rPr>
          <w:sz w:val="20"/>
          <w:szCs w:val="20"/>
          <w:color w:val="auto"/>
        </w:rPr>
      </w:pPr>
      <w:r>
        <w:rPr>
          <w:rFonts w:ascii="Arial" w:cs="Arial" w:eastAsia="Arial" w:hAnsi="Arial"/>
          <w:sz w:val="18"/>
          <w:szCs w:val="18"/>
          <w:color w:val="auto"/>
        </w:rPr>
        <w:t>1633 Broadway, New York, New York 10019, Attn: Secretary.</w:t>
      </w:r>
    </w:p>
    <w:p>
      <w:pPr>
        <w:spacing w:after="0" w:line="104" w:lineRule="exact"/>
        <w:rPr>
          <w:sz w:val="20"/>
          <w:szCs w:val="20"/>
          <w:color w:val="auto"/>
        </w:rPr>
      </w:pPr>
    </w:p>
    <w:p>
      <w:pPr>
        <w:ind w:left="760" w:right="360"/>
        <w:spacing w:after="0" w:line="274" w:lineRule="auto"/>
        <w:rPr>
          <w:sz w:val="20"/>
          <w:szCs w:val="20"/>
          <w:color w:val="auto"/>
        </w:rPr>
      </w:pPr>
      <w:r>
        <w:rPr>
          <w:rFonts w:ascii="Arial" w:cs="Arial" w:eastAsia="Arial" w:hAnsi="Arial"/>
          <w:sz w:val="17"/>
          <w:szCs w:val="17"/>
          <w:color w:val="auto"/>
        </w:rPr>
        <w:t>As required by our bylaws, stockholders should include the name, biographical information and other relevant information relating to the recommended director nominee, including, among other things, information that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51435</wp:posOffset>
            </wp:positionV>
            <wp:extent cx="123444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4" w:lineRule="exact"/>
        <w:rPr>
          <w:sz w:val="20"/>
          <w:szCs w:val="20"/>
          <w:color w:val="auto"/>
        </w:rPr>
      </w:pPr>
    </w:p>
    <w:p>
      <w:pPr>
        <w:ind w:left="940" w:hanging="178"/>
        <w:spacing w:after="0"/>
        <w:tabs>
          <w:tab w:leader="none" w:pos="94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NOTE TO DRAFT — ASSUMES JW note: assumes the proxy materials will be mailed and filed on April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213360</wp:posOffset>
            </wp:positionV>
            <wp:extent cx="754380" cy="2400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be required to be included in the proxy statement filed in accordance with applicable rules under the Exchange Act and the written consent of the director nominee to be named as a nominee and to serve as a director if elected, among other requirements set forth in our bylaws. Evaluation of any such recommendations is the responsibility of the Nominating and Corporate Governance Committee. In the event of any stockholder recommendations, the Nominating and Corporate Governance Committee will evaluate the persons recommended in the same manner as other candidates.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Any stockholder or other interested party may contact our board of directors as a group, our non-employee directors as a group, or any individual director by sending written correspondence to the following address: Virtu Financial, Inc., 1633 Broadway, New York, New York 10019, Attn: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General Information</w:t>
      </w:r>
    </w:p>
    <w:p>
      <w:pPr>
        <w:spacing w:after="0" w:line="112" w:lineRule="exact"/>
        <w:rPr>
          <w:sz w:val="20"/>
          <w:szCs w:val="20"/>
          <w:color w:val="auto"/>
        </w:rPr>
      </w:pPr>
    </w:p>
    <w:p>
      <w:pPr>
        <w:ind w:left="760" w:right="200"/>
        <w:spacing w:after="0" w:line="265" w:lineRule="auto"/>
        <w:rPr>
          <w:sz w:val="20"/>
          <w:szCs w:val="20"/>
          <w:color w:val="auto"/>
        </w:rPr>
      </w:pPr>
      <w:r>
        <w:rPr>
          <w:rFonts w:ascii="Arial" w:cs="Arial" w:eastAsia="Arial" w:hAnsi="Arial"/>
          <w:sz w:val="17"/>
          <w:szCs w:val="17"/>
          <w:color w:val="auto"/>
        </w:rPr>
        <w:t>We are making this proxy statement available to our stockholders on or about April 27, 2023 in connection with the solicitation of proxies by our board of directors for the Annual Meeting, which will be held on Tuesday, June 13,</w:t>
      </w:r>
    </w:p>
    <w:p>
      <w:pPr>
        <w:ind w:left="760" w:right="120"/>
        <w:spacing w:after="0" w:line="254" w:lineRule="auto"/>
        <w:rPr>
          <w:sz w:val="20"/>
          <w:szCs w:val="20"/>
          <w:color w:val="auto"/>
        </w:rPr>
      </w:pPr>
      <w:r>
        <w:rPr>
          <w:rFonts w:ascii="Arial" w:cs="Arial" w:eastAsia="Arial" w:hAnsi="Arial"/>
          <w:sz w:val="18"/>
          <w:szCs w:val="18"/>
          <w:color w:val="auto"/>
        </w:rPr>
        <w:t>2023 at 9:00 a.m. (Eastern Time) via webcast through the provided link. As a stockholder of Virtu, you are invited to attend the Virtual Annual Meeting and are entitled and encouraged to vote on the proposals described in this proxy statement. Below are answers to common questions stockholders may have about the Annual Meeting. Our fiscal year ends on December 31.</w:t>
      </w:r>
    </w:p>
    <w:p>
      <w:pPr>
        <w:spacing w:after="0" w:line="96" w:lineRule="exact"/>
        <w:rPr>
          <w:sz w:val="20"/>
          <w:szCs w:val="20"/>
          <w:color w:val="auto"/>
        </w:rPr>
      </w:pPr>
    </w:p>
    <w:p>
      <w:pPr>
        <w:jc w:val="both"/>
        <w:ind w:left="760" w:right="440"/>
        <w:spacing w:after="0" w:line="254" w:lineRule="auto"/>
        <w:rPr>
          <w:sz w:val="20"/>
          <w:szCs w:val="20"/>
          <w:color w:val="auto"/>
        </w:rPr>
      </w:pPr>
      <w:r>
        <w:rPr>
          <w:rFonts w:ascii="Arial" w:cs="Arial" w:eastAsia="Arial" w:hAnsi="Arial"/>
          <w:sz w:val="18"/>
          <w:szCs w:val="18"/>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96"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Founder Member, an affiliate of Mr. Vincent Viola, our founder and Chairman Emeritus, and other members of the Viola family, holds all of our issued and outstanding Class D common stock and controls approximately 85% of the combined voting power of our outstanding common stock. As a result, it is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information is included in this proxy statement?</w:t>
      </w:r>
    </w:p>
    <w:p>
      <w:pPr>
        <w:spacing w:after="0" w:line="139"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color w:val="auto"/>
        </w:rPr>
        <w:t>The information in this proxy statement relates to the proposals to be voted on at the Annual Meeting, the voting process, our board of directors and board committees, the compensation of current directors and certain executive officers for the year ended December 31, 2022, and other information.</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are the Proxy Materials?</w:t>
      </w:r>
    </w:p>
    <w:p>
      <w:pPr>
        <w:spacing w:after="0" w:line="139" w:lineRule="exact"/>
        <w:rPr>
          <w:sz w:val="20"/>
          <w:szCs w:val="20"/>
          <w:color w:val="auto"/>
        </w:rPr>
      </w:pPr>
    </w:p>
    <w:p>
      <w:pPr>
        <w:ind w:left="760" w:right="380"/>
        <w:spacing w:after="0" w:line="261" w:lineRule="auto"/>
        <w:rPr>
          <w:sz w:val="20"/>
          <w:szCs w:val="20"/>
          <w:color w:val="auto"/>
        </w:rPr>
      </w:pPr>
      <w:r>
        <w:rPr>
          <w:rFonts w:ascii="Arial" w:cs="Arial" w:eastAsia="Arial" w:hAnsi="Arial"/>
          <w:sz w:val="18"/>
          <w:szCs w:val="18"/>
          <w:color w:val="auto"/>
        </w:rPr>
        <w:t>The “Proxy Materials” are this proxy statement and our annual report to stockholders, which includes the Annual Report on Form 10-K for the fiscal year ended December 31, 2022.</w:t>
      </w:r>
    </w:p>
    <w:p>
      <w:pPr>
        <w:spacing w:after="0" w:line="68" w:lineRule="exact"/>
        <w:rPr>
          <w:sz w:val="20"/>
          <w:szCs w:val="20"/>
          <w:color w:val="auto"/>
        </w:rPr>
      </w:pPr>
    </w:p>
    <w:p>
      <w:pPr>
        <w:ind w:left="760" w:right="440"/>
        <w:spacing w:after="0" w:line="287" w:lineRule="auto"/>
        <w:rPr>
          <w:sz w:val="20"/>
          <w:szCs w:val="20"/>
          <w:color w:val="auto"/>
        </w:rPr>
      </w:pPr>
      <w:r>
        <w:rPr>
          <w:rFonts w:ascii="Arial" w:cs="Arial" w:eastAsia="Arial" w:hAnsi="Arial"/>
          <w:sz w:val="18"/>
          <w:szCs w:val="18"/>
          <w:b w:val="1"/>
          <w:bCs w:val="1"/>
          <w:i w:val="1"/>
          <w:iCs w:val="1"/>
          <w:color w:val="00C08A"/>
        </w:rPr>
        <w:t>Why did I receive a one-page notice in the mail regarding the Internet availability of the Proxy Materials instead of a full set of the Proxy Materials?</w:t>
      </w:r>
    </w:p>
    <w:p>
      <w:pPr>
        <w:spacing w:after="0" w:line="67"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the Proxy Materials in printed form by mail or electronically by email on an ongoing basis.</w:t>
      </w:r>
    </w:p>
    <w:p>
      <w:pPr>
        <w:spacing w:after="0" w:line="77" w:lineRule="exact"/>
        <w:rPr>
          <w:sz w:val="20"/>
          <w:szCs w:val="20"/>
          <w:color w:val="auto"/>
        </w:rPr>
      </w:pPr>
    </w:p>
    <w:p>
      <w:pPr>
        <w:ind w:left="760" w:right="260"/>
        <w:spacing w:after="0" w:line="287" w:lineRule="auto"/>
        <w:rPr>
          <w:sz w:val="20"/>
          <w:szCs w:val="20"/>
          <w:color w:val="auto"/>
        </w:rPr>
      </w:pPr>
      <w:r>
        <w:rPr>
          <w:rFonts w:ascii="Arial" w:cs="Arial" w:eastAsia="Arial" w:hAnsi="Arial"/>
          <w:sz w:val="18"/>
          <w:szCs w:val="18"/>
          <w:b w:val="1"/>
          <w:bCs w:val="1"/>
          <w:i w:val="1"/>
          <w:iCs w:val="1"/>
          <w:color w:val="00C08A"/>
        </w:rPr>
        <w:t>What items will be voted on at the Annual Meeting and how does the board of directors recommend that I vote?</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four proposals to be voted on at the Annual Meeting:</w:t>
      </w:r>
    </w:p>
    <w:p>
      <w:pPr>
        <w:spacing w:after="0" w:line="117" w:lineRule="exact"/>
        <w:rPr>
          <w:sz w:val="20"/>
          <w:szCs w:val="20"/>
          <w:color w:val="auto"/>
        </w:rPr>
      </w:pPr>
    </w:p>
    <w:p>
      <w:pPr>
        <w:ind w:left="1340" w:right="140" w:hanging="218"/>
        <w:spacing w:after="0" w:line="256" w:lineRule="auto"/>
        <w:tabs>
          <w:tab w:leader="none" w:pos="1340" w:val="left"/>
        </w:tabs>
        <w:numPr>
          <w:ilvl w:val="0"/>
          <w:numId w:val="45"/>
        </w:numPr>
        <w:rPr>
          <w:rFonts w:ascii="Arial" w:cs="Arial" w:eastAsia="Arial" w:hAnsi="Arial"/>
          <w:sz w:val="18"/>
          <w:szCs w:val="18"/>
          <w:color w:val="002453"/>
        </w:rPr>
      </w:pPr>
      <w:r>
        <w:rPr>
          <w:rFonts w:ascii="Arial" w:cs="Arial" w:eastAsia="Arial" w:hAnsi="Arial"/>
          <w:sz w:val="18"/>
          <w:szCs w:val="18"/>
          <w:color w:val="auto"/>
        </w:rPr>
        <w:t>to elect three directors to our board of directors, each to serve as a Class II director for a term of three years expiring at the annual meeting of stockholders to be held in 2026 and until such director’s successor has been duly elected and qualified;</w:t>
      </w:r>
    </w:p>
    <w:p>
      <w:pPr>
        <w:spacing w:after="0" w:line="93" w:lineRule="exact"/>
        <w:rPr>
          <w:rFonts w:ascii="Arial" w:cs="Arial" w:eastAsia="Arial" w:hAnsi="Arial"/>
          <w:sz w:val="18"/>
          <w:szCs w:val="18"/>
          <w:color w:val="002453"/>
        </w:rPr>
      </w:pPr>
    </w:p>
    <w:p>
      <w:pPr>
        <w:ind w:left="1340" w:right="520" w:hanging="218"/>
        <w:spacing w:after="0" w:line="261" w:lineRule="auto"/>
        <w:tabs>
          <w:tab w:leader="none" w:pos="1340" w:val="left"/>
        </w:tabs>
        <w:numPr>
          <w:ilvl w:val="0"/>
          <w:numId w:val="45"/>
        </w:numPr>
        <w:rPr>
          <w:rFonts w:ascii="Arial" w:cs="Arial" w:eastAsia="Arial" w:hAnsi="Arial"/>
          <w:sz w:val="18"/>
          <w:szCs w:val="18"/>
          <w:color w:val="002453"/>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89" w:lineRule="exact"/>
        <w:rPr>
          <w:rFonts w:ascii="Arial" w:cs="Arial" w:eastAsia="Arial" w:hAnsi="Arial"/>
          <w:sz w:val="18"/>
          <w:szCs w:val="18"/>
          <w:color w:val="002453"/>
        </w:rPr>
      </w:pPr>
    </w:p>
    <w:p>
      <w:pPr>
        <w:ind w:left="1340" w:right="260" w:hanging="218"/>
        <w:spacing w:after="0" w:line="261" w:lineRule="auto"/>
        <w:tabs>
          <w:tab w:leader="none" w:pos="1340" w:val="left"/>
        </w:tabs>
        <w:numPr>
          <w:ilvl w:val="0"/>
          <w:numId w:val="45"/>
        </w:numPr>
        <w:rPr>
          <w:rFonts w:ascii="Arial" w:cs="Arial" w:eastAsia="Arial" w:hAnsi="Arial"/>
          <w:sz w:val="18"/>
          <w:szCs w:val="18"/>
          <w:color w:val="002453"/>
        </w:rPr>
      </w:pPr>
      <w:r>
        <w:rPr>
          <w:rFonts w:ascii="Arial" w:cs="Arial" w:eastAsia="Arial" w:hAnsi="Arial"/>
          <w:sz w:val="18"/>
          <w:szCs w:val="18"/>
          <w:color w:val="auto"/>
        </w:rPr>
        <w:t>to ratify the appointment of PricewaterhouseCoopers LLP as our independent registered public accounting firm for the fiscal year ending December 31, 2023; and</w:t>
      </w:r>
    </w:p>
    <w:p>
      <w:pPr>
        <w:spacing w:after="0" w:line="89" w:lineRule="exact"/>
        <w:rPr>
          <w:rFonts w:ascii="Arial" w:cs="Arial" w:eastAsia="Arial" w:hAnsi="Arial"/>
          <w:sz w:val="18"/>
          <w:szCs w:val="18"/>
          <w:color w:val="002453"/>
        </w:rPr>
      </w:pPr>
    </w:p>
    <w:p>
      <w:pPr>
        <w:ind w:left="1340" w:right="480" w:hanging="218"/>
        <w:spacing w:after="0" w:line="261" w:lineRule="auto"/>
        <w:tabs>
          <w:tab w:leader="none" w:pos="1340" w:val="left"/>
        </w:tabs>
        <w:numPr>
          <w:ilvl w:val="0"/>
          <w:numId w:val="45"/>
        </w:numPr>
        <w:rPr>
          <w:rFonts w:ascii="Arial" w:cs="Arial" w:eastAsia="Arial" w:hAnsi="Arial"/>
          <w:sz w:val="18"/>
          <w:szCs w:val="18"/>
          <w:color w:val="002453"/>
        </w:rPr>
      </w:pPr>
      <w:r>
        <w:rPr>
          <w:rFonts w:ascii="Arial" w:cs="Arial" w:eastAsia="Arial" w:hAnsi="Arial"/>
          <w:sz w:val="18"/>
          <w:szCs w:val="18"/>
          <w:color w:val="auto"/>
        </w:rPr>
        <w:t>to amend and restate the Company’s Certificate of Incorporation to reflect new Delaware law provisions regarding officer exculpation.</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recommends that you vote FOR each of the four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220345</wp:posOffset>
            </wp:positionV>
            <wp:extent cx="754380" cy="2400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03"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Our amended and restated bylaws (our “</w:t>
      </w:r>
      <w:r>
        <w:rPr>
          <w:rFonts w:ascii="Arial" w:cs="Arial" w:eastAsia="Arial" w:hAnsi="Arial"/>
          <w:sz w:val="18"/>
          <w:szCs w:val="18"/>
          <w:b w:val="1"/>
          <w:bCs w:val="1"/>
          <w:color w:val="auto"/>
        </w:rPr>
        <w:t>bylaws</w:t>
      </w:r>
      <w:r>
        <w:rPr>
          <w:rFonts w:ascii="Arial" w:cs="Arial" w:eastAsia="Arial" w:hAnsi="Arial"/>
          <w:sz w:val="18"/>
          <w:szCs w:val="18"/>
          <w:color w:val="auto"/>
        </w:rPr>
        <w:t>”)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 come before the Annual Meeting. If any other matter comes before the Annual Meeting, the proxy holders appointed by our board of directors will have discretion to vote on those matters.</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 may vote at the meeting?</w:t>
      </w:r>
    </w:p>
    <w:p>
      <w:pPr>
        <w:spacing w:after="0" w:line="139" w:lineRule="exact"/>
        <w:rPr>
          <w:sz w:val="20"/>
          <w:szCs w:val="20"/>
          <w:color w:val="auto"/>
        </w:rPr>
      </w:pPr>
    </w:p>
    <w:p>
      <w:pPr>
        <w:ind w:left="760" w:right="240"/>
        <w:spacing w:after="0" w:line="246" w:lineRule="auto"/>
        <w:rPr>
          <w:sz w:val="20"/>
          <w:szCs w:val="20"/>
          <w:color w:val="auto"/>
        </w:rPr>
      </w:pPr>
      <w:r>
        <w:rPr>
          <w:rFonts w:ascii="Arial" w:cs="Arial" w:eastAsia="Arial" w:hAnsi="Arial"/>
          <w:sz w:val="18"/>
          <w:szCs w:val="18"/>
          <w:color w:val="auto"/>
        </w:rPr>
        <w:t>Holders of Class A common stock, Class C common stock and Class D common stock, together as a single class, as of the close of business on April 18, 2023, the Record Date, may vote at the Annual Meeting.</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many votes do I have?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the Record Date, there were:</w:t>
      </w:r>
    </w:p>
    <w:p>
      <w:pPr>
        <w:spacing w:after="0" w:line="117" w:lineRule="exact"/>
        <w:rPr>
          <w:sz w:val="20"/>
          <w:szCs w:val="20"/>
          <w:color w:val="auto"/>
        </w:rPr>
      </w:pPr>
    </w:p>
    <w:p>
      <w:pPr>
        <w:ind w:left="1340" w:hanging="218"/>
        <w:spacing w:after="0"/>
        <w:tabs>
          <w:tab w:leader="none" w:pos="1340" w:val="left"/>
        </w:tabs>
        <w:numPr>
          <w:ilvl w:val="0"/>
          <w:numId w:val="46"/>
        </w:numPr>
        <w:rPr>
          <w:rFonts w:ascii="Arial" w:cs="Arial" w:eastAsia="Arial" w:hAnsi="Arial"/>
          <w:sz w:val="18"/>
          <w:szCs w:val="18"/>
          <w:color w:val="002453"/>
        </w:rPr>
      </w:pPr>
      <w:r>
        <w:rPr>
          <w:rFonts w:ascii="Arial" w:cs="Arial" w:eastAsia="Arial" w:hAnsi="Arial"/>
          <w:sz w:val="18"/>
          <w:szCs w:val="18"/>
          <w:color w:val="auto"/>
        </w:rPr>
        <w:t>95,833,520 shares of Class A common stock outstanding;</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46"/>
        </w:numPr>
        <w:rPr>
          <w:rFonts w:ascii="Arial" w:cs="Arial" w:eastAsia="Arial" w:hAnsi="Arial"/>
          <w:sz w:val="18"/>
          <w:szCs w:val="18"/>
          <w:color w:val="002453"/>
        </w:rPr>
      </w:pPr>
      <w:r>
        <w:rPr>
          <w:rFonts w:ascii="Arial" w:cs="Arial" w:eastAsia="Arial" w:hAnsi="Arial"/>
          <w:sz w:val="18"/>
          <w:szCs w:val="18"/>
          <w:color w:val="auto"/>
        </w:rPr>
        <w:t>8,856,531 shares of Class C common stock outstanding; and</w:t>
      </w:r>
    </w:p>
    <w:p>
      <w:pPr>
        <w:spacing w:after="0" w:line="103" w:lineRule="exact"/>
        <w:rPr>
          <w:rFonts w:ascii="Arial" w:cs="Arial" w:eastAsia="Arial" w:hAnsi="Arial"/>
          <w:sz w:val="18"/>
          <w:szCs w:val="18"/>
          <w:color w:val="002453"/>
        </w:rPr>
      </w:pPr>
    </w:p>
    <w:p>
      <w:pPr>
        <w:ind w:left="760" w:right="4080" w:firstLine="362"/>
        <w:spacing w:after="0" w:line="397" w:lineRule="auto"/>
        <w:tabs>
          <w:tab w:leader="none" w:pos="1336" w:val="left"/>
        </w:tabs>
        <w:numPr>
          <w:ilvl w:val="0"/>
          <w:numId w:val="46"/>
        </w:numPr>
        <w:rPr>
          <w:rFonts w:ascii="Arial" w:cs="Arial" w:eastAsia="Arial" w:hAnsi="Arial"/>
          <w:sz w:val="17"/>
          <w:szCs w:val="17"/>
          <w:color w:val="002453"/>
        </w:rPr>
      </w:pPr>
      <w:r>
        <w:rPr>
          <w:rFonts w:ascii="Arial" w:cs="Arial" w:eastAsia="Arial" w:hAnsi="Arial"/>
          <w:sz w:val="17"/>
          <w:szCs w:val="17"/>
          <w:color w:val="auto"/>
        </w:rPr>
        <w:t>60,091,740 shares of Class D common stock outstanding. There are no shares of Class B common stock outstanding.</w:t>
      </w:r>
    </w:p>
    <w:p>
      <w:pPr>
        <w:spacing w:after="0" w:line="1" w:lineRule="exact"/>
        <w:rPr>
          <w:sz w:val="20"/>
          <w:szCs w:val="20"/>
          <w:color w:val="auto"/>
        </w:rPr>
      </w:pPr>
    </w:p>
    <w:p>
      <w:pPr>
        <w:ind w:left="760" w:right="80"/>
        <w:spacing w:after="0" w:line="243" w:lineRule="auto"/>
        <w:rPr>
          <w:sz w:val="20"/>
          <w:szCs w:val="20"/>
          <w:color w:val="auto"/>
        </w:rPr>
      </w:pPr>
      <w:r>
        <w:rPr>
          <w:rFonts w:ascii="Arial" w:cs="Arial" w:eastAsia="Arial" w:hAnsi="Arial"/>
          <w:sz w:val="18"/>
          <w:szCs w:val="18"/>
          <w:color w:val="auto"/>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vote is required for each proposal?</w:t>
      </w:r>
    </w:p>
    <w:p>
      <w:pPr>
        <w:spacing w:after="0" w:line="139"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 We do not have cumulative voting.</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approval, on an advisory basis, of the compensation of our named executive officers, the ratification of the</w:t>
      </w:r>
    </w:p>
    <w:p>
      <w:pPr>
        <w:ind w:left="760"/>
        <w:spacing w:after="0" w:line="234" w:lineRule="auto"/>
        <w:rPr>
          <w:sz w:val="20"/>
          <w:szCs w:val="20"/>
          <w:color w:val="auto"/>
        </w:rPr>
      </w:pPr>
      <w:r>
        <w:rPr>
          <w:rFonts w:ascii="Arial" w:cs="Arial" w:eastAsia="Arial" w:hAnsi="Arial"/>
          <w:sz w:val="18"/>
          <w:szCs w:val="18"/>
          <w:color w:val="auto"/>
        </w:rPr>
        <w:t>appointment of the Company’s independent registered public accounting firm for the fiscal year ending</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2023, the amendment and restatement of our Certificate of Incorporation to reflect new Delaware law</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provisions regarding officer exculpation, and any other proposals that may come before the Annual Meeting will be</w:t>
      </w:r>
    </w:p>
    <w:p>
      <w:pPr>
        <w:ind w:left="760"/>
        <w:spacing w:after="0" w:line="234" w:lineRule="auto"/>
        <w:rPr>
          <w:sz w:val="20"/>
          <w:szCs w:val="20"/>
          <w:color w:val="auto"/>
        </w:rPr>
      </w:pPr>
      <w:r>
        <w:rPr>
          <w:rFonts w:ascii="Arial" w:cs="Arial" w:eastAsia="Arial" w:hAnsi="Arial"/>
          <w:sz w:val="18"/>
          <w:szCs w:val="18"/>
          <w:color w:val="auto"/>
        </w:rPr>
        <w:t>determined by the affirmative vote of a majority in voting power of shares of stock present or represented by proxy</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entitled to vote thereon.</w:t>
      </w:r>
    </w:p>
    <w:p>
      <w:pPr>
        <w:spacing w:after="0" w:line="117" w:lineRule="exact"/>
        <w:rPr>
          <w:sz w:val="20"/>
          <w:szCs w:val="20"/>
          <w:color w:val="auto"/>
        </w:rPr>
      </w:pPr>
    </w:p>
    <w:p>
      <w:pPr>
        <w:ind w:left="760" w:right="160"/>
        <w:spacing w:after="0" w:line="243" w:lineRule="auto"/>
        <w:rPr>
          <w:sz w:val="20"/>
          <w:szCs w:val="20"/>
          <w:color w:val="auto"/>
        </w:rPr>
      </w:pPr>
      <w:r>
        <w:rPr>
          <w:rFonts w:ascii="Arial" w:cs="Arial" w:eastAsia="Arial" w:hAnsi="Arial"/>
          <w:sz w:val="18"/>
          <w:szCs w:val="18"/>
          <w:color w:val="auto"/>
        </w:rPr>
        <w:t>The Founder Member controls approximately 85% of the combined voting power of our outstanding common stock and, as a result, controls any action requiring the general approval of our stockholders, including the election of our board of directors. The Founder Member has informed us that it intends to vote “FOR” the three nominated directors.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are abstentions and broker non-votes counted?</w:t>
      </w:r>
    </w:p>
    <w:p>
      <w:pPr>
        <w:spacing w:after="0" w:line="139" w:lineRule="exact"/>
        <w:rPr>
          <w:sz w:val="20"/>
          <w:szCs w:val="20"/>
          <w:color w:val="auto"/>
        </w:rPr>
      </w:pPr>
    </w:p>
    <w:p>
      <w:pPr>
        <w:ind w:left="760" w:right="60"/>
        <w:spacing w:after="0" w:line="241" w:lineRule="auto"/>
        <w:rPr>
          <w:sz w:val="20"/>
          <w:szCs w:val="20"/>
          <w:color w:val="auto"/>
        </w:rPr>
      </w:pPr>
      <w:r>
        <w:rPr>
          <w:rFonts w:ascii="Arial" w:cs="Arial" w:eastAsia="Arial" w:hAnsi="Arial"/>
          <w:sz w:val="18"/>
          <w:szCs w:val="18"/>
          <w:color w:val="auto"/>
        </w:rPr>
        <w:t>For the purposes of Proposal 1, abstentions (shares present at the meeting or by proxy that are voted “abstain”) and broker non-votes (explained below) are counted for the purpose of establishing the presence of a quorum but have no effect. For the purposes of Proposals 2 and 4, broker non-votes have no effect, and abstentions have the same effect as a vote “against” the proposal. For the purposes of Proposal 3, abstentions have the same effect as a vote “against” the proposal, and broker non-votes are not expected as the proposal is a “routine” proposal.</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constitutes a “quorum”?</w:t>
      </w:r>
    </w:p>
    <w:p>
      <w:pPr>
        <w:spacing w:after="0" w:line="139"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The holders of a majority of the voting power of the combined shares of Class A common stock, Class B common stock, Class C common stock and Class D common stock issued, outstanding and entitled to vote, either present or represented by proxy, constitute a quorum.</w:t>
      </w:r>
    </w:p>
    <w:p>
      <w:pPr>
        <w:spacing w:after="0" w:line="86" w:lineRule="exact"/>
        <w:rPr>
          <w:sz w:val="20"/>
          <w:szCs w:val="20"/>
          <w:color w:val="auto"/>
        </w:rPr>
      </w:pPr>
    </w:p>
    <w:p>
      <w:pPr>
        <w:ind w:left="760" w:right="560"/>
        <w:spacing w:after="0" w:line="271" w:lineRule="auto"/>
        <w:rPr>
          <w:sz w:val="20"/>
          <w:szCs w:val="20"/>
          <w:color w:val="auto"/>
        </w:rPr>
      </w:pPr>
      <w:r>
        <w:rPr>
          <w:rFonts w:ascii="Arial" w:cs="Arial" w:eastAsia="Arial" w:hAnsi="Arial"/>
          <w:sz w:val="18"/>
          <w:szCs w:val="18"/>
          <w:b w:val="1"/>
          <w:bCs w:val="1"/>
          <w:i w:val="1"/>
          <w:iCs w:val="1"/>
          <w:color w:val="00C08A"/>
        </w:rPr>
        <w:t>What is the difference between a stockholder of record and a beneficial owner of shares held in street name?</w:t>
      </w:r>
    </w:p>
    <w:p>
      <w:pPr>
        <w:spacing w:after="0" w:line="50" w:lineRule="exact"/>
        <w:rPr>
          <w:sz w:val="20"/>
          <w:szCs w:val="20"/>
          <w:color w:val="auto"/>
        </w:rPr>
      </w:pPr>
    </w:p>
    <w:p>
      <w:pPr>
        <w:ind w:left="1340" w:right="160" w:hanging="218"/>
        <w:spacing w:after="0" w:line="282" w:lineRule="auto"/>
        <w:tabs>
          <w:tab w:leader="none" w:pos="1340" w:val="left"/>
        </w:tabs>
        <w:numPr>
          <w:ilvl w:val="0"/>
          <w:numId w:val="47"/>
        </w:numPr>
        <w:rPr>
          <w:rFonts w:ascii="Arial" w:cs="Arial" w:eastAsia="Arial" w:hAnsi="Arial"/>
          <w:sz w:val="18"/>
          <w:szCs w:val="18"/>
          <w:color w:val="002453"/>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our transfer agent,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Transfer &amp; Trust Company, LLC, you are a stockholder of record.</w:t>
      </w:r>
    </w:p>
    <w:p>
      <w:pPr>
        <w:spacing w:after="0" w:line="25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GENERAL INFORMATION</w:t>
      </w:r>
    </w:p>
    <w:p>
      <w:pPr>
        <w:spacing w:after="0" w:line="207" w:lineRule="exact"/>
        <w:rPr>
          <w:sz w:val="20"/>
          <w:szCs w:val="20"/>
          <w:color w:val="auto"/>
        </w:rPr>
      </w:pPr>
    </w:p>
    <w:p>
      <w:pPr>
        <w:ind w:left="1340" w:right="120" w:hanging="218"/>
        <w:spacing w:after="0" w:line="258" w:lineRule="auto"/>
        <w:tabs>
          <w:tab w:leader="none" w:pos="1340" w:val="left"/>
        </w:tabs>
        <w:numPr>
          <w:ilvl w:val="0"/>
          <w:numId w:val="48"/>
        </w:numPr>
        <w:rPr>
          <w:rFonts w:ascii="Arial" w:cs="Arial" w:eastAsia="Arial" w:hAnsi="Arial"/>
          <w:sz w:val="18"/>
          <w:szCs w:val="18"/>
          <w:color w:val="002453"/>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in an account at a brokerage firm,</w:t>
      </w:r>
      <w:r>
        <w:rPr>
          <w:rFonts w:ascii="Arial" w:cs="Arial" w:eastAsia="Arial" w:hAnsi="Arial"/>
          <w:sz w:val="18"/>
          <w:szCs w:val="18"/>
          <w:i w:val="1"/>
          <w:iCs w:val="1"/>
          <w:color w:val="auto"/>
        </w:rPr>
        <w:t xml:space="preserve"> </w:t>
      </w:r>
      <w:r>
        <w:rPr>
          <w:rFonts w:ascii="Arial" w:cs="Arial" w:eastAsia="Arial" w:hAnsi="Arial"/>
          <w:sz w:val="18"/>
          <w:szCs w:val="18"/>
          <w:color w:val="auto"/>
        </w:rPr>
        <w:t>bank, broker dealer or other similar organization, then you are a beneficial owner of shares held in street name. The organization holding your account is considered the stockholder of record. As a beneficial owner, you have the right to direct the organization holding your account on how to vote the shares you hold in your account.</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do I vote?</w:t>
      </w:r>
    </w:p>
    <w:p>
      <w:pPr>
        <w:spacing w:after="0" w:line="121" w:lineRule="exact"/>
        <w:rPr>
          <w:sz w:val="20"/>
          <w:szCs w:val="20"/>
          <w:color w:val="auto"/>
        </w:rPr>
      </w:pPr>
    </w:p>
    <w:p>
      <w:pPr>
        <w:ind w:left="1340" w:right="100" w:hanging="218"/>
        <w:spacing w:after="0" w:line="256" w:lineRule="auto"/>
        <w:tabs>
          <w:tab w:leader="none" w:pos="1340" w:val="left"/>
        </w:tabs>
        <w:numPr>
          <w:ilvl w:val="0"/>
          <w:numId w:val="49"/>
        </w:numPr>
        <w:rPr>
          <w:rFonts w:ascii="Arial" w:cs="Arial" w:eastAsia="Arial" w:hAnsi="Arial"/>
          <w:sz w:val="18"/>
          <w:szCs w:val="18"/>
          <w:color w:val="002453"/>
        </w:rPr>
      </w:pPr>
      <w:r>
        <w:rPr>
          <w:rFonts w:ascii="Arial" w:cs="Arial" w:eastAsia="Arial" w:hAnsi="Arial"/>
          <w:sz w:val="18"/>
          <w:szCs w:val="18"/>
          <w:i w:val="1"/>
          <w:iCs w:val="1"/>
          <w:color w:val="auto"/>
        </w:rPr>
        <w:t>Vote by Internet</w:t>
      </w:r>
      <w:r>
        <w:rPr>
          <w:rFonts w:ascii="Arial" w:cs="Arial" w:eastAsia="Arial" w:hAnsi="Arial"/>
          <w:sz w:val="18"/>
          <w:szCs w:val="18"/>
          <w:color w:val="auto"/>
        </w:rPr>
        <w:t>. Visit www.proxyvote.com to vote via the Internet. Stockholders of record may submit</w:t>
      </w:r>
      <w:r>
        <w:rPr>
          <w:rFonts w:ascii="Arial" w:cs="Arial" w:eastAsia="Arial" w:hAnsi="Arial"/>
          <w:sz w:val="18"/>
          <w:szCs w:val="18"/>
          <w:i w:val="1"/>
          <w:iCs w:val="1"/>
          <w:color w:val="auto"/>
        </w:rPr>
        <w:t xml:space="preserve"> </w:t>
      </w:r>
      <w:r>
        <w:rPr>
          <w:rFonts w:ascii="Arial" w:cs="Arial" w:eastAsia="Arial" w:hAnsi="Arial"/>
          <w:sz w:val="18"/>
          <w:szCs w:val="18"/>
          <w:color w:val="auto"/>
        </w:rPr>
        <w:t>proxies over the Internet by following the instructions on the Notice of Internet Availability 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p>
    <w:p>
      <w:pPr>
        <w:spacing w:after="0" w:line="92" w:lineRule="exact"/>
        <w:rPr>
          <w:rFonts w:ascii="Arial" w:cs="Arial" w:eastAsia="Arial" w:hAnsi="Arial"/>
          <w:sz w:val="18"/>
          <w:szCs w:val="18"/>
          <w:color w:val="002453"/>
        </w:rPr>
      </w:pPr>
    </w:p>
    <w:p>
      <w:pPr>
        <w:ind w:left="1340" w:right="100" w:hanging="218"/>
        <w:spacing w:after="0" w:line="255" w:lineRule="auto"/>
        <w:tabs>
          <w:tab w:leader="none" w:pos="1340" w:val="left"/>
        </w:tabs>
        <w:numPr>
          <w:ilvl w:val="0"/>
          <w:numId w:val="49"/>
        </w:numPr>
        <w:rPr>
          <w:rFonts w:ascii="Arial" w:cs="Arial" w:eastAsia="Arial" w:hAnsi="Arial"/>
          <w:sz w:val="18"/>
          <w:szCs w:val="18"/>
          <w:color w:val="002453"/>
        </w:rPr>
      </w:pPr>
      <w:r>
        <w:rPr>
          <w:rFonts w:ascii="Arial" w:cs="Arial" w:eastAsia="Arial" w:hAnsi="Arial"/>
          <w:sz w:val="18"/>
          <w:szCs w:val="18"/>
          <w:i w:val="1"/>
          <w:iCs w:val="1"/>
          <w:color w:val="auto"/>
        </w:rPr>
        <w:t>Vote by Telephone</w:t>
      </w:r>
      <w:r>
        <w:rPr>
          <w:rFonts w:ascii="Arial" w:cs="Arial" w:eastAsia="Arial" w:hAnsi="Arial"/>
          <w:sz w:val="18"/>
          <w:szCs w:val="18"/>
          <w:color w:val="auto"/>
        </w:rPr>
        <w:t>. Call toll free 1 800 690 6903 in the United States or from foreign countries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touch tone telephone and follow the instructions. Stockholders of record may submit proxies using any touch 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 tone telephone from within the United States by calling the number specified on the voting instruction forms provided by their brokers, trustees, banks or other nominees.</w:t>
      </w:r>
    </w:p>
    <w:p>
      <w:pPr>
        <w:spacing w:after="0" w:line="80" w:lineRule="exact"/>
        <w:rPr>
          <w:rFonts w:ascii="Arial" w:cs="Arial" w:eastAsia="Arial" w:hAnsi="Arial"/>
          <w:sz w:val="18"/>
          <w:szCs w:val="18"/>
          <w:color w:val="002453"/>
        </w:rPr>
      </w:pPr>
    </w:p>
    <w:p>
      <w:pPr>
        <w:ind w:left="1340" w:right="60" w:hanging="218"/>
        <w:spacing w:after="0" w:line="254" w:lineRule="auto"/>
        <w:tabs>
          <w:tab w:leader="none" w:pos="1340" w:val="left"/>
        </w:tabs>
        <w:numPr>
          <w:ilvl w:val="0"/>
          <w:numId w:val="49"/>
        </w:numPr>
        <w:rPr>
          <w:rFonts w:ascii="Arial" w:cs="Arial" w:eastAsia="Arial" w:hAnsi="Arial"/>
          <w:sz w:val="18"/>
          <w:szCs w:val="18"/>
          <w:color w:val="002453"/>
        </w:rPr>
      </w:pPr>
      <w:r>
        <w:rPr>
          <w:rFonts w:ascii="Arial" w:cs="Arial" w:eastAsia="Arial" w:hAnsi="Arial"/>
          <w:sz w:val="18"/>
          <w:szCs w:val="18"/>
          <w:i w:val="1"/>
          <w:iCs w:val="1"/>
          <w:color w:val="auto"/>
        </w:rPr>
        <w:t>Vote by Mail</w:t>
      </w:r>
      <w:r>
        <w:rPr>
          <w:rFonts w:ascii="Arial" w:cs="Arial" w:eastAsia="Arial" w:hAnsi="Arial"/>
          <w:sz w:val="18"/>
          <w:szCs w:val="18"/>
          <w:color w:val="auto"/>
        </w:rPr>
        <w:t>. Stockholders of record may submit proxies by mail by requesting printed proxy cards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signing and dating the printed proxy cards and mailing them in the preaddressed envelopes that will accompany the printed Proxy Materials. Beneficial owners may vote by completing, signing and dating the voting instruction forms provided and mailing them in 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each proposal.</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can I vote my shares in person and participate at the Annual Meeting?</w:t>
      </w:r>
    </w:p>
    <w:p>
      <w:pPr>
        <w:spacing w:after="0" w:line="139"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The Annual Meeting will be held in a virtual meeting format only. Stockholders may participate in the annual meeting by visiting the following website: www.virtualshareholdermeeting.com/VIRT2023.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Can I change my vote after submitting a proxy?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Stockholders of record may revoke their proxy at any time before it is exercised at the Annual Meeting by</w:t>
      </w:r>
    </w:p>
    <w:p>
      <w:pPr>
        <w:spacing w:after="0" w:line="9" w:lineRule="exact"/>
        <w:rPr>
          <w:sz w:val="20"/>
          <w:szCs w:val="20"/>
          <w:color w:val="auto"/>
        </w:rPr>
      </w:pPr>
    </w:p>
    <w:p>
      <w:pPr>
        <w:ind w:left="760" w:right="260" w:firstLine="2"/>
        <w:spacing w:after="0" w:line="252" w:lineRule="auto"/>
        <w:tabs>
          <w:tab w:leader="none" w:pos="9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delivering written notice, bearing a date later than the proxy, stating that the proxy is revoked to Virtu Financial, Inc., 1633 Broadway, New York, New York 10019, Attn: Secretary, (ii) submitting a later dated proxy relating to the same shares by mail, telephone or the Internet prior to the vote at the Annual Meeting or (iii) attending the Annual Meeting and voting electronically during the Annual Meeting. If you are a beneficial stockholder, you may revoke your proxy or change your vote only by following the separate instructions provided by your broker, trust, bank or other nominee.</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If I hold shares in street name through a broker, can the broker vote my shares for me?</w:t>
      </w:r>
    </w:p>
    <w:p>
      <w:pPr>
        <w:spacing w:after="0" w:line="139" w:lineRule="exact"/>
        <w:rPr>
          <w:sz w:val="20"/>
          <w:szCs w:val="20"/>
          <w:color w:val="auto"/>
        </w:rPr>
      </w:pPr>
    </w:p>
    <w:p>
      <w:pPr>
        <w:ind w:left="760" w:right="80"/>
        <w:spacing w:after="0" w:line="291" w:lineRule="auto"/>
        <w:rPr>
          <w:sz w:val="20"/>
          <w:szCs w:val="20"/>
          <w:color w:val="auto"/>
        </w:rPr>
      </w:pPr>
      <w:r>
        <w:rPr>
          <w:rFonts w:ascii="Arial" w:cs="Arial" w:eastAsia="Arial" w:hAnsi="Arial"/>
          <w:sz w:val="17"/>
          <w:szCs w:val="17"/>
          <w:color w:val="auto"/>
        </w:rPr>
        <w:t>If you hold your shares in street name and you do not vote, the broker or other organization holding your shares can vote on certain “routine” proposals but cannot vote on other proposals. Proposals 1, 2, and 4 are not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187960</wp:posOffset>
            </wp:positionV>
            <wp:extent cx="754380" cy="2400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right="300"/>
        <w:spacing w:after="0" w:line="248" w:lineRule="auto"/>
        <w:rPr>
          <w:sz w:val="20"/>
          <w:szCs w:val="20"/>
          <w:color w:val="auto"/>
        </w:rPr>
      </w:pPr>
      <w:r>
        <w:rPr>
          <w:rFonts w:ascii="Arial" w:cs="Arial" w:eastAsia="Arial" w:hAnsi="Arial"/>
          <w:sz w:val="18"/>
          <w:szCs w:val="18"/>
          <w:color w:val="auto"/>
        </w:rPr>
        <w:t>“routine” proposals. Proposal 3 is a “routine” proposal. If you hold shares in street name and do not vote on proposal 1, 2 or 4, your shares will not be voted in respect of those proposals and will be counted as “broker non-votes.”</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 is paying for this proxy solicitation?</w:t>
      </w:r>
    </w:p>
    <w:p>
      <w:pPr>
        <w:spacing w:after="0" w:line="139" w:lineRule="exact"/>
        <w:rPr>
          <w:sz w:val="20"/>
          <w:szCs w:val="20"/>
          <w:color w:val="auto"/>
        </w:rPr>
      </w:pPr>
    </w:p>
    <w:p>
      <w:pPr>
        <w:ind w:left="760" w:right="180"/>
        <w:spacing w:after="0" w:line="259" w:lineRule="auto"/>
        <w:rPr>
          <w:sz w:val="20"/>
          <w:szCs w:val="20"/>
          <w:color w:val="auto"/>
        </w:rPr>
      </w:pPr>
      <w:r>
        <w:rPr>
          <w:rFonts w:ascii="Arial" w:cs="Arial" w:eastAsia="Arial" w:hAnsi="Arial"/>
          <w:sz w:val="17"/>
          <w:szCs w:val="17"/>
          <w:color w:val="auto"/>
        </w:rPr>
        <w:t>We are paying the costs of the solicitation of proxies, which we anticipate will be approximately $10,000.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do I need to do if I want to attend the meeting?</w:t>
      </w:r>
    </w:p>
    <w:p>
      <w:pPr>
        <w:spacing w:after="0" w:line="139" w:lineRule="exact"/>
        <w:rPr>
          <w:sz w:val="20"/>
          <w:szCs w:val="20"/>
          <w:color w:val="auto"/>
        </w:rPr>
      </w:pPr>
    </w:p>
    <w:p>
      <w:pPr>
        <w:ind w:left="760" w:right="140"/>
        <w:spacing w:after="0" w:line="243" w:lineRule="auto"/>
        <w:rPr>
          <w:sz w:val="20"/>
          <w:szCs w:val="20"/>
          <w:color w:val="auto"/>
        </w:rPr>
      </w:pPr>
      <w:r>
        <w:rPr>
          <w:rFonts w:ascii="Arial" w:cs="Arial" w:eastAsia="Arial" w:hAnsi="Arial"/>
          <w:sz w:val="18"/>
          <w:szCs w:val="18"/>
          <w:color w:val="auto"/>
        </w:rPr>
        <w:t>To attend and vote at the virtual Annual Meeting, you will need your 16-digit control number, included in your Notice of Internet Availability, on your proxy card or on the instructions that accompany your proxy materials. You may electronically attend the Annual Meeting, vote and submit a question during the Annual Meeting by visiting www.virtualshareholdermeeting.com/VIRT2023 and using your 16-digit control number to enter the meeting.</w:t>
      </w:r>
    </w:p>
    <w:p>
      <w:pPr>
        <w:spacing w:after="0" w:line="93" w:lineRule="exact"/>
        <w:rPr>
          <w:sz w:val="20"/>
          <w:szCs w:val="20"/>
          <w:color w:val="auto"/>
        </w:rPr>
      </w:pPr>
    </w:p>
    <w:p>
      <w:pPr>
        <w:ind w:left="760" w:right="340"/>
        <w:spacing w:after="0" w:line="246"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Virtual Shareholder Meeting log in page.</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Where can I find voting results?</w:t>
      </w:r>
    </w:p>
    <w:p>
      <w:pPr>
        <w:spacing w:after="0" w:line="139" w:lineRule="exact"/>
        <w:rPr>
          <w:sz w:val="20"/>
          <w:szCs w:val="20"/>
          <w:color w:val="auto"/>
        </w:rPr>
      </w:pPr>
    </w:p>
    <w:p>
      <w:pPr>
        <w:ind w:left="760" w:right="600"/>
        <w:spacing w:after="0" w:line="246" w:lineRule="auto"/>
        <w:rPr>
          <w:sz w:val="20"/>
          <w:szCs w:val="20"/>
          <w:color w:val="auto"/>
        </w:rPr>
      </w:pPr>
      <w:r>
        <w:rPr>
          <w:rFonts w:ascii="Arial" w:cs="Arial" w:eastAsia="Arial" w:hAnsi="Arial"/>
          <w:sz w:val="18"/>
          <w:szCs w:val="18"/>
          <w:color w:val="auto"/>
        </w:rPr>
        <w:t>Final voting results from the Annual Meeting will be filed with the SEC on a Current Report on Form 8-K on or before the fourth business day after the Annual Meeting concludes.</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I share an address with another stockholder. Why did we receive only one set of Proxy Materials?</w:t>
      </w:r>
    </w:p>
    <w:p>
      <w:pPr>
        <w:spacing w:after="0" w:line="139" w:lineRule="exact"/>
        <w:rPr>
          <w:sz w:val="20"/>
          <w:szCs w:val="20"/>
          <w:color w:val="auto"/>
        </w:rPr>
      </w:pPr>
    </w:p>
    <w:p>
      <w:pPr>
        <w:ind w:left="760" w:right="160"/>
        <w:spacing w:after="0" w:line="241" w:lineRule="auto"/>
        <w:rPr>
          <w:sz w:val="20"/>
          <w:szCs w:val="20"/>
          <w:color w:val="auto"/>
        </w:rPr>
      </w:pPr>
      <w:r>
        <w:rPr>
          <w:rFonts w:ascii="Arial" w:cs="Arial" w:eastAsia="Arial" w:hAnsi="Arial"/>
          <w:sz w:val="18"/>
          <w:szCs w:val="18"/>
          <w:color w:val="auto"/>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2022, and/or our Notice of Internet Availability of Proxy Materials, as requested, to a stockholder at a shared address to which a single copy of these documents was delivered, or to deliver a single copy in lieu of multiple copies to a single household if preferred. To make such a request, please follow the instructions on our Notice of Internet Availability of Proxy Materials.</w:t>
      </w:r>
    </w:p>
    <w:p>
      <w:pPr>
        <w:spacing w:after="0" w:line="109" w:lineRule="exact"/>
        <w:rPr>
          <w:sz w:val="20"/>
          <w:szCs w:val="20"/>
          <w:color w:val="auto"/>
        </w:rPr>
      </w:pPr>
    </w:p>
    <w:p>
      <w:pPr>
        <w:ind w:left="760" w:right="180"/>
        <w:spacing w:after="0" w:line="239" w:lineRule="auto"/>
        <w:rPr>
          <w:sz w:val="20"/>
          <w:szCs w:val="20"/>
          <w:color w:val="auto"/>
        </w:rPr>
      </w:pPr>
      <w:r>
        <w:rPr>
          <w:rFonts w:ascii="Arial" w:cs="Arial" w:eastAsia="Arial" w:hAnsi="Arial"/>
          <w:sz w:val="18"/>
          <w:szCs w:val="18"/>
          <w:color w:val="auto"/>
        </w:rPr>
        <w:t>If your shares are held by a brokerage firm or bank and you prefer to receive separate copies of our proxy statement, our annual report including our Form 10-K for the fiscal year ended December 31, 2022,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may request to opt in to or opt out of “householding” either now or in the future, by contacting our Investor Relations department at our executive office by calling (212) 418-0100.</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May I ask questions at the Annual Meeting?</w:t>
      </w:r>
    </w:p>
    <w:p>
      <w:pPr>
        <w:spacing w:after="0" w:line="139" w:lineRule="exact"/>
        <w:rPr>
          <w:sz w:val="20"/>
          <w:szCs w:val="20"/>
          <w:color w:val="auto"/>
        </w:rPr>
      </w:pPr>
    </w:p>
    <w:p>
      <w:pPr>
        <w:ind w:left="760" w:right="140"/>
        <w:spacing w:after="0" w:line="241" w:lineRule="auto"/>
        <w:rPr>
          <w:sz w:val="20"/>
          <w:szCs w:val="20"/>
          <w:color w:val="auto"/>
        </w:rPr>
      </w:pPr>
      <w:r>
        <w:rPr>
          <w:rFonts w:ascii="Arial" w:cs="Arial" w:eastAsia="Arial" w:hAnsi="Arial"/>
          <w:sz w:val="18"/>
          <w:szCs w:val="18"/>
          <w:color w:val="auto"/>
        </w:rPr>
        <w:t>Yes. Stockholders will have the same opportunity to participate at the virtual Annual Meeting as they would at an annual meeting of the Company held in person. Stockholders may submit questions live during the meeting by accessing the meeting at www.virtualshareholdermeeting.com/VIRT2023, typing a question into the “Ask a Question” field, and clicking “Submit.” Only questions submitted by stockholders on subjects pertinent to meeting matters will be answered during the meeting, subject to time constraints. Additional information regarding the ability of stockholders to ask questions during the Annual Meeting, related rules of conduct, and other materials for the Annual Meeting will be available during the Annual Meeting at www.virtualshareholdermeeting.com/VIRT2023.</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May guests attend the Annual Meeting?</w:t>
      </w:r>
    </w:p>
    <w:p>
      <w:pPr>
        <w:spacing w:after="0" w:line="139" w:lineRule="exact"/>
        <w:rPr>
          <w:sz w:val="20"/>
          <w:szCs w:val="20"/>
          <w:color w:val="auto"/>
        </w:rPr>
      </w:pPr>
    </w:p>
    <w:p>
      <w:pPr>
        <w:ind w:left="760" w:right="300"/>
        <w:spacing w:after="0" w:line="248" w:lineRule="auto"/>
        <w:rPr>
          <w:sz w:val="20"/>
          <w:szCs w:val="20"/>
          <w:color w:val="auto"/>
        </w:rPr>
      </w:pPr>
      <w:r>
        <w:rPr>
          <w:rFonts w:ascii="Arial" w:cs="Arial" w:eastAsia="Arial" w:hAnsi="Arial"/>
          <w:sz w:val="18"/>
          <w:szCs w:val="18"/>
          <w:color w:val="auto"/>
        </w:rPr>
        <w:t>Yes. A webcast of the Annual Meeting will also be available to the general public at the following link: www.virtualshareholdermeeting.com/VIRT2023. Select “Other Stockholders/Guests” to enter the meeting. Please note that guests will not have the ability to ask questions or vote during the meeting.</w:t>
      </w:r>
    </w:p>
    <w:p>
      <w:pPr>
        <w:spacing w:after="0" w:line="25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GENERAL INFORMATION</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Whom should I contact if I have additional questions?</w:t>
      </w:r>
    </w:p>
    <w:p>
      <w:pPr>
        <w:spacing w:after="0" w:line="139" w:lineRule="exact"/>
        <w:rPr>
          <w:sz w:val="20"/>
          <w:szCs w:val="20"/>
          <w:color w:val="auto"/>
        </w:rPr>
      </w:pPr>
    </w:p>
    <w:p>
      <w:pPr>
        <w:jc w:val="both"/>
        <w:ind w:left="760" w:right="60"/>
        <w:spacing w:after="0" w:line="256" w:lineRule="auto"/>
        <w:rPr>
          <w:sz w:val="20"/>
          <w:szCs w:val="20"/>
          <w:color w:val="auto"/>
        </w:rPr>
      </w:pPr>
      <w:r>
        <w:rPr>
          <w:rFonts w:ascii="Arial" w:cs="Arial" w:eastAsia="Arial" w:hAnsi="Arial"/>
          <w:sz w:val="18"/>
          <w:szCs w:val="18"/>
          <w:color w:val="auto"/>
        </w:rPr>
        <w:t>You can contact our Investor Relations department at our executive office at (212) 418-0100. Stockholders who hold their shares in street name should contact the organization that holds their shares for additional information on how to vote.</w:t>
      </w:r>
    </w:p>
    <w:p>
      <w:pPr>
        <w:spacing w:after="0" w:line="72" w:lineRule="exact"/>
        <w:rPr>
          <w:sz w:val="20"/>
          <w:szCs w:val="20"/>
          <w:color w:val="auto"/>
        </w:rPr>
      </w:pPr>
    </w:p>
    <w:p>
      <w:pPr>
        <w:ind w:left="760" w:right="140"/>
        <w:spacing w:after="0" w:line="257" w:lineRule="auto"/>
        <w:rPr>
          <w:sz w:val="20"/>
          <w:szCs w:val="20"/>
          <w:color w:val="auto"/>
        </w:rPr>
      </w:pPr>
      <w:r>
        <w:rPr>
          <w:rFonts w:ascii="Arial" w:cs="Arial" w:eastAsia="Arial" w:hAnsi="Arial"/>
          <w:sz w:val="18"/>
          <w:szCs w:val="18"/>
          <w:b w:val="1"/>
          <w:bCs w:val="1"/>
          <w:color w:val="auto"/>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2022, including financial statements and schedules and amendments thereto filed with the SEC, are also available without charge to stockholders upon written request addressed to:</w:t>
      </w:r>
    </w:p>
    <w:p>
      <w:pPr>
        <w:spacing w:after="0" w:line="7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Virtu Financial, Inc.</w:t>
      </w:r>
    </w:p>
    <w:p>
      <w:pPr>
        <w:spacing w:after="0" w:line="3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Attn: Investor Relations</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5527040</wp:posOffset>
            </wp:positionV>
            <wp:extent cx="754380" cy="2400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19"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 xml:space="preserve">Appendix A: </w:t>
      </w:r>
      <w:r>
        <w:rPr>
          <w:rFonts w:ascii="Arial" w:cs="Arial" w:eastAsia="Arial" w:hAnsi="Arial"/>
          <w:sz w:val="54"/>
          <w:szCs w:val="54"/>
          <w:b w:val="1"/>
          <w:bCs w:val="1"/>
          <w:u w:val="single" w:color="auto"/>
          <w:color w:val="0081C9"/>
        </w:rPr>
        <w:t>Second</w:t>
      </w:r>
      <w:r>
        <w:rPr>
          <w:rFonts w:ascii="Arial" w:cs="Arial" w:eastAsia="Arial" w:hAnsi="Arial"/>
          <w:sz w:val="54"/>
          <w:szCs w:val="54"/>
          <w:color w:val="002453"/>
        </w:rPr>
        <w:t xml:space="preserve"> Amended and</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Restated Certificate of Incorporation</w:t>
      </w:r>
    </w:p>
    <w:p>
      <w:pPr>
        <w:ind w:left="760"/>
        <w:spacing w:after="0"/>
        <w:rPr>
          <w:sz w:val="20"/>
          <w:szCs w:val="20"/>
          <w:color w:val="auto"/>
        </w:rPr>
      </w:pPr>
      <w:r>
        <w:rPr>
          <w:rFonts w:ascii="Arial" w:cs="Arial" w:eastAsia="Arial" w:hAnsi="Arial"/>
          <w:sz w:val="54"/>
          <w:szCs w:val="54"/>
          <w:color w:val="002453"/>
        </w:rPr>
        <w:t>of Virtu Financial, Inc.</w:t>
      </w:r>
    </w:p>
    <w:p>
      <w:pPr>
        <w:spacing w:after="0" w:line="142"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0081C9"/>
        </w:rPr>
        <w:t>SECOND</w:t>
      </w:r>
      <w:r>
        <w:rPr>
          <w:rFonts w:ascii="Arial" w:cs="Arial" w:eastAsia="Arial" w:hAnsi="Arial"/>
          <w:sz w:val="18"/>
          <w:szCs w:val="18"/>
          <w:b w:val="1"/>
          <w:bCs w:val="1"/>
          <w:color w:val="0081C9"/>
        </w:rPr>
        <w:t xml:space="preserve"> </w:t>
      </w:r>
      <w:r>
        <w:rPr>
          <w:rFonts w:ascii="Arial" w:cs="Arial" w:eastAsia="Arial" w:hAnsi="Arial"/>
          <w:sz w:val="18"/>
          <w:szCs w:val="18"/>
          <w:color w:val="000000"/>
        </w:rPr>
        <w:t>AMENDED AND RESTATED</w:t>
      </w:r>
    </w:p>
    <w:p>
      <w:pPr>
        <w:spacing w:after="0" w:line="13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CERTIFICATE OF INCORPORATION</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VIRTU FINANCIAL, INC.</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(Pursuant to Section 242 and 245 of</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the General Corporation Law of the State of Delaware)</w:t>
      </w:r>
    </w:p>
    <w:p>
      <w:pPr>
        <w:spacing w:after="0" w:line="117" w:lineRule="exact"/>
        <w:rPr>
          <w:sz w:val="20"/>
          <w:szCs w:val="20"/>
          <w:color w:val="auto"/>
        </w:rPr>
      </w:pPr>
    </w:p>
    <w:p>
      <w:pPr>
        <w:ind w:left="760" w:right="1200"/>
        <w:spacing w:after="0" w:line="261" w:lineRule="auto"/>
        <w:rPr>
          <w:sz w:val="20"/>
          <w:szCs w:val="20"/>
          <w:color w:val="auto"/>
        </w:rPr>
      </w:pPr>
      <w:r>
        <w:rPr>
          <w:rFonts w:ascii="Arial" w:cs="Arial" w:eastAsia="Arial" w:hAnsi="Arial"/>
          <w:sz w:val="18"/>
          <w:szCs w:val="18"/>
          <w:color w:val="auto"/>
        </w:rPr>
        <w:t>Virtu Financial,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90" w:lineRule="exact"/>
        <w:rPr>
          <w:sz w:val="20"/>
          <w:szCs w:val="20"/>
          <w:color w:val="auto"/>
        </w:rPr>
      </w:pPr>
    </w:p>
    <w:p>
      <w:pPr>
        <w:jc w:val="both"/>
        <w:ind w:left="760" w:right="80"/>
        <w:spacing w:after="0" w:line="256" w:lineRule="auto"/>
        <w:rPr>
          <w:sz w:val="20"/>
          <w:szCs w:val="20"/>
          <w:color w:val="auto"/>
        </w:rPr>
      </w:pPr>
      <w:r>
        <w:rPr>
          <w:rFonts w:ascii="Arial" w:cs="Arial" w:eastAsia="Arial" w:hAnsi="Arial"/>
          <w:sz w:val="18"/>
          <w:szCs w:val="18"/>
          <w:color w:val="auto"/>
        </w:rPr>
        <w:t xml:space="preserve">FIRST: The name of the Corporation is Virtu Financial, Inc. The date of filing of its original certificate of incorporation </w:t>
      </w:r>
      <w:r>
        <w:rPr>
          <w:rFonts w:ascii="Arial" w:cs="Arial" w:eastAsia="Arial" w:hAnsi="Arial"/>
          <w:sz w:val="18"/>
          <w:szCs w:val="18"/>
          <w:b w:val="1"/>
          <w:bCs w:val="1"/>
          <w:u w:val="single" w:color="auto"/>
          <w:color w:val="0081C9"/>
        </w:rPr>
        <w:t>(the “Original Certificate of Incorporation”)</w:t>
      </w:r>
      <w:r>
        <w:rPr>
          <w:rFonts w:ascii="Arial" w:cs="Arial" w:eastAsia="Arial" w:hAnsi="Arial"/>
          <w:sz w:val="18"/>
          <w:szCs w:val="18"/>
          <w:b w:val="1"/>
          <w:bCs w:val="1"/>
          <w:color w:val="0081C9"/>
        </w:rPr>
        <w:t xml:space="preserve"> </w:t>
      </w:r>
      <w:r>
        <w:rPr>
          <w:rFonts w:ascii="Arial" w:cs="Arial" w:eastAsia="Arial" w:hAnsi="Arial"/>
          <w:sz w:val="18"/>
          <w:szCs w:val="18"/>
          <w:color w:val="000000"/>
        </w:rPr>
        <w:t>with the Secretary of State of the State of Delaware was October 17,</w:t>
      </w:r>
      <w:r>
        <w:rPr>
          <w:rFonts w:ascii="Arial" w:cs="Arial" w:eastAsia="Arial" w:hAnsi="Arial"/>
          <w:sz w:val="18"/>
          <w:szCs w:val="18"/>
          <w:b w:val="1"/>
          <w:bCs w:val="1"/>
          <w:color w:val="0081C9"/>
        </w:rPr>
        <w:t xml:space="preserve"> </w:t>
      </w:r>
      <w:r>
        <w:rPr>
          <w:rFonts w:ascii="Arial" w:cs="Arial" w:eastAsia="Arial" w:hAnsi="Arial"/>
          <w:sz w:val="18"/>
          <w:szCs w:val="18"/>
          <w:color w:val="000000"/>
        </w:rPr>
        <w:t>2013.</w:t>
      </w:r>
    </w:p>
    <w:p>
      <w:pPr>
        <w:spacing w:after="0" w:line="72" w:lineRule="exact"/>
        <w:rPr>
          <w:sz w:val="20"/>
          <w:szCs w:val="20"/>
          <w:color w:val="auto"/>
        </w:rPr>
      </w:pPr>
    </w:p>
    <w:p>
      <w:pPr>
        <w:ind w:left="760" w:right="320"/>
        <w:spacing w:after="0" w:line="268" w:lineRule="auto"/>
        <w:rPr>
          <w:sz w:val="20"/>
          <w:szCs w:val="20"/>
          <w:color w:val="auto"/>
        </w:rPr>
      </w:pPr>
      <w:r>
        <w:rPr>
          <w:rFonts w:ascii="Arial" w:cs="Arial" w:eastAsia="Arial" w:hAnsi="Arial"/>
          <w:sz w:val="18"/>
          <w:szCs w:val="18"/>
          <w:b w:val="1"/>
          <w:bCs w:val="1"/>
          <w:u w:val="single" w:color="auto"/>
          <w:color w:val="0081C9"/>
        </w:rPr>
        <w:t>SECOND: The Original Certificate of Incorporation was last amended and restated by the Amended and Restated Certificate of Incorporation filed with the Secretary of State of the State of Delaware on April 15, 2015.</w:t>
      </w:r>
    </w:p>
    <w:p>
      <w:pPr>
        <w:spacing w:after="0" w:line="63" w:lineRule="exact"/>
        <w:rPr>
          <w:sz w:val="20"/>
          <w:szCs w:val="20"/>
          <w:color w:val="auto"/>
        </w:rPr>
      </w:pPr>
    </w:p>
    <w:p>
      <w:pPr>
        <w:ind w:left="760" w:right="140"/>
        <w:spacing w:after="0" w:line="257" w:lineRule="auto"/>
        <w:rPr>
          <w:sz w:val="20"/>
          <w:szCs w:val="20"/>
          <w:color w:val="auto"/>
        </w:rPr>
      </w:pPr>
      <w:r>
        <w:rPr>
          <w:rFonts w:ascii="Arial" w:cs="Arial" w:eastAsia="Arial" w:hAnsi="Arial"/>
          <w:sz w:val="18"/>
          <w:szCs w:val="18"/>
          <w:b w:val="1"/>
          <w:bCs w:val="1"/>
          <w:color w:val="EB0028"/>
          <w:strike w:val="1"/>
        </w:rPr>
        <w:t>SECOND</w:t>
      </w:r>
      <w:r>
        <w:rPr>
          <w:rFonts w:ascii="Arial" w:cs="Arial" w:eastAsia="Arial" w:hAnsi="Arial"/>
          <w:sz w:val="18"/>
          <w:szCs w:val="18"/>
          <w:b w:val="1"/>
          <w:bCs w:val="1"/>
          <w:u w:val="single" w:color="auto"/>
          <w:color w:val="0081C9"/>
        </w:rPr>
        <w:t>THIRD</w:t>
      </w:r>
      <w:r>
        <w:rPr>
          <w:rFonts w:ascii="Arial" w:cs="Arial" w:eastAsia="Arial" w:hAnsi="Arial"/>
          <w:sz w:val="18"/>
          <w:szCs w:val="18"/>
          <w:color w:val="000000"/>
        </w:rPr>
        <w:t>: This</w:t>
      </w:r>
      <w:r>
        <w:rPr>
          <w:rFonts w:ascii="Arial" w:cs="Arial" w:eastAsia="Arial" w:hAnsi="Arial"/>
          <w:sz w:val="18"/>
          <w:szCs w:val="18"/>
          <w:b w:val="1"/>
          <w:bCs w:val="1"/>
          <w:color w:val="EB0028"/>
        </w:rPr>
        <w:t xml:space="preserve"> </w:t>
      </w:r>
      <w:r>
        <w:rPr>
          <w:rFonts w:ascii="Arial" w:cs="Arial" w:eastAsia="Arial" w:hAnsi="Arial"/>
          <w:sz w:val="18"/>
          <w:szCs w:val="18"/>
          <w:b w:val="1"/>
          <w:bCs w:val="1"/>
          <w:u w:val="single" w:color="auto"/>
          <w:color w:val="0081C9"/>
        </w:rPr>
        <w:t>second</w:t>
      </w:r>
      <w:r>
        <w:rPr>
          <w:rFonts w:ascii="Arial" w:cs="Arial" w:eastAsia="Arial" w:hAnsi="Arial"/>
          <w:sz w:val="18"/>
          <w:szCs w:val="18"/>
          <w:b w:val="1"/>
          <w:bCs w:val="1"/>
          <w:color w:val="EB0028"/>
        </w:rPr>
        <w:t xml:space="preserve"> </w:t>
      </w:r>
      <w:r>
        <w:rPr>
          <w:rFonts w:ascii="Arial" w:cs="Arial" w:eastAsia="Arial" w:hAnsi="Arial"/>
          <w:sz w:val="18"/>
          <w:szCs w:val="18"/>
          <w:color w:val="000000"/>
        </w:rPr>
        <w:t>Amended and Restated Certificate of Incorporation (this “</w:t>
      </w:r>
      <w:r>
        <w:rPr>
          <w:rFonts w:ascii="Arial" w:cs="Arial" w:eastAsia="Arial" w:hAnsi="Arial"/>
          <w:sz w:val="18"/>
          <w:szCs w:val="18"/>
          <w:u w:val="single" w:color="auto"/>
          <w:color w:val="000000"/>
        </w:rPr>
        <w:t>Amended Certificate of</w:t>
      </w:r>
      <w:r>
        <w:rPr>
          <w:rFonts w:ascii="Arial" w:cs="Arial" w:eastAsia="Arial" w:hAnsi="Arial"/>
          <w:sz w:val="18"/>
          <w:szCs w:val="18"/>
          <w:b w:val="1"/>
          <w:bCs w:val="1"/>
          <w:color w:val="EB0028"/>
        </w:rPr>
        <w:t xml:space="preserve"> </w:t>
      </w:r>
      <w:r>
        <w:rPr>
          <w:rFonts w:ascii="Arial" w:cs="Arial" w:eastAsia="Arial" w:hAnsi="Arial"/>
          <w:sz w:val="18"/>
          <w:szCs w:val="18"/>
          <w:u w:val="single" w:color="auto"/>
          <w:color w:val="000000"/>
        </w:rPr>
        <w:t>Incorporation</w:t>
      </w:r>
      <w:r>
        <w:rPr>
          <w:rFonts w:ascii="Arial" w:cs="Arial" w:eastAsia="Arial" w:hAnsi="Arial"/>
          <w:sz w:val="18"/>
          <w:szCs w:val="18"/>
          <w:color w:val="000000"/>
        </w:rPr>
        <w:t>”) amends and restates in its entirety the Corporation’s certificate of incorporation as currently in effect and has been duly adopted in accordance with the provisions of Sections 242 and 245 of the General Corporation Law of the State of Delaware (as from time to time in effect, the “</w:t>
      </w:r>
      <w:r>
        <w:rPr>
          <w:rFonts w:ascii="Arial" w:cs="Arial" w:eastAsia="Arial" w:hAnsi="Arial"/>
          <w:sz w:val="18"/>
          <w:szCs w:val="18"/>
          <w:u w:val="single" w:color="auto"/>
          <w:color w:val="000000"/>
        </w:rPr>
        <w:t>General Corporation Law</w:t>
      </w:r>
      <w:r>
        <w:rPr>
          <w:rFonts w:ascii="Arial" w:cs="Arial" w:eastAsia="Arial" w:hAnsi="Arial"/>
          <w:sz w:val="18"/>
          <w:szCs w:val="18"/>
          <w:color w:val="000000"/>
        </w:rPr>
        <w:t>”), by written consent of the holders of all of the outstanding stock entitled to vote thereon in accordance with the provisions of Section 228 of the General Corporation Law.</w:t>
      </w:r>
    </w:p>
    <w:p>
      <w:pPr>
        <w:spacing w:after="0" w:line="74" w:lineRule="exact"/>
        <w:rPr>
          <w:sz w:val="20"/>
          <w:szCs w:val="20"/>
          <w:color w:val="auto"/>
        </w:rPr>
      </w:pPr>
    </w:p>
    <w:p>
      <w:pPr>
        <w:ind w:left="760" w:right="860"/>
        <w:spacing w:after="0" w:line="287" w:lineRule="auto"/>
        <w:rPr>
          <w:sz w:val="20"/>
          <w:szCs w:val="20"/>
          <w:color w:val="auto"/>
        </w:rPr>
      </w:pPr>
      <w:r>
        <w:rPr>
          <w:rFonts w:ascii="Arial" w:cs="Arial" w:eastAsia="Arial" w:hAnsi="Arial"/>
          <w:sz w:val="18"/>
          <w:szCs w:val="18"/>
          <w:b w:val="1"/>
          <w:bCs w:val="1"/>
          <w:color w:val="EB0028"/>
          <w:strike w:val="1"/>
        </w:rPr>
        <w:t>THIRD</w:t>
      </w:r>
      <w:r>
        <w:rPr>
          <w:rFonts w:ascii="Arial" w:cs="Arial" w:eastAsia="Arial" w:hAnsi="Arial"/>
          <w:sz w:val="18"/>
          <w:szCs w:val="18"/>
          <w:b w:val="1"/>
          <w:bCs w:val="1"/>
          <w:u w:val="single" w:color="auto"/>
          <w:color w:val="0081C9"/>
        </w:rPr>
        <w:t>FOURTH</w:t>
      </w:r>
      <w:r>
        <w:rPr>
          <w:rFonts w:ascii="Arial" w:cs="Arial" w:eastAsia="Arial" w:hAnsi="Arial"/>
          <w:sz w:val="18"/>
          <w:szCs w:val="18"/>
          <w:color w:val="000000"/>
        </w:rPr>
        <w:t>: This Amended Certificate of Incorporation amends and restates in its entirety the original</w:t>
      </w:r>
      <w:r>
        <w:rPr>
          <w:rFonts w:ascii="Arial" w:cs="Arial" w:eastAsia="Arial" w:hAnsi="Arial"/>
          <w:sz w:val="18"/>
          <w:szCs w:val="18"/>
          <w:b w:val="1"/>
          <w:bCs w:val="1"/>
          <w:color w:val="EB0028"/>
        </w:rPr>
        <w:t xml:space="preserve"> </w:t>
      </w:r>
      <w:r>
        <w:rPr>
          <w:rFonts w:ascii="Arial" w:cs="Arial" w:eastAsia="Arial" w:hAnsi="Arial"/>
          <w:sz w:val="18"/>
          <w:szCs w:val="18"/>
          <w:color w:val="000000"/>
        </w:rPr>
        <w:t>certificate of incorporation of the Corporation to read as follows:</w:t>
      </w:r>
    </w:p>
    <w:p>
      <w:pPr>
        <w:spacing w:after="0" w:line="67" w:lineRule="exact"/>
        <w:rPr>
          <w:sz w:val="20"/>
          <w:szCs w:val="20"/>
          <w:color w:val="auto"/>
        </w:rPr>
      </w:pPr>
    </w:p>
    <w:p>
      <w:pPr>
        <w:ind w:left="1280" w:hanging="302"/>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Virtu Financial, Inc.</w:t>
      </w:r>
    </w:p>
    <w:p>
      <w:pPr>
        <w:spacing w:after="0" w:line="117" w:lineRule="exact"/>
        <w:rPr>
          <w:rFonts w:ascii="Arial" w:cs="Arial" w:eastAsia="Arial" w:hAnsi="Arial"/>
          <w:sz w:val="18"/>
          <w:szCs w:val="18"/>
          <w:color w:val="auto"/>
        </w:rPr>
      </w:pPr>
    </w:p>
    <w:p>
      <w:pPr>
        <w:ind w:left="980" w:right="320" w:hanging="2"/>
        <w:spacing w:after="0" w:line="256" w:lineRule="auto"/>
        <w:tabs>
          <w:tab w:leader="none" w:pos="127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Address; Registered Office and Agent</w:t>
      </w:r>
      <w:r>
        <w:rPr>
          <w:rFonts w:ascii="Arial" w:cs="Arial" w:eastAsia="Arial" w:hAnsi="Arial"/>
          <w:sz w:val="18"/>
          <w:szCs w:val="18"/>
          <w:color w:val="auto"/>
        </w:rPr>
        <w:t>. The address of the Corporation’s registered office in the State of Delaware is Corporation Trust Center, 1209 Orange Street, City of Wilmington, County of New Castle, State of Delaware 19801, and the name of its registered agent at such address is The Corporation Trust Company.</w:t>
      </w:r>
    </w:p>
    <w:p>
      <w:pPr>
        <w:spacing w:after="0" w:line="93" w:lineRule="exact"/>
        <w:rPr>
          <w:rFonts w:ascii="Arial" w:cs="Arial" w:eastAsia="Arial" w:hAnsi="Arial"/>
          <w:sz w:val="18"/>
          <w:szCs w:val="18"/>
          <w:color w:val="auto"/>
        </w:rPr>
      </w:pPr>
    </w:p>
    <w:p>
      <w:pPr>
        <w:ind w:left="980" w:right="340" w:hanging="2"/>
        <w:spacing w:after="0" w:line="261" w:lineRule="auto"/>
        <w:tabs>
          <w:tab w:leader="none" w:pos="127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w:t>
      </w:r>
    </w:p>
    <w:p>
      <w:pPr>
        <w:spacing w:after="0" w:line="89" w:lineRule="exact"/>
        <w:rPr>
          <w:rFonts w:ascii="Arial" w:cs="Arial" w:eastAsia="Arial" w:hAnsi="Arial"/>
          <w:sz w:val="18"/>
          <w:szCs w:val="18"/>
          <w:color w:val="auto"/>
        </w:rPr>
      </w:pPr>
    </w:p>
    <w:p>
      <w:pPr>
        <w:ind w:left="1280" w:hanging="302"/>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left="1200"/>
        <w:spacing w:after="0"/>
        <w:tabs>
          <w:tab w:leader="none" w:pos="1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total number of shares of all classes of stock that the Corporation shall have authority to issue is</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1,490,000,000 shares, consisting of:</w:t>
      </w:r>
    </w:p>
    <w:p>
      <w:pPr>
        <w:spacing w:after="0" w:line="117" w:lineRule="exact"/>
        <w:rPr>
          <w:sz w:val="20"/>
          <w:szCs w:val="20"/>
          <w:color w:val="auto"/>
        </w:rPr>
      </w:pPr>
    </w:p>
    <w:p>
      <w:pPr>
        <w:ind w:left="1420" w:right="260" w:hanging="10"/>
        <w:spacing w:after="0" w:line="250" w:lineRule="auto"/>
        <w:tabs>
          <w:tab w:leader="none" w:pos="1727" w:val="left"/>
        </w:tabs>
        <w:numPr>
          <w:ilvl w:val="0"/>
          <w:numId w:val="52"/>
        </w:numPr>
        <w:rPr>
          <w:rFonts w:ascii="Arial" w:cs="Arial" w:eastAsia="Arial" w:hAnsi="Arial"/>
          <w:sz w:val="18"/>
          <w:szCs w:val="18"/>
          <w:color w:val="auto"/>
        </w:rPr>
      </w:pPr>
      <w:r>
        <w:rPr>
          <w:rFonts w:ascii="Arial" w:cs="Arial" w:eastAsia="Arial" w:hAnsi="Arial"/>
          <w:sz w:val="18"/>
          <w:szCs w:val="18"/>
          <w:color w:val="auto"/>
        </w:rPr>
        <w:t>1,440,000,000 shares of common stock, divided into (a) 1,000,000,000 shares of Class A common stock, with the par value of $0.00001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(b) 175,000,000 shares of Class B common stock, with the par value of $0.00001 per share (the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and, together with Class A Common Stock, the “</w:t>
      </w:r>
      <w:r>
        <w:rPr>
          <w:rFonts w:ascii="Arial" w:cs="Arial" w:eastAsia="Arial" w:hAnsi="Arial"/>
          <w:sz w:val="18"/>
          <w:szCs w:val="18"/>
          <w:u w:val="single" w:color="auto"/>
          <w:color w:val="auto"/>
        </w:rPr>
        <w:t>Economic Common Stock</w:t>
      </w:r>
      <w:r>
        <w:rPr>
          <w:rFonts w:ascii="Arial" w:cs="Arial" w:eastAsia="Arial" w:hAnsi="Arial"/>
          <w:sz w:val="18"/>
          <w:szCs w:val="18"/>
          <w:color w:val="auto"/>
        </w:rPr>
        <w:t>”), (c) 90,000,000 shares of Class C common stock, with the par value of $0.00001 per share (the “</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jc w:val="both"/>
        <w:ind w:left="1420" w:right="260" w:hanging="10"/>
        <w:spacing w:after="0" w:line="256" w:lineRule="auto"/>
        <w:tabs>
          <w:tab w:leader="none" w:pos="16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175,000,000 shares of Class D common stock, with the par value of $0.00001 per share (the “</w:t>
      </w:r>
      <w:r>
        <w:rPr>
          <w:rFonts w:ascii="Arial" w:cs="Arial" w:eastAsia="Arial" w:hAnsi="Arial"/>
          <w:sz w:val="18"/>
          <w:szCs w:val="18"/>
          <w:u w:val="single" w:color="auto"/>
          <w:color w:val="auto"/>
        </w:rPr>
        <w:t>Class 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and, together with the Class C Common Stock, the “</w:t>
      </w:r>
      <w:r>
        <w:rPr>
          <w:rFonts w:ascii="Arial" w:cs="Arial" w:eastAsia="Arial" w:hAnsi="Arial"/>
          <w:sz w:val="18"/>
          <w:szCs w:val="18"/>
          <w:u w:val="single" w:color="auto"/>
          <w:color w:val="auto"/>
        </w:rPr>
        <w:t>Non-Economic Common Stock</w:t>
      </w:r>
      <w:r>
        <w:rPr>
          <w:rFonts w:ascii="Arial" w:cs="Arial" w:eastAsia="Arial" w:hAnsi="Arial"/>
          <w:sz w:val="18"/>
          <w:szCs w:val="18"/>
          <w:color w:val="auto"/>
        </w:rPr>
        <w:t>” and collectively with the</w:t>
      </w:r>
    </w:p>
    <w:p>
      <w:pPr>
        <w:spacing w:after="0" w:line="28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420" w:right="640"/>
        <w:spacing w:after="0" w:line="256" w:lineRule="auto"/>
        <w:rPr>
          <w:sz w:val="20"/>
          <w:szCs w:val="20"/>
          <w:color w:val="auto"/>
        </w:rPr>
      </w:pPr>
      <w:r>
        <w:rPr>
          <w:rFonts w:ascii="Arial" w:cs="Arial" w:eastAsia="Arial" w:hAnsi="Arial"/>
          <w:sz w:val="18"/>
          <w:szCs w:val="18"/>
          <w:color w:val="auto"/>
        </w:rPr>
        <w:t>Class A Common Stock, the Class B Common Stock and the Class C Common Stock,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and (ii) 50,000,000 shares of preferred stock, with the par value of $0.00001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94" w:lineRule="exact"/>
        <w:rPr>
          <w:sz w:val="20"/>
          <w:szCs w:val="20"/>
          <w:color w:val="auto"/>
        </w:rPr>
      </w:pPr>
    </w:p>
    <w:p>
      <w:pPr>
        <w:ind w:left="1200" w:right="160"/>
        <w:spacing w:after="0" w:line="252" w:lineRule="auto"/>
        <w:rPr>
          <w:sz w:val="20"/>
          <w:szCs w:val="20"/>
          <w:color w:val="auto"/>
        </w:rPr>
      </w:pPr>
      <w:r>
        <w:rPr>
          <w:rFonts w:ascii="Arial" w:cs="Arial" w:eastAsia="Arial" w:hAnsi="Arial"/>
          <w:sz w:val="18"/>
          <w:szCs w:val="18"/>
          <w:color w:val="auto"/>
        </w:rPr>
        <w:t>4.2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97" w:lineRule="exact"/>
        <w:rPr>
          <w:sz w:val="20"/>
          <w:szCs w:val="20"/>
          <w:color w:val="auto"/>
        </w:rPr>
      </w:pPr>
    </w:p>
    <w:p>
      <w:pPr>
        <w:ind w:left="1420" w:right="200" w:hanging="10"/>
        <w:spacing w:after="0" w:line="265" w:lineRule="auto"/>
        <w:tabs>
          <w:tab w:leader="none" w:pos="17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the case of Class A Common Stock, the number of shares of Class A Common Stock issuable in connection with (x) the conversion of all shares of Class B Common Stock issuable as described in clause</w:t>
      </w:r>
    </w:p>
    <w:p>
      <w:pPr>
        <w:ind w:left="1420" w:right="200" w:hanging="10"/>
        <w:spacing w:after="0" w:line="253" w:lineRule="auto"/>
        <w:tabs>
          <w:tab w:leader="none" w:pos="16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below, (y) the exchange of all outstanding shares of Class C Common Stock and all shares of Class C Common Stock issuable as described in clause (iii) below, together with the corresponding Common Units constituting the remainder of any Class C Paired Interests in which such shares are included, pursuant to Section 2.01 of the Exchange Agreement and (z) the exercise of outstanding options, warrants, exchange rights, conversion rights or similar rights for Class A Common Stock;</w:t>
      </w:r>
    </w:p>
    <w:p>
      <w:pPr>
        <w:spacing w:after="0" w:line="97" w:lineRule="exact"/>
        <w:rPr>
          <w:sz w:val="20"/>
          <w:szCs w:val="20"/>
          <w:color w:val="auto"/>
        </w:rPr>
      </w:pPr>
    </w:p>
    <w:p>
      <w:pPr>
        <w:ind w:left="1420" w:right="140" w:hanging="10"/>
        <w:spacing w:after="0" w:line="252" w:lineRule="auto"/>
        <w:tabs>
          <w:tab w:leader="none" w:pos="17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Class B Common Stock, the number of shares of Class B Common Stock issuable in connection with (x) the exchange of all outstanding shares of Class D Common Stock and all shares of Class D Common Stock issuable as described in clause (iv) below, together with the corresponding Common Units constituting the remainder of any Class D Paired Interests in which such shares are included, pursuant to Section 2.01 of the Exchange Agreement and (y) the exercise of outstanding options, warrants, exchange rights, conversion rights or similar rights for Class B Common Stock;</w:t>
      </w:r>
    </w:p>
    <w:p>
      <w:pPr>
        <w:spacing w:after="0" w:line="99" w:lineRule="exact"/>
        <w:rPr>
          <w:rFonts w:ascii="Arial" w:cs="Arial" w:eastAsia="Arial" w:hAnsi="Arial"/>
          <w:sz w:val="18"/>
          <w:szCs w:val="18"/>
          <w:color w:val="auto"/>
        </w:rPr>
      </w:pPr>
    </w:p>
    <w:p>
      <w:pPr>
        <w:ind w:left="1420" w:right="80" w:hanging="10"/>
        <w:spacing w:after="0" w:line="253" w:lineRule="auto"/>
        <w:tabs>
          <w:tab w:leader="none" w:pos="18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Class C Common Stock, the number of shares of Class C Common Stock issuable in connection with (x)the conversion of all outstanding shares of Class D Common Stock, (y) the conversion of all shares of Class D Common Stock issuable as described in clause (iv) below and (z) the exercise of outstanding options, warrants, exchange rights, conversion rights or similar rights for Class C Common Stock; and</w:t>
      </w:r>
    </w:p>
    <w:p>
      <w:pPr>
        <w:spacing w:after="0" w:line="97" w:lineRule="exact"/>
        <w:rPr>
          <w:rFonts w:ascii="Arial" w:cs="Arial" w:eastAsia="Arial" w:hAnsi="Arial"/>
          <w:sz w:val="18"/>
          <w:szCs w:val="18"/>
          <w:color w:val="auto"/>
        </w:rPr>
      </w:pPr>
    </w:p>
    <w:p>
      <w:pPr>
        <w:ind w:left="1420" w:right="160" w:hanging="10"/>
        <w:spacing w:after="0" w:line="256" w:lineRule="auto"/>
        <w:tabs>
          <w:tab w:leader="none" w:pos="18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Class D Common Stock, the number of shares of Class D Common Stock issuable in connection with the exercise of outstanding options, warrants, exchange rights, conversion rights or similar rights for Class D Common Stock.</w:t>
      </w:r>
    </w:p>
    <w:p>
      <w:pPr>
        <w:spacing w:after="0" w:line="94" w:lineRule="exact"/>
        <w:rPr>
          <w:sz w:val="20"/>
          <w:szCs w:val="20"/>
          <w:color w:val="auto"/>
        </w:rPr>
      </w:pPr>
    </w:p>
    <w:p>
      <w:pPr>
        <w:ind w:left="980" w:right="220" w:hanging="2"/>
        <w:spacing w:after="0" w:line="261" w:lineRule="auto"/>
        <w:tabs>
          <w:tab w:leader="none" w:pos="127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The designation, relative rights, preferences and limitations of the shares of each class of stock are as follows:</w:t>
      </w:r>
    </w:p>
    <w:p>
      <w:pPr>
        <w:spacing w:after="0" w:line="90" w:lineRule="exact"/>
        <w:rPr>
          <w:sz w:val="20"/>
          <w:szCs w:val="20"/>
          <w:color w:val="auto"/>
        </w:rPr>
      </w:pPr>
    </w:p>
    <w:p>
      <w:pPr>
        <w:ind w:left="1200"/>
        <w:spacing w:after="0"/>
        <w:tabs>
          <w:tab w:leader="none" w:pos="15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117" w:lineRule="exact"/>
        <w:rPr>
          <w:sz w:val="20"/>
          <w:szCs w:val="20"/>
          <w:color w:val="auto"/>
        </w:rPr>
      </w:pPr>
    </w:p>
    <w:p>
      <w:pPr>
        <w:ind w:left="1720" w:hanging="310"/>
        <w:spacing w:after="0"/>
        <w:tabs>
          <w:tab w:leader="none" w:pos="1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20" w:right="80" w:firstLine="6"/>
        <w:spacing w:after="0" w:line="251" w:lineRule="auto"/>
        <w:tabs>
          <w:tab w:leader="none" w:pos="19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Each holder of Class A Common Stock or Class C Common Stock, as such, will be entitled to one vote for each share of Class A Common Stock or Class C Common Stock held of record by such holder on all matters on which stockholders generally are entitled to vote, and each holder of Class B Common Stock or Class D Common Stock, as such, will be entitled to ten votes for each share of Class B Common Stock or Class D Common Stock held of record by such holder on all matters on which stockholders generally are entitled to vote, except that, in each case, to the fullest extent permitted by law and subject to Section 5.1(i)(2), holders of shares of each class of Common Stock, as such, will have no voting power with respect to, and will not be entitled to vote on, any amendment to this Amended Certificate of Incorporation (including any certificate of designations relating to any series of Preferred Stock) that relates solely to the terms of any outstanding Preferred Stock if the holders of such Preferred Stock are entitled to vote as a separate class thereon under this Amended Certificate of Incorporation (including any certificate of designations relating to any series of Preferred Stock) or under the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754380" cy="2400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92"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620" w:right="60" w:firstLine="6"/>
        <w:spacing w:after="0" w:line="251" w:lineRule="auto"/>
        <w:tabs>
          <w:tab w:leader="none" w:pos="198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The holders of the outstanding shares of Class A Common Stock and Class C Common Stock, voting together as a single class, shall be entitled to vote separately upon any amendment to this Amended Certificate of Incorporation (including by merger, consolidation, reorganization or similar event) that would alter or change the powers, preferences, or special rights of such classes of Common Stock in a manner that is disproportionately adverse as compared to the Class B Common Stock or Class D Common Stock and (b) the holders of the outstanding shares of Class B Common Stock and Class D Common Stock, voting together as a single class, shall be entitled to vote separately upon any amendment to this Amended Certificate of Incorporation (including by merger, consolidation, reorganization or similar event) that would alter or change the powers, preferences, or special rights of such classes of Common Stock in a manner that is disproportionately adverse as compared to the Class A Common Stock or Class C Common Stock, it being understood that any merger, consolidation or other business combination shall not be deemed an amendment hereof if such merger, consolidation or other business combination (x) constitutes a Disposition Event in which holders of Paired Interests are required to exchange such Paired Interests pursuant to Section 2.03 of the Exchange Agreement in such Disposition Event and receive consideration in such Disposition Event in accordance with the terms of the Exchange Agreement as in effect prior to such Disposition Event or (y) would be permitted by Section 5.1(iv).</w:t>
      </w:r>
    </w:p>
    <w:p>
      <w:pPr>
        <w:spacing w:after="0" w:line="99" w:lineRule="exact"/>
        <w:rPr>
          <w:rFonts w:ascii="Arial" w:cs="Arial" w:eastAsia="Arial" w:hAnsi="Arial"/>
          <w:sz w:val="18"/>
          <w:szCs w:val="18"/>
          <w:color w:val="auto"/>
        </w:rPr>
      </w:pPr>
    </w:p>
    <w:p>
      <w:pPr>
        <w:ind w:left="1620" w:right="260" w:firstLine="6"/>
        <w:spacing w:after="0" w:line="254" w:lineRule="auto"/>
        <w:tabs>
          <w:tab w:leader="none" w:pos="1987"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Except as otherwise required in this Amended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95" w:lineRule="exact"/>
        <w:rPr>
          <w:rFonts w:ascii="Arial" w:cs="Arial" w:eastAsia="Arial" w:hAnsi="Arial"/>
          <w:sz w:val="18"/>
          <w:szCs w:val="18"/>
          <w:color w:val="auto"/>
        </w:rPr>
      </w:pPr>
    </w:p>
    <w:p>
      <w:pPr>
        <w:ind w:left="1760" w:hanging="350"/>
        <w:spacing w:after="0"/>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20" w:right="180" w:firstLine="6"/>
        <w:spacing w:after="0" w:line="252" w:lineRule="auto"/>
        <w:tabs>
          <w:tab w:leader="none" w:pos="1987"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Subject to applicable law and the rights, if any, of the holders of any outstanding series of Preferred Stock or any class or series of stock having a preference senior to or the right to participate with the Economic Common Stock with respect to the payment of dividends, dividends of cash or property may be declared and paid on the Economic Common Stock out of the assets of the Corporation that are by law available therefor, at the times and in the amounts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in its discretion may determine.</w:t>
      </w:r>
    </w:p>
    <w:p>
      <w:pPr>
        <w:spacing w:after="0" w:line="100" w:lineRule="exact"/>
        <w:rPr>
          <w:rFonts w:ascii="Arial" w:cs="Arial" w:eastAsia="Arial" w:hAnsi="Arial"/>
          <w:sz w:val="18"/>
          <w:szCs w:val="18"/>
          <w:color w:val="auto"/>
        </w:rPr>
      </w:pPr>
    </w:p>
    <w:p>
      <w:pPr>
        <w:ind w:left="1620" w:right="160" w:firstLine="6"/>
        <w:spacing w:after="0" w:line="271" w:lineRule="auto"/>
        <w:tabs>
          <w:tab w:leader="none" w:pos="1987"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Dividends of cash or property may not be declared or paid on the Class A Common Stock unless a dividend of the same amount and same type of cash or property (or combination thereof) is concurrently declared or paid on the Class B Common Stock. Dividends of cash or property may not be declared or paid on the Class B Common Stock unless a dividend of the same amount and same type of cash or property (or combination thereof) is concurrently declared or paid on the Class A Common Stock.</w:t>
      </w:r>
    </w:p>
    <w:p>
      <w:pPr>
        <w:spacing w:after="0" w:line="84" w:lineRule="exact"/>
        <w:rPr>
          <w:rFonts w:ascii="Arial" w:cs="Arial" w:eastAsia="Arial" w:hAnsi="Arial"/>
          <w:sz w:val="17"/>
          <w:szCs w:val="17"/>
          <w:color w:val="auto"/>
        </w:rPr>
      </w:pPr>
    </w:p>
    <w:p>
      <w:pPr>
        <w:ind w:left="1620" w:right="720" w:firstLine="6"/>
        <w:spacing w:after="0" w:line="261" w:lineRule="auto"/>
        <w:tabs>
          <w:tab w:leader="none" w:pos="1987"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Except as provided in Section 5.1 (ii)(4) with respect to stock dividends, dividends of cash or property may not be declared or paid on the Non-Economic Common Stock.</w:t>
      </w:r>
    </w:p>
    <w:p>
      <w:pPr>
        <w:spacing w:after="0" w:line="89" w:lineRule="exact"/>
        <w:rPr>
          <w:rFonts w:ascii="Arial" w:cs="Arial" w:eastAsia="Arial" w:hAnsi="Arial"/>
          <w:sz w:val="18"/>
          <w:szCs w:val="18"/>
          <w:color w:val="auto"/>
        </w:rPr>
      </w:pPr>
    </w:p>
    <w:p>
      <w:pPr>
        <w:ind w:left="1620" w:right="120" w:firstLine="6"/>
        <w:spacing w:after="0" w:line="252" w:lineRule="auto"/>
        <w:tabs>
          <w:tab w:leader="none" w:pos="1987"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no event will any stock dividend, stock split, reverse stock split, combination of stock, reclassification or recapitalization be declared or made on any class of Common Stock (each, a “</w:t>
      </w:r>
      <w:r>
        <w:rPr>
          <w:rFonts w:ascii="Arial" w:cs="Arial" w:eastAsia="Arial" w:hAnsi="Arial"/>
          <w:sz w:val="18"/>
          <w:szCs w:val="18"/>
          <w:u w:val="single" w:color="auto"/>
          <w:color w:val="auto"/>
        </w:rPr>
        <w:t>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Adjustment</w:t>
      </w:r>
      <w:r>
        <w:rPr>
          <w:rFonts w:ascii="Arial" w:cs="Arial" w:eastAsia="Arial" w:hAnsi="Arial"/>
          <w:sz w:val="18"/>
          <w:szCs w:val="18"/>
          <w:color w:val="auto"/>
        </w:rPr>
        <w:t>”) unless (a) a corresponding Stock Adjustment for all other classes of Common Stock not so adjusted at the time outstanding is made in the same proportion and the same manner and (b) the Stock Adjustment has been reflected in the same economically equivalent manner on all Common Units. Stock dividends with respect to each class of Common Stock may only be paid with shares of stock of the same class of Common Stock.</w:t>
      </w:r>
    </w:p>
    <w:p>
      <w:pPr>
        <w:spacing w:after="0" w:line="98" w:lineRule="exact"/>
        <w:rPr>
          <w:rFonts w:ascii="Arial" w:cs="Arial" w:eastAsia="Arial" w:hAnsi="Arial"/>
          <w:sz w:val="18"/>
          <w:szCs w:val="18"/>
          <w:color w:val="auto"/>
        </w:rPr>
      </w:pPr>
    </w:p>
    <w:p>
      <w:pPr>
        <w:ind w:left="1620" w:right="220" w:firstLine="6"/>
        <w:spacing w:after="0" w:line="253" w:lineRule="auto"/>
        <w:tabs>
          <w:tab w:leader="none" w:pos="1987"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Notwithstanding anything to the contrary, if a dividend in the form of capital stock of a subsidiary of the Corporation is declared or paid on the Class A Common Stock and the Class B Common Stock, the relative per share voting rights of the capital stock of such subsidiary so distributed in respect of the Class A Common Stock and the Class B Common Stock shall be in the same proportion as the relative voting rights of a share of Class A Common Stock and a share of Class B Common Stock.</w:t>
      </w:r>
    </w:p>
    <w:p>
      <w:pPr>
        <w:spacing w:after="0" w:line="97" w:lineRule="exact"/>
        <w:rPr>
          <w:rFonts w:ascii="Arial" w:cs="Arial" w:eastAsia="Arial" w:hAnsi="Arial"/>
          <w:sz w:val="18"/>
          <w:szCs w:val="18"/>
          <w:color w:val="auto"/>
        </w:rPr>
      </w:pPr>
    </w:p>
    <w:p>
      <w:pPr>
        <w:ind w:left="1420" w:right="80" w:hanging="10"/>
        <w:spacing w:after="0" w:line="253" w:lineRule="auto"/>
        <w:tabs>
          <w:tab w:leader="none" w:pos="180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Common Stock will be entitled to receive,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 amount per share equal to the par value thereof, and thereafter the holders of all outstanding</w:t>
      </w:r>
    </w:p>
    <w:p>
      <w:pPr>
        <w:spacing w:after="0" w:line="27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2" w:right="1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420" w:right="100"/>
        <w:spacing w:after="0" w:line="251" w:lineRule="auto"/>
        <w:rPr>
          <w:sz w:val="20"/>
          <w:szCs w:val="20"/>
          <w:color w:val="auto"/>
        </w:rPr>
      </w:pPr>
      <w:r>
        <w:rPr>
          <w:rFonts w:ascii="Arial" w:cs="Arial" w:eastAsia="Arial" w:hAnsi="Arial"/>
          <w:sz w:val="18"/>
          <w:szCs w:val="18"/>
          <w:color w:val="auto"/>
        </w:rPr>
        <w:t>shares of Economic Common Stock will be entitled to receive the remaining assets of the Corporation available for distribution ratably in proportion to the number of shares of Economic Common Stock. Without limiting the rights of the holders of Non-Economic Common Stock to exchange their shares of Non-Economic Common Stock, together with the corresponding Common Units constituting the remainder of any Paired Interests in which such shares are included, for shares of Economic Common Stock in accordance with Section 2.01 of the Exchange Agreement (or for the consideration payable in respect of shares of Economic Common Stock in such voluntary or involuntary liquidation, dissolution or winding up), the holders of shares of Non-Economic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103" w:lineRule="exact"/>
        <w:rPr>
          <w:sz w:val="20"/>
          <w:szCs w:val="20"/>
          <w:color w:val="auto"/>
        </w:rPr>
      </w:pPr>
    </w:p>
    <w:p>
      <w:pPr>
        <w:ind w:left="1420" w:right="60" w:hanging="10"/>
        <w:spacing w:after="0" w:line="250" w:lineRule="auto"/>
        <w:tabs>
          <w:tab w:leader="none" w:pos="181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Merger, Consolidation, Tender or Exchange Offer</w:t>
      </w:r>
      <w:r>
        <w:rPr>
          <w:rFonts w:ascii="Arial" w:cs="Arial" w:eastAsia="Arial" w:hAnsi="Arial"/>
          <w:sz w:val="18"/>
          <w:szCs w:val="18"/>
          <w:color w:val="auto"/>
        </w:rPr>
        <w:t>. Except as expressly provided in this Article 5, the Economic Common Stock shall have the same rights and privileges and rank equally, share ratably and be identical in all respects as to all matters, and the Non-Economic Common Stock shall have the same rights and privileges and rank equally, share ratably and be identical as to all matters. Without limiting the generality of the foregoing, (1) in the event of a merger, consolidation or other business combination requiring the approval of the holders of the Corporation’s capital stock entitled to vote thereon (whether or not the Corporation is the surviving entity), the holders of the Class A Common Stock shall have the right to receive, or the right to elect to receive, the same form of consideration, if any, as the holders of the Class B Common Stock and the holders of the Class A Common Stock shall have the right to receive, or the right to elect to receive, at least the same amount of consideration, if any,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 and (2) in the event of (a) any tender or exchange offer to acquire any shares of Common Stock by any third party pursuant to an agreement to which the Corporation is a party or (b) any tender or exchange offer by the Corporation to acquire any shares of Common Stock, pursuant to the terms of the applicable tender or exchange offer, the holders of the Class A Common Stock shall have the right to receive, or the right to elect to receive, the same form of consideration as the holders of the Class B Common Stock and the holders of the Class A Common Stock shall have the right to receive, or the right to elect to receive, at least the same amount of consideration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 provided that, for the purposes of the foregoing clauses (1) and (2) and notwithstanding the first sentence of this Section 5.1(iv), (i) in the event any such consideration includes securities, (I) the consideration payable to holders of Class A Common Stock shall be deemed the same form of consideration and at least the same amount of consideration on a per share basis as the holders of Class B Common Stock on a per share basis if the only difference in the per share distribution to the holders of Class B Common Stock is that the securities distributed to such holders have not more than ten times the voting power of any securities distributed to the holder of a share of Class A Common Stock and (II) the consideration payable to holders of Class D Common Stock shall be deemed the same form of consideration and at least the same amount of consideration on a per share basis as the holders of Class C Common Stock on a per share basis if the only difference in the per share distribution to the holders of Class D Common Stock is that the securities distributed to such holders have not more than ten times the voting power of any securities distributed to the holder of a share of Class C Common Stock (in each case, so long as such securities issued to the holders of Class B Common Stock or the Class D Common Stock, as the case may be, remain subject to automatic conversion on terms no more favorable to such holders than those set forth in Section 6.2) and (ii) payments under or in respect of the tax receivable or similar agreement entered by the Corporation from time to time with any holders of Common Stock and/or securities of Virtu Financial shall not be considered part of the consideration payable in respect of any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182880</wp:posOffset>
            </wp:positionV>
            <wp:extent cx="754380" cy="2400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200" w:right="8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108" w:lineRule="exact"/>
        <w:rPr>
          <w:sz w:val="20"/>
          <w:szCs w:val="20"/>
          <w:color w:val="auto"/>
        </w:rPr>
      </w:pPr>
    </w:p>
    <w:p>
      <w:pPr>
        <w:ind w:left="1280" w:hanging="302"/>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Conversion and Exchange of Shares</w:t>
      </w:r>
      <w:r>
        <w:rPr>
          <w:rFonts w:ascii="Arial" w:cs="Arial" w:eastAsia="Arial" w:hAnsi="Arial"/>
          <w:sz w:val="18"/>
          <w:szCs w:val="18"/>
          <w:color w:val="auto"/>
        </w:rPr>
        <w:t>.</w:t>
      </w:r>
    </w:p>
    <w:p>
      <w:pPr>
        <w:spacing w:after="0" w:line="117" w:lineRule="exact"/>
        <w:rPr>
          <w:sz w:val="20"/>
          <w:szCs w:val="20"/>
          <w:color w:val="auto"/>
        </w:rPr>
      </w:pPr>
    </w:p>
    <w:p>
      <w:pPr>
        <w:ind w:left="1200"/>
        <w:spacing w:after="0"/>
        <w:tabs>
          <w:tab w:leader="none" w:pos="15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Voluntary Conversion of Class B Common Stock and Class D Common Stock</w:t>
      </w:r>
      <w:r>
        <w:rPr>
          <w:rFonts w:ascii="Arial" w:cs="Arial" w:eastAsia="Arial" w:hAnsi="Arial"/>
          <w:sz w:val="17"/>
          <w:szCs w:val="17"/>
          <w:color w:val="auto"/>
        </w:rPr>
        <w:t>.</w:t>
      </w:r>
    </w:p>
    <w:p>
      <w:pPr>
        <w:spacing w:after="0" w:line="117" w:lineRule="exact"/>
        <w:rPr>
          <w:sz w:val="20"/>
          <w:szCs w:val="20"/>
          <w:color w:val="auto"/>
        </w:rPr>
      </w:pPr>
    </w:p>
    <w:p>
      <w:pPr>
        <w:ind w:left="1420" w:right="80" w:hanging="10"/>
        <w:spacing w:after="0" w:line="255" w:lineRule="auto"/>
        <w:tabs>
          <w:tab w:leader="none" w:pos="1727"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share of Class B Common Stock or Class D Common Stock may be converted into one fully paid and non-assessable share of Class A Common Stock or Class C Common Stock, respectively, at any time at the option of the holder of such share of Class B Common Stock or Class D Common Stock. In order to exercise the conversion privilege, the holder of any shares of Class B Common Stock or Class D Common Stock to be converted shall present and surrender the certificate or certificates representing such shares (if certificated) during usual business hours at the principal executive offices of the Corporation or, if any agent for the registration or transfer of shares of Class B Common Stock or Class D Common Stock is then duly appointed and acting (the “</w:t>
      </w:r>
      <w:r>
        <w:rPr>
          <w:rFonts w:ascii="Arial" w:cs="Arial" w:eastAsia="Arial" w:hAnsi="Arial"/>
          <w:sz w:val="17"/>
          <w:szCs w:val="17"/>
          <w:u w:val="single" w:color="auto"/>
          <w:color w:val="auto"/>
        </w:rPr>
        <w:t>Class B Transfer Agent</w:t>
      </w:r>
      <w:r>
        <w:rPr>
          <w:rFonts w:ascii="Arial" w:cs="Arial" w:eastAsia="Arial" w:hAnsi="Arial"/>
          <w:sz w:val="17"/>
          <w:szCs w:val="17"/>
          <w:color w:val="auto"/>
        </w:rPr>
        <w:t>” and the “</w:t>
      </w:r>
      <w:r>
        <w:rPr>
          <w:rFonts w:ascii="Arial" w:cs="Arial" w:eastAsia="Arial" w:hAnsi="Arial"/>
          <w:sz w:val="17"/>
          <w:szCs w:val="17"/>
          <w:u w:val="single" w:color="auto"/>
          <w:color w:val="auto"/>
        </w:rPr>
        <w:t>Class D Transfer Agent</w:t>
      </w:r>
      <w:r>
        <w:rPr>
          <w:rFonts w:ascii="Arial" w:cs="Arial" w:eastAsia="Arial" w:hAnsi="Arial"/>
          <w:sz w:val="17"/>
          <w:szCs w:val="17"/>
          <w:color w:val="auto"/>
        </w:rPr>
        <w:t>,” respectively), at the office of the Class B Transfer Agent or Class D Transfer Agent, as applicable, accompanied by written notice that the holder elects to convert the shares of Class B Common Stock or Class D Common Stock, as applicable, represented by such certificate or certificates, to the extent specified in such notice. If required by the Corporation, any certificate for shares of Class B Common Stock or Class D Common Stock surrendered for conversion shall be accompanied by instruments of transfer, in form reasonably satisfactory to the Corporation and the Class B Transfer Agent or Class D Transfer Agent, as applicable, duly executed by the holder of such shares or such holder’s duly authorized representative. As promptly as practicable after the receipt of such notice and the surrender of the certificate or certificates representing such shares of Class B Common Stock or Class D Common Stock as aforesaid and in any event within three (3) days of the receipt of such notice and certificates, if such shares are certificated, the Corporation shall issue and deliver at such office to such holder, or on such holder’s written order, a certificate or certificates for the number of full shares of Class A Common Stock or Class C Common Stock, as applicable, (if certificated) issuable upon the conversion of such shares. To the extent such shares of Class B Common Stock or Class D Common Stock as aforesaid are settled through the facilities of The Depository Trust Company, the Corporation shall, upon such holder’s written order, issue and deliver the number of full shares</w:t>
      </w:r>
    </w:p>
    <w:p>
      <w:pPr>
        <w:spacing w:after="0" w:line="27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420" w:right="160"/>
        <w:spacing w:after="0"/>
        <w:rPr>
          <w:sz w:val="20"/>
          <w:szCs w:val="20"/>
          <w:color w:val="auto"/>
        </w:rPr>
      </w:pPr>
      <w:r>
        <w:rPr>
          <w:rFonts w:ascii="Arial" w:cs="Arial" w:eastAsia="Arial" w:hAnsi="Arial"/>
          <w:sz w:val="18"/>
          <w:szCs w:val="18"/>
          <w:color w:val="auto"/>
        </w:rPr>
        <w:t>of Class A Common Stock or Class C Common Stock, as applicable, issuable upon the conversion of such shares through the facilities of The Depository Trust Company to the account of the participant of The Depository Trust Company designated by such holder. Each conversion of shares of Class B Common Stock or Class D Common Stock shall be deemed to have been effected on (i) the date on which such notice shall have been received by the Corporation, the Class B Transfer Agent or the Class D Transfer Agent, as applicable (subject to receipt by the Corporation, the Class B Transfer Agent or the Class D Transfer Agent, as applicable, within five (5) Business Days thereafter of any required instruments of transfer as aforesaid), or (ii) such later date specified in or pursuant to such notice, and the Person or Persons in whose name or names any certificate or certificates for shares of Class A Common Stock or Class C Common Stock shall be issuable upon such conversion as aforesaid shall be deemed to have become on said date the holder or holders of record of the shares represented thereby.</w:t>
      </w:r>
    </w:p>
    <w:p>
      <w:pPr>
        <w:spacing w:after="0" w:line="113" w:lineRule="exact"/>
        <w:rPr>
          <w:sz w:val="20"/>
          <w:szCs w:val="20"/>
          <w:color w:val="auto"/>
        </w:rPr>
      </w:pPr>
    </w:p>
    <w:p>
      <w:pPr>
        <w:ind w:left="1420" w:right="60" w:hanging="10"/>
        <w:spacing w:after="0" w:line="251" w:lineRule="auto"/>
        <w:tabs>
          <w:tab w:leader="none" w:pos="1767"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anything in this Section 6.1 to the contrary, any holder may withdraw or amend a notice of conversion, in whole or in part, prior to the effectiveness of the conversion, at any time prior to 5:00 p.m., New York City time, on the Business Day immediately preceding the date of the conversion (or any such later time as may be required by applicable law) by delivery of a written notice of withdrawal to the Corporation, the Class B Transfer Agent or the Class D Transfer Agent, as applicable, specifying (1) if applicable, the certificate numbers of the withdrawn shares of Class B Common Stock or Class D Common Stock, (2) if any, the number of shares of Class B Common Stock or Class D Common Stock as to which the notice of conversion remains in effect and (3) if the holder so determines, a new conversion date or any other new or revised information permitted in a notice of conversion. A notice of conversion may specify that the conversion is to be contingent (including as to timing) upon the consummation of a purchase by another Person (whether in a tender or exchange offer, an underwritten offering or otherwise) of shares of the Class A Common Stock or Class C Common Stock into which the Class B Common Stock or Class D Common Stock, respectively, is convertible, or contingent (including as to timing) upon the closing of an announced merger, consolidation or other transaction or event in which the Class A Common Stock or Class C Common Stock would be exchanged or converted or become exchangeable for or convertible into cash or other securities or property.</w:t>
      </w:r>
    </w:p>
    <w:p>
      <w:pPr>
        <w:spacing w:after="0" w:line="100" w:lineRule="exact"/>
        <w:rPr>
          <w:sz w:val="20"/>
          <w:szCs w:val="20"/>
          <w:color w:val="auto"/>
        </w:rPr>
      </w:pPr>
    </w:p>
    <w:p>
      <w:pPr>
        <w:ind w:left="1200"/>
        <w:spacing w:after="0"/>
        <w:tabs>
          <w:tab w:leader="none" w:pos="15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Automatic Conversion of Class B Common Stock and Class D Common Stock</w:t>
      </w:r>
      <w:r>
        <w:rPr>
          <w:rFonts w:ascii="Arial" w:cs="Arial" w:eastAsia="Arial" w:hAnsi="Arial"/>
          <w:sz w:val="17"/>
          <w:szCs w:val="17"/>
          <w:color w:val="auto"/>
        </w:rPr>
        <w:t>.</w:t>
      </w:r>
    </w:p>
    <w:p>
      <w:pPr>
        <w:spacing w:after="0" w:line="117" w:lineRule="exact"/>
        <w:rPr>
          <w:sz w:val="20"/>
          <w:szCs w:val="20"/>
          <w:color w:val="auto"/>
        </w:rPr>
      </w:pPr>
    </w:p>
    <w:p>
      <w:pPr>
        <w:ind w:left="1420" w:right="80" w:hanging="10"/>
        <w:spacing w:after="0" w:line="251" w:lineRule="auto"/>
        <w:tabs>
          <w:tab w:leader="none" w:pos="1727"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outstanding share of Class B Common Stock or Class D Common Stock will, automatically and without further action on the part of the Corporation or any holder of Class B Common Stock or Class D Common Stock, convert into one fully paid and non-assessable share of Class A Common Stock or Class C Common Stock, respectively, (a) immediately prior to any Transfer of such Class B Common Stock or Class D Common Stock, as applicable, by the initial registered holder thereof, other than a Transfer to any Permitted Transferee or (b) upon the occurrence of the Triggering Event. Upon any conversion pursuant to this Section 6.2, the certificate or certificates that represented immediately prior thereto the shares of Class B Common Stock or Class D Common Stock that were so converted, automatically and without further action, shall represent the same number of shares of Class A Common Stock or Class C Common Stock, respectively, without the need for surrender or exchange thereof. As promptly as practicable following a conversion pursuant to this Section 6.2, the Corporation shall deliver or cause to be delivered to any holder whose shares of Class B Common Stock or Class D Common Stock have been converted as a result of such conversion the number of shares of Class A Common Stock or Class C Common Stock deliverable upon such conversion, as applicable, registered in the name of such holder. To the extent such shares are settled through the facilities of The Depository Trust Company, the Corporation will, upon the written instruction of such holder, deliver the shares of Class A Common Stock or Class C Common Stock deliverable to such holder, through the facilities of The Depository Trust Company, to the account of the participant of The Depository Trust Company designated by such holder. Each share of Class B Common Stock and Class D Common Stock that is converted pursuant to this Section 6.2 shall thereupon be retired by the Corporation and shall not be available for reissuance.</w:t>
      </w:r>
    </w:p>
    <w:p>
      <w:pPr>
        <w:spacing w:after="0" w:line="98" w:lineRule="exact"/>
        <w:rPr>
          <w:rFonts w:ascii="Arial" w:cs="Arial" w:eastAsia="Arial" w:hAnsi="Arial"/>
          <w:sz w:val="18"/>
          <w:szCs w:val="18"/>
          <w:color w:val="auto"/>
        </w:rPr>
      </w:pPr>
    </w:p>
    <w:p>
      <w:pPr>
        <w:ind w:left="1420" w:right="100" w:hanging="10"/>
        <w:spacing w:after="0" w:line="253" w:lineRule="auto"/>
        <w:tabs>
          <w:tab w:leader="none" w:pos="17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Corporation may, from time to time, establish such policies and procedures relating to the conversion of the Class B Common Stock and Class D Common Stock and the general administration of its multi-class common stock structure, including the issuance of stock certificates with respect thereto, as it may deem necessary or advisable, and may request that holders of shares of Class B Common Stock or Class D Common Stock furnish affidavits or other proof to the Corporation as it deems necessary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199390</wp:posOffset>
            </wp:positionV>
            <wp:extent cx="754380" cy="2400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420" w:right="320"/>
        <w:spacing w:after="0" w:line="274" w:lineRule="auto"/>
        <w:rPr>
          <w:sz w:val="20"/>
          <w:szCs w:val="20"/>
          <w:color w:val="auto"/>
        </w:rPr>
      </w:pPr>
      <w:r>
        <w:rPr>
          <w:rFonts w:ascii="Arial" w:cs="Arial" w:eastAsia="Arial" w:hAnsi="Arial"/>
          <w:sz w:val="17"/>
          <w:szCs w:val="17"/>
          <w:color w:val="auto"/>
        </w:rPr>
        <w:t>verify the ownership of Class B Common Stock or Class D Common Stock, as applicable, and to confirm that a conversion to Class A Common Stock or Class C Common Stock, respectively has not occurred.</w:t>
      </w:r>
    </w:p>
    <w:p>
      <w:pPr>
        <w:spacing w:after="0" w:line="80" w:lineRule="exact"/>
        <w:rPr>
          <w:sz w:val="20"/>
          <w:szCs w:val="20"/>
          <w:color w:val="auto"/>
        </w:rPr>
      </w:pPr>
    </w:p>
    <w:p>
      <w:pPr>
        <w:ind w:left="1200" w:right="100"/>
        <w:spacing w:after="0" w:line="24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Unconverted Shares</w:t>
      </w:r>
      <w:r>
        <w:rPr>
          <w:rFonts w:ascii="Arial" w:cs="Arial" w:eastAsia="Arial" w:hAnsi="Arial"/>
          <w:sz w:val="18"/>
          <w:szCs w:val="18"/>
          <w:color w:val="auto"/>
        </w:rPr>
        <w:t>. If less than all of the shares of Class B Common Stock or Class D Common Stock evidenced by a certificate or certificates surrendered to the Corporation are converted, the Corporation shall execute and deliver to, or upon the written order of, the holder of such certificate or certificates a new certificate or certificates evidencing the number of shares of Common Stock which are not converted without charge to the holder.</w:t>
      </w:r>
    </w:p>
    <w:p>
      <w:pPr>
        <w:spacing w:after="0" w:line="95" w:lineRule="exact"/>
        <w:rPr>
          <w:sz w:val="20"/>
          <w:szCs w:val="20"/>
          <w:color w:val="auto"/>
        </w:rPr>
      </w:pPr>
    </w:p>
    <w:p>
      <w:pPr>
        <w:ind w:left="1200" w:right="300"/>
        <w:spacing w:after="0" w:line="26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Conversion Rights of Class A Common Stock and Class C Common Stock</w:t>
      </w:r>
      <w:r>
        <w:rPr>
          <w:rFonts w:ascii="Arial" w:cs="Arial" w:eastAsia="Arial" w:hAnsi="Arial"/>
          <w:sz w:val="18"/>
          <w:szCs w:val="18"/>
          <w:color w:val="auto"/>
        </w:rPr>
        <w:t>. The Class A Common Stock and Class C Common Stock shall not have any conversion rights.</w:t>
      </w:r>
    </w:p>
    <w:p>
      <w:pPr>
        <w:spacing w:after="0" w:line="76" w:lineRule="exact"/>
        <w:rPr>
          <w:sz w:val="20"/>
          <w:szCs w:val="20"/>
          <w:color w:val="auto"/>
        </w:rPr>
      </w:pPr>
    </w:p>
    <w:p>
      <w:pPr>
        <w:ind w:left="1200" w:right="60"/>
        <w:spacing w:after="0" w:line="251"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Reservation of Shares of Class A Common Stock for Conversion Right</w:t>
      </w:r>
      <w:r>
        <w:rPr>
          <w:rFonts w:ascii="Arial" w:cs="Arial" w:eastAsia="Arial" w:hAnsi="Arial"/>
          <w:sz w:val="18"/>
          <w:szCs w:val="18"/>
          <w:color w:val="auto"/>
        </w:rPr>
        <w:t>. The Corporation will at all times reserve and keep available out of its authorized and unissued shares of Class A Common Stock, solely for the purposes of conversions of Class B Common Stock, the number of shares of Class A Common Stock that are issuable upon conversion of all outstanding shares of Class B Common Stock, including any shares of Class B Common Stock issuable upon the exchange of all outstanding shares of Class D Common Stock, together with the corresponding Common Units constituting the remainder of any Class D Paired Interests in which such shares are included, pursuant to Section 2.01 of the Exchange Agreement. The Corporation covenants that all the shares of Class A Common Stock that are issued upon conversion of such Class B Common Stock will, upon issuance, be validly issued, fully paid and non-assessable.</w:t>
      </w:r>
    </w:p>
    <w:p>
      <w:pPr>
        <w:spacing w:after="0" w:line="104" w:lineRule="exact"/>
        <w:rPr>
          <w:sz w:val="20"/>
          <w:szCs w:val="20"/>
          <w:color w:val="auto"/>
        </w:rPr>
      </w:pPr>
    </w:p>
    <w:p>
      <w:pPr>
        <w:ind w:left="1200" w:right="100"/>
        <w:spacing w:after="0" w:line="252"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Reservation of Shares of Class C Common Stock for Conversion Right</w:t>
      </w:r>
      <w:r>
        <w:rPr>
          <w:rFonts w:ascii="Arial" w:cs="Arial" w:eastAsia="Arial" w:hAnsi="Arial"/>
          <w:sz w:val="18"/>
          <w:szCs w:val="18"/>
          <w:color w:val="auto"/>
        </w:rPr>
        <w:t>. The Corporation will at all times reserve and keep available out of its authorized and unissued shares of Class C Common Stock, solely for the purposes of conversions of Class D Common Stock, the number of shares of Class C Common Stock that are issuable upon conversion of all outstanding shares of Class D Common Stock. The Corporation covenants that all the shares of Class C Common Stock that are issued upon conversion of Class D Common Stock will, upon issuance, be validly issued, fully paid and non-assessable.</w:t>
      </w:r>
    </w:p>
    <w:p>
      <w:pPr>
        <w:spacing w:after="0" w:line="100" w:lineRule="exact"/>
        <w:rPr>
          <w:sz w:val="20"/>
          <w:szCs w:val="20"/>
          <w:color w:val="auto"/>
        </w:rPr>
      </w:pPr>
    </w:p>
    <w:p>
      <w:pPr>
        <w:ind w:left="1200" w:right="80"/>
        <w:spacing w:after="0" w:line="25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Retirement of Non-Economic Common Stock</w:t>
      </w:r>
      <w:r>
        <w:rPr>
          <w:rFonts w:ascii="Arial" w:cs="Arial" w:eastAsia="Arial" w:hAnsi="Arial"/>
          <w:sz w:val="18"/>
          <w:szCs w:val="18"/>
          <w:color w:val="auto"/>
        </w:rPr>
        <w:t>. In the event that no Class D Paired Interests remain exchangeable for shares of Class B Common Stock, the Class D Common Stock will be transferred to the Corporation and thereupon shall be retired. In the event that no Class C Paired Interests remain exchangeable for shares of Class A Common Stock, the Class C Common Stock will be transferred to the Corporation and thereupon shall be retired. In the event that any outstanding share of Non-Economic Common Stock shall cease to be held by a holder of Common Units, such share shall automatically and without further action on the part of the Corporation or its holder be transferred to the Corporation and thereupon shall be retired and cease to be outstanding and may not be reissued by the Corporation.</w:t>
      </w:r>
    </w:p>
    <w:p>
      <w:pPr>
        <w:spacing w:after="0" w:line="97" w:lineRule="exact"/>
        <w:rPr>
          <w:sz w:val="20"/>
          <w:szCs w:val="20"/>
          <w:color w:val="auto"/>
        </w:rPr>
      </w:pPr>
    </w:p>
    <w:p>
      <w:pPr>
        <w:ind w:left="1200" w:right="100"/>
        <w:spacing w:after="0" w:line="252"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Distributions with Respect to Converted Shares</w:t>
      </w:r>
      <w:r>
        <w:rPr>
          <w:rFonts w:ascii="Arial" w:cs="Arial" w:eastAsia="Arial" w:hAnsi="Arial"/>
          <w:sz w:val="18"/>
          <w:szCs w:val="18"/>
          <w:color w:val="auto"/>
        </w:rPr>
        <w:t>. No conversion pursuant to this Article 6 shall impair the right of the converting stockholder to receive any dividends or other distributions payable on shares so converted in respect of a record date that occurs prior to the effective date for such conversion. For the avoidance of doubt, no converting stockholder shall be entitled to receive, in respect of a single record date, dividends or other distributions both on shares that are converted by such stockholder and on shares received by such stockholder in such conversion.</w:t>
      </w:r>
    </w:p>
    <w:p>
      <w:pPr>
        <w:spacing w:after="0" w:line="100" w:lineRule="exact"/>
        <w:rPr>
          <w:sz w:val="20"/>
          <w:szCs w:val="20"/>
          <w:color w:val="auto"/>
        </w:rPr>
      </w:pPr>
    </w:p>
    <w:p>
      <w:pPr>
        <w:ind w:left="1200" w:right="220"/>
        <w:spacing w:after="0" w:line="25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Exchange of Class C Common Stock and Class D Common Stock</w:t>
      </w:r>
      <w:r>
        <w:rPr>
          <w:rFonts w:ascii="Arial" w:cs="Arial" w:eastAsia="Arial" w:hAnsi="Arial"/>
          <w:sz w:val="18"/>
          <w:szCs w:val="18"/>
          <w:color w:val="auto"/>
        </w:rPr>
        <w:t>. Shares of Class C Common Stock or Class D Common Stock may be exchanged, together with the corresponding Common Units constituting the remainder of any Class C Paired Interests or Class D Paired Interests in which such shares are included, as applicable, at any time and from time to time for shares of Class A Common Stock or Class B Common Stock, respectively, in accordance with Section 2.01 of the Exchange Agreement.</w:t>
      </w:r>
    </w:p>
    <w:p>
      <w:pPr>
        <w:spacing w:after="0" w:line="97" w:lineRule="exact"/>
        <w:rPr>
          <w:sz w:val="20"/>
          <w:szCs w:val="20"/>
          <w:color w:val="auto"/>
        </w:rPr>
      </w:pPr>
    </w:p>
    <w:p>
      <w:pPr>
        <w:ind w:left="1200" w:right="120"/>
        <w:spacing w:after="0" w:line="268"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The issuance of shares of Economic Common Stock upon the exercise by holders of shares of Non-Economic Common Stock of their right under Section 2.01 of the Exchange Agreement to exchange Paired Interests will be made without charge to the holders of the shares of Non-Economic Common Stock for any transfer taxes, stamp taxes or duties or other similar tax in respect of the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shares of Economic Common Stock are to be issued in a name other than that of the then record holder of the shares of Non-Economic Common Stock being exchanged (or The Depository Trust Company or its nominee for the account of a participant of The Depository Trust Company that will hold the shares for the account of such holder), then such holder and/or the Person in whose name such shares are to</w:t>
      </w:r>
    </w:p>
    <w:p>
      <w:pPr>
        <w:spacing w:after="0" w:line="26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200" w:right="100"/>
        <w:spacing w:after="0" w:line="256" w:lineRule="auto"/>
        <w:rPr>
          <w:sz w:val="20"/>
          <w:szCs w:val="20"/>
          <w:color w:val="auto"/>
        </w:rPr>
      </w:pPr>
      <w:r>
        <w:rPr>
          <w:rFonts w:ascii="Arial" w:cs="Arial" w:eastAsia="Arial" w:hAnsi="Arial"/>
          <w:sz w:val="18"/>
          <w:szCs w:val="18"/>
          <w:color w:val="auto"/>
        </w:rPr>
        <w:t>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94" w:lineRule="exact"/>
        <w:rPr>
          <w:sz w:val="20"/>
          <w:szCs w:val="20"/>
          <w:color w:val="auto"/>
        </w:rPr>
      </w:pPr>
    </w:p>
    <w:p>
      <w:pPr>
        <w:ind w:left="1280" w:hanging="302"/>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117" w:lineRule="exact"/>
        <w:rPr>
          <w:sz w:val="20"/>
          <w:szCs w:val="20"/>
          <w:color w:val="auto"/>
        </w:rPr>
      </w:pPr>
    </w:p>
    <w:p>
      <w:pPr>
        <w:ind w:left="1200"/>
        <w:spacing w:after="0"/>
        <w:tabs>
          <w:tab w:leader="none" w:pos="15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Number of Directors</w:t>
      </w:r>
      <w:r>
        <w:rPr>
          <w:rFonts w:ascii="Arial" w:cs="Arial" w:eastAsia="Arial" w:hAnsi="Arial"/>
          <w:sz w:val="17"/>
          <w:szCs w:val="17"/>
          <w:color w:val="auto"/>
        </w:rPr>
        <w:t>.</w:t>
      </w:r>
    </w:p>
    <w:p>
      <w:pPr>
        <w:spacing w:after="0" w:line="117" w:lineRule="exact"/>
        <w:rPr>
          <w:sz w:val="20"/>
          <w:szCs w:val="20"/>
          <w:color w:val="auto"/>
        </w:rPr>
      </w:pPr>
    </w:p>
    <w:p>
      <w:pPr>
        <w:ind w:left="1420" w:right="80" w:hanging="10"/>
        <w:spacing w:after="0" w:line="252" w:lineRule="auto"/>
        <w:tabs>
          <w:tab w:leader="none" w:pos="17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business and affairs of the Corporation shall be managed by, or under the direction of, the Board. Unless and except to the extent that the Amended and Restated By-laws of the Corporation (as such By-laws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require, the election of the directors of the Corporation (the “</w:t>
      </w:r>
      <w:r>
        <w:rPr>
          <w:rFonts w:ascii="Arial" w:cs="Arial" w:eastAsia="Arial" w:hAnsi="Arial"/>
          <w:sz w:val="18"/>
          <w:szCs w:val="18"/>
          <w:u w:val="single" w:color="auto"/>
          <w:color w:val="auto"/>
        </w:rPr>
        <w:t>Directors</w:t>
      </w:r>
      <w:r>
        <w:rPr>
          <w:rFonts w:ascii="Arial" w:cs="Arial" w:eastAsia="Arial" w:hAnsi="Arial"/>
          <w:sz w:val="18"/>
          <w:szCs w:val="18"/>
          <w:color w:val="auto"/>
        </w:rPr>
        <w:t>’”) need not be by written ballot. Except as otherwise provided for or fixed pursuant to the provisions of Section 5.2 of this Amended Certificate of Incorporation relating to the rights of the holders of any series of Preferred Stock to elect additional Directors, the total number of Directors constituting the entire Board shall be not less than three (3) nor more than twenty (20), with the then authorized number of Directors being fixed from time to time by the Board.</w:t>
      </w:r>
    </w:p>
    <w:p>
      <w:pPr>
        <w:spacing w:after="0" w:line="97" w:lineRule="exact"/>
        <w:rPr>
          <w:rFonts w:ascii="Arial" w:cs="Arial" w:eastAsia="Arial" w:hAnsi="Arial"/>
          <w:sz w:val="18"/>
          <w:szCs w:val="18"/>
          <w:color w:val="auto"/>
        </w:rPr>
      </w:pPr>
    </w:p>
    <w:p>
      <w:pPr>
        <w:ind w:left="1420" w:right="80" w:hanging="10"/>
        <w:spacing w:after="0" w:line="265" w:lineRule="auto"/>
        <w:tabs>
          <w:tab w:leader="none" w:pos="1767" w:val="left"/>
        </w:tabs>
        <w:numPr>
          <w:ilvl w:val="0"/>
          <w:numId w:val="66"/>
        </w:numPr>
        <w:rPr>
          <w:rFonts w:ascii="Arial" w:cs="Arial" w:eastAsia="Arial" w:hAnsi="Arial"/>
          <w:sz w:val="17"/>
          <w:szCs w:val="17"/>
          <w:color w:val="auto"/>
        </w:rPr>
      </w:pPr>
      <w:r>
        <w:rPr>
          <w:rFonts w:ascii="Arial" w:cs="Arial" w:eastAsia="Arial" w:hAnsi="Arial"/>
          <w:sz w:val="17"/>
          <w:szCs w:val="17"/>
          <w:color w:val="auto"/>
        </w:rPr>
        <w:t>During any period when the holders of any series of Preferred Stock have the right to elect additional Directors as provided for or fixed pursuant to the provisions of Section 5.2 (“</w:t>
      </w:r>
      <w:r>
        <w:rPr>
          <w:rFonts w:ascii="Arial" w:cs="Arial" w:eastAsia="Arial" w:hAnsi="Arial"/>
          <w:sz w:val="17"/>
          <w:szCs w:val="17"/>
          <w:u w:val="single" w:color="auto"/>
          <w:color w:val="auto"/>
        </w:rPr>
        <w:t>Preferred Stock Directors</w:t>
      </w:r>
      <w:r>
        <w:rPr>
          <w:rFonts w:ascii="Arial" w:cs="Arial" w:eastAsia="Arial" w:hAnsi="Arial"/>
          <w:sz w:val="17"/>
          <w:szCs w:val="17"/>
          <w:color w:val="auto"/>
        </w:rPr>
        <w:t>”), upon the commencement, and for the duration, of the period during which such right continues: (i) the then total authorized number of Directors shall automatically be increased by such specified number of Preferred Stock Directors, and the holders of the related Preferred Stock shall be entitled to elect the Preferred Stock Directors pursuant to the provisions of the Board’s designation for the series of Preferred Stock, and</w:t>
      </w:r>
    </w:p>
    <w:p>
      <w:pPr>
        <w:ind w:left="1420" w:right="260" w:hanging="10"/>
        <w:spacing w:after="0" w:line="251" w:lineRule="auto"/>
        <w:tabs>
          <w:tab w:leader="none" w:pos="16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such Preferred Stock Director shall serve until such Preferred Stock 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w:t>
      </w:r>
    </w:p>
    <w:p>
      <w:pPr>
        <w:spacing w:after="0" w:line="103" w:lineRule="exact"/>
        <w:rPr>
          <w:sz w:val="20"/>
          <w:szCs w:val="20"/>
          <w:color w:val="auto"/>
        </w:rPr>
      </w:pPr>
    </w:p>
    <w:p>
      <w:pPr>
        <w:ind w:left="1200"/>
        <w:spacing w:after="0"/>
        <w:tabs>
          <w:tab w:leader="none" w:pos="1580" w:val="left"/>
          <w:tab w:leader="none" w:pos="31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Staggered Board</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Board (other than Preferred Stock Directors) shall be divided into three</w:t>
      </w:r>
    </w:p>
    <w:p>
      <w:pPr>
        <w:spacing w:after="0" w:line="9" w:lineRule="exact"/>
        <w:rPr>
          <w:sz w:val="20"/>
          <w:szCs w:val="20"/>
          <w:color w:val="auto"/>
        </w:rPr>
      </w:pPr>
    </w:p>
    <w:p>
      <w:pPr>
        <w:ind w:left="1200" w:right="80" w:hanging="6"/>
        <w:spacing w:after="0" w:line="251" w:lineRule="auto"/>
        <w:tabs>
          <w:tab w:leader="none" w:pos="14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classes, as nearly equal in number as possible, designated Class I, Class II and Class III. Class I Directors shall initially serve until the first annual meeting of stockholders following the effectiveness of this Amended Certificate of Incorporation; Class II Directors shall initially serve until the second annual meeting of stockholders following the effectiveness hereof; and Class III Directors shall initially serve until the third annual meeting of stockholders following the effectiveness hereof. Commencing with the first annual meeting of stockholders following the effectiveness hereof, each Director of each class the term of which shall then expire shall be elected to hold office for a three-year term and until such Director’s successor has been duly elected and qualified. In case of any increase or decrease, from time to time, in the number of Directors (other than Preferred Stock Directors), the number of Directors in each class shall be apportioned as nearly equal as possible. The Board is authorized to assign members of the Board already holding office to Class I, Class II and Class III.</w:t>
      </w:r>
    </w:p>
    <w:p>
      <w:pPr>
        <w:spacing w:after="0" w:line="103" w:lineRule="exact"/>
        <w:rPr>
          <w:sz w:val="20"/>
          <w:szCs w:val="20"/>
          <w:color w:val="auto"/>
        </w:rPr>
      </w:pPr>
    </w:p>
    <w:p>
      <w:pPr>
        <w:ind w:left="1200" w:right="60"/>
        <w:spacing w:after="0" w:line="25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Subject to the rights of the holders of any one or more series of Preferred Stock then outstanding and subject to obtaining any required stockholder votes or consents under the Stockholders Agreement, newly created directorships resulting from any increase in the authorized number of Directors or any vacancies on the Board resulting from death, resignation, retirement, disqualification, removal from office or other cause shall be filled by the affirmative vote of a majority of the remaining Directors then in office, even if less than a quorum of the Board or, prior to the Triggering Event, by the affirmative vote of the holders of a majority of the total voting power of the outstanding shares of capital stock of the Corporation entitled to vote generally in the election of Directors, voting together as a single class. Any Director so chosen shall hold office until the next election of the class for which such Director shall have been chosen and until his or her successor shall be duly elected and qualified or until such Director’s earlier death, disqualification, resignation or removal. No decrease in the number of Directors shall shorten the term of any Director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202565</wp:posOffset>
            </wp:positionV>
            <wp:extent cx="754380" cy="2400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200" w:right="400"/>
        <w:spacing w:after="0" w:line="250"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Except for Preferred Stock Directors and subject to obtaining any required stockholder votes or consents under the Stockholders Agreement, any Director or the entire Board may be removed from office at any time, but only for cause by the affirmative vote of the holders of seventy-</w:t>
      </w:r>
    </w:p>
    <w:p>
      <w:pPr>
        <w:spacing w:after="0" w:line="1" w:lineRule="exact"/>
        <w:rPr>
          <w:sz w:val="20"/>
          <w:szCs w:val="20"/>
          <w:color w:val="auto"/>
        </w:rPr>
      </w:pPr>
    </w:p>
    <w:p>
      <w:pPr>
        <w:ind w:left="1200" w:right="140"/>
        <w:spacing w:after="0" w:line="253" w:lineRule="auto"/>
        <w:rPr>
          <w:sz w:val="20"/>
          <w:szCs w:val="20"/>
          <w:color w:val="auto"/>
        </w:rPr>
      </w:pPr>
      <w:r>
        <w:rPr>
          <w:rFonts w:ascii="Arial" w:cs="Arial" w:eastAsia="Arial" w:hAnsi="Arial"/>
          <w:sz w:val="18"/>
          <w:szCs w:val="18"/>
          <w:color w:val="auto"/>
        </w:rPr>
        <w:t xml:space="preserve">five percent (75%) of the total voting power of the outstanding shares of capital stock of the Corporation entitled to vote generally in the election of Directors, voting together as a single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Triggering Event, any Director may be removed with or without cause by the affirmative vote of the holders of a majority of the total voting power of the outstanding shares of capital stock of the Corporation entitled to vote generally in the election of Directors, voting together as a single class.</w:t>
      </w:r>
    </w:p>
    <w:p>
      <w:pPr>
        <w:spacing w:after="0" w:line="97" w:lineRule="exact"/>
        <w:rPr>
          <w:sz w:val="20"/>
          <w:szCs w:val="20"/>
          <w:color w:val="auto"/>
        </w:rPr>
      </w:pPr>
    </w:p>
    <w:p>
      <w:pPr>
        <w:ind w:left="1280" w:hanging="302"/>
        <w:spacing w:after="0"/>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117" w:lineRule="exact"/>
        <w:rPr>
          <w:sz w:val="20"/>
          <w:szCs w:val="20"/>
          <w:color w:val="auto"/>
        </w:rPr>
      </w:pPr>
    </w:p>
    <w:p>
      <w:pPr>
        <w:ind w:left="1200" w:right="60"/>
        <w:spacing w:after="0" w:line="25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From and after the Triggering Event, any action required or permitted to be taken by the stockholders of the Corporation may be effected only at a duly called annual or special meeting of stockholders of the Corporation and may not be effected by any consent in writing by such stockholders. Prior to the Triggering Event, any action required or permitted to be taken by the stockholders of the Corporation may be effected by the consent in writing of the holders of a majority of the total voting power of the Corporation entitled to vote thereon, voting together as a single class in lieu of a duly called annual or special meeting of stockholders.</w:t>
      </w:r>
    </w:p>
    <w:p>
      <w:pPr>
        <w:spacing w:after="0" w:line="99" w:lineRule="exact"/>
        <w:rPr>
          <w:sz w:val="20"/>
          <w:szCs w:val="20"/>
          <w:color w:val="auto"/>
        </w:rPr>
      </w:pPr>
    </w:p>
    <w:p>
      <w:pPr>
        <w:ind w:left="1200" w:right="120"/>
        <w:spacing w:after="0" w:line="25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Subject to any special rights of the holders of any series of Preferred Stock, and to the requirements of applicable law, special meetings of stockholders of the Corporation may be called only (i) by or at the direction of the Board pursuant to a written resolution adopted by a majority of the total number of Directors that the Corporation would have if there were no vacancies or (ii) by or at the direction of the Chairman, the Vice Chairman or the Chief Executive Officer. In addition, prior to the Triggering Event, special meetings of stockholders of the Corporation may be called by the Secretary of the Corporation at the request of the holders of a majority of the total voting power of the outstanding shares of capital stock of the Corporation entitled to vote generally in the election of Directors, voting together as a single class. Any business transacted at any special meeting of stockholders shall be limited to matters relating to the purpose or purposes stated in the notice of meeting.</w:t>
      </w:r>
    </w:p>
    <w:p>
      <w:pPr>
        <w:spacing w:after="0" w:line="103" w:lineRule="exact"/>
        <w:rPr>
          <w:sz w:val="20"/>
          <w:szCs w:val="20"/>
          <w:color w:val="auto"/>
        </w:rPr>
      </w:pPr>
    </w:p>
    <w:p>
      <w:pPr>
        <w:ind w:left="1200" w:right="120"/>
        <w:spacing w:after="0" w:line="26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Election of Directors by Written Ballot</w:t>
      </w:r>
      <w:r>
        <w:rPr>
          <w:rFonts w:ascii="Arial" w:cs="Arial" w:eastAsia="Arial" w:hAnsi="Arial"/>
          <w:sz w:val="18"/>
          <w:szCs w:val="18"/>
          <w:color w:val="auto"/>
        </w:rPr>
        <w:t>. Unless and except to the extent that the By-laws shall so require, the election of the Directors need not be by written ballot.</w:t>
      </w:r>
    </w:p>
    <w:p>
      <w:pPr>
        <w:spacing w:after="0" w:line="90" w:lineRule="exact"/>
        <w:rPr>
          <w:sz w:val="20"/>
          <w:szCs w:val="20"/>
          <w:color w:val="auto"/>
        </w:rPr>
      </w:pPr>
    </w:p>
    <w:p>
      <w:pPr>
        <w:ind w:left="1280" w:hanging="302"/>
        <w:spacing w:after="0"/>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Business Combinations</w:t>
      </w:r>
      <w:r>
        <w:rPr>
          <w:rFonts w:ascii="Arial" w:cs="Arial" w:eastAsia="Arial" w:hAnsi="Arial"/>
          <w:sz w:val="18"/>
          <w:szCs w:val="18"/>
          <w:color w:val="auto"/>
        </w:rPr>
        <w:t>.</w:t>
      </w:r>
    </w:p>
    <w:p>
      <w:pPr>
        <w:spacing w:after="0" w:line="117" w:lineRule="exact"/>
        <w:rPr>
          <w:sz w:val="20"/>
          <w:szCs w:val="20"/>
          <w:color w:val="auto"/>
        </w:rPr>
      </w:pPr>
    </w:p>
    <w:p>
      <w:pPr>
        <w:ind w:left="1200" w:right="420"/>
        <w:spacing w:after="0" w:line="261"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Section 203 of the General Corporation Law</w:t>
      </w:r>
      <w:r>
        <w:rPr>
          <w:rFonts w:ascii="Arial" w:cs="Arial" w:eastAsia="Arial" w:hAnsi="Arial"/>
          <w:sz w:val="18"/>
          <w:szCs w:val="18"/>
          <w:color w:val="auto"/>
        </w:rPr>
        <w:t>. The Corporation will not be subject to the provisions of Section 203 of the General Corporation Law.</w:t>
      </w:r>
    </w:p>
    <w:p>
      <w:pPr>
        <w:spacing w:after="0" w:line="90" w:lineRule="exact"/>
        <w:rPr>
          <w:sz w:val="20"/>
          <w:szCs w:val="20"/>
          <w:color w:val="auto"/>
        </w:rPr>
      </w:pPr>
    </w:p>
    <w:p>
      <w:pPr>
        <w:ind w:left="1200" w:right="80"/>
        <w:spacing w:after="0" w:line="25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Limitations on Business Combinations</w:t>
      </w:r>
      <w:r>
        <w:rPr>
          <w:rFonts w:ascii="Arial" w:cs="Arial" w:eastAsia="Arial" w:hAnsi="Arial"/>
          <w:sz w:val="18"/>
          <w:szCs w:val="18"/>
          <w:color w:val="auto"/>
        </w:rPr>
        <w:t>. Notwithstanding Section 9.1, the Corporation shall not engage in any business combination (as defined below), at any point in time at which the Corporation’s Class A Common Stock is registered under Section 12(b) or 12(g) of the Exchange Act, with any interested stockholder (as defined below) for a period of three (3) years following the time that such stockholder became an interested stockholder, unless:</w:t>
      </w:r>
    </w:p>
    <w:p>
      <w:pPr>
        <w:spacing w:after="0" w:line="97" w:lineRule="exact"/>
        <w:rPr>
          <w:sz w:val="20"/>
          <w:szCs w:val="20"/>
          <w:color w:val="auto"/>
        </w:rPr>
      </w:pPr>
    </w:p>
    <w:p>
      <w:pPr>
        <w:ind w:left="1420" w:right="740" w:hanging="10"/>
        <w:spacing w:after="0" w:line="261" w:lineRule="auto"/>
        <w:tabs>
          <w:tab w:leader="none" w:pos="1727"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89" w:lineRule="exact"/>
        <w:rPr>
          <w:rFonts w:ascii="Arial" w:cs="Arial" w:eastAsia="Arial" w:hAnsi="Arial"/>
          <w:sz w:val="18"/>
          <w:szCs w:val="18"/>
          <w:color w:val="auto"/>
        </w:rPr>
      </w:pPr>
    </w:p>
    <w:p>
      <w:pPr>
        <w:ind w:left="1420" w:right="200" w:hanging="10"/>
        <w:spacing w:after="0" w:line="252" w:lineRule="auto"/>
        <w:tabs>
          <w:tab w:leader="none" w:pos="17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eighty-five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or (ii) employee stock plans in which employee participants do not have the right to determine confidentially whether shares held subject to the plan will be tendered in a tender or exchange offer, or</w:t>
      </w:r>
    </w:p>
    <w:p>
      <w:pPr>
        <w:spacing w:after="0" w:line="98" w:lineRule="exact"/>
        <w:rPr>
          <w:rFonts w:ascii="Arial" w:cs="Arial" w:eastAsia="Arial" w:hAnsi="Arial"/>
          <w:sz w:val="18"/>
          <w:szCs w:val="18"/>
          <w:color w:val="auto"/>
        </w:rPr>
      </w:pPr>
    </w:p>
    <w:p>
      <w:pPr>
        <w:ind w:left="1420" w:right="200" w:hanging="10"/>
        <w:spacing w:after="0" w:line="254" w:lineRule="auto"/>
        <w:tabs>
          <w:tab w:leader="none" w:pos="180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two thirds of the outstanding voting stock of the Corporation which is not owned by the interested stockholder.</w:t>
      </w:r>
    </w:p>
    <w:p>
      <w:pPr>
        <w:spacing w:after="0" w:line="200" w:lineRule="exact"/>
        <w:rPr>
          <w:sz w:val="20"/>
          <w:szCs w:val="20"/>
          <w:color w:val="auto"/>
        </w:rPr>
      </w:pPr>
    </w:p>
    <w:p>
      <w:pPr>
        <w:spacing w:after="0" w:line="27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200"/>
        <w:spacing w:after="0"/>
        <w:tabs>
          <w:tab w:leader="none" w:pos="1580" w:val="left"/>
          <w:tab w:leader="none" w:pos="26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For purposes of this Article 9:</w:t>
      </w:r>
    </w:p>
    <w:p>
      <w:pPr>
        <w:spacing w:after="0" w:line="117" w:lineRule="exact"/>
        <w:rPr>
          <w:sz w:val="20"/>
          <w:szCs w:val="20"/>
          <w:color w:val="auto"/>
        </w:rPr>
      </w:pPr>
    </w:p>
    <w:p>
      <w:pPr>
        <w:ind w:left="1420" w:right="300" w:hanging="10"/>
        <w:spacing w:after="0" w:line="246" w:lineRule="auto"/>
        <w:tabs>
          <w:tab w:leader="none" w:pos="17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02" w:lineRule="exact"/>
        <w:rPr>
          <w:rFonts w:ascii="Arial" w:cs="Arial" w:eastAsia="Arial" w:hAnsi="Arial"/>
          <w:sz w:val="18"/>
          <w:szCs w:val="18"/>
          <w:color w:val="auto"/>
        </w:rPr>
      </w:pPr>
    </w:p>
    <w:p>
      <w:pPr>
        <w:ind w:left="1420" w:right="220" w:hanging="10"/>
        <w:spacing w:after="0" w:line="257" w:lineRule="auto"/>
        <w:tabs>
          <w:tab w:leader="none" w:pos="1767"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associate</w:t>
      </w:r>
      <w:r>
        <w:rPr>
          <w:rFonts w:ascii="Arial" w:cs="Arial" w:eastAsia="Arial" w:hAnsi="Arial"/>
          <w:sz w:val="17"/>
          <w:szCs w:val="17"/>
          <w:color w:val="auto"/>
        </w:rPr>
        <w:t>,” when used to indicate a relationship with any person, means: (i) any corporation, partnership, unincorporated association or other entity of which such person is a director, officer or partner or is, directly or indirectly, the owner of twenty-percent (20%) or more of any class of voting stock; (ii) any trust or other estate in which such person has at least a twenty-percent (20%) beneficial interest or as to which such person serves as trustee or in a similar fiduciary capacity; and (iii) any relative or spouse of such person, or any relative of such spouse, who has the same residence as such person.</w:t>
      </w:r>
    </w:p>
    <w:p>
      <w:pPr>
        <w:spacing w:after="0" w:line="94" w:lineRule="exact"/>
        <w:rPr>
          <w:rFonts w:ascii="Arial" w:cs="Arial" w:eastAsia="Arial" w:hAnsi="Arial"/>
          <w:sz w:val="17"/>
          <w:szCs w:val="17"/>
          <w:color w:val="auto"/>
        </w:rPr>
      </w:pPr>
    </w:p>
    <w:p>
      <w:pPr>
        <w:ind w:left="1420" w:right="400" w:hanging="10"/>
        <w:spacing w:after="0" w:line="246" w:lineRule="auto"/>
        <w:tabs>
          <w:tab w:leader="none" w:pos="180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when used in reference to the Corporation and any interested stockholder, means:</w:t>
      </w:r>
    </w:p>
    <w:p>
      <w:pPr>
        <w:spacing w:after="0" w:line="88" w:lineRule="exact"/>
        <w:rPr>
          <w:rFonts w:ascii="Arial" w:cs="Arial" w:eastAsia="Arial" w:hAnsi="Arial"/>
          <w:sz w:val="18"/>
          <w:szCs w:val="18"/>
          <w:color w:val="auto"/>
        </w:rPr>
      </w:pPr>
    </w:p>
    <w:p>
      <w:pPr>
        <w:ind w:left="1620" w:right="140" w:firstLine="6"/>
        <w:spacing w:after="0" w:line="245" w:lineRule="auto"/>
        <w:tabs>
          <w:tab w:leader="none" w:pos="1987"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9.2 is not applicable to the surviving entity;</w:t>
      </w:r>
    </w:p>
    <w:p>
      <w:pPr>
        <w:spacing w:after="0" w:line="91" w:lineRule="exact"/>
        <w:rPr>
          <w:rFonts w:ascii="Arial" w:cs="Arial" w:eastAsia="Arial" w:hAnsi="Arial"/>
          <w:sz w:val="18"/>
          <w:szCs w:val="18"/>
          <w:color w:val="auto"/>
        </w:rPr>
      </w:pPr>
    </w:p>
    <w:p>
      <w:pPr>
        <w:ind w:left="1620" w:right="100" w:firstLine="6"/>
        <w:spacing w:after="0" w:line="241" w:lineRule="auto"/>
        <w:tabs>
          <w:tab w:leader="none" w:pos="1987"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97" w:lineRule="exact"/>
        <w:rPr>
          <w:rFonts w:ascii="Arial" w:cs="Arial" w:eastAsia="Arial" w:hAnsi="Arial"/>
          <w:sz w:val="18"/>
          <w:szCs w:val="18"/>
          <w:color w:val="auto"/>
        </w:rPr>
      </w:pPr>
    </w:p>
    <w:p>
      <w:pPr>
        <w:ind w:left="1620" w:right="120" w:firstLine="6"/>
        <w:spacing w:after="0"/>
        <w:tabs>
          <w:tab w:leader="none" w:pos="1987"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General Corporation Law;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case under items (c)-(e) of this subsection</w:t>
      </w:r>
    </w:p>
    <w:p>
      <w:pPr>
        <w:ind w:left="1620" w:right="80" w:firstLine="6"/>
        <w:spacing w:after="0" w:line="248" w:lineRule="auto"/>
        <w:tabs>
          <w:tab w:leader="none" w:pos="1888" w:val="left"/>
        </w:tabs>
        <w:numPr>
          <w:ilvl w:val="1"/>
          <w:numId w:val="73"/>
        </w:numPr>
        <w:rPr>
          <w:rFonts w:ascii="Arial" w:cs="Arial" w:eastAsia="Arial" w:hAnsi="Arial"/>
          <w:sz w:val="18"/>
          <w:szCs w:val="18"/>
          <w:color w:val="auto"/>
        </w:rPr>
      </w:pPr>
      <w:r>
        <w:rPr>
          <w:rFonts w:ascii="Arial" w:cs="Arial" w:eastAsia="Arial" w:hAnsi="Arial"/>
          <w:sz w:val="18"/>
          <w:szCs w:val="18"/>
          <w:color w:val="auto"/>
        </w:rPr>
        <w:t>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87" w:lineRule="exact"/>
        <w:rPr>
          <w:rFonts w:ascii="Arial" w:cs="Arial" w:eastAsia="Arial" w:hAnsi="Arial"/>
          <w:sz w:val="18"/>
          <w:szCs w:val="18"/>
          <w:color w:val="auto"/>
        </w:rPr>
      </w:pPr>
    </w:p>
    <w:p>
      <w:pPr>
        <w:ind w:left="1620" w:right="140" w:firstLine="6"/>
        <w:spacing w:after="0" w:line="243" w:lineRule="auto"/>
        <w:tabs>
          <w:tab w:leader="none" w:pos="19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92" w:lineRule="exact"/>
        <w:rPr>
          <w:rFonts w:ascii="Arial" w:cs="Arial" w:eastAsia="Arial" w:hAnsi="Arial"/>
          <w:sz w:val="18"/>
          <w:szCs w:val="18"/>
          <w:color w:val="auto"/>
        </w:rPr>
      </w:pPr>
    </w:p>
    <w:p>
      <w:pPr>
        <w:ind w:left="1620" w:right="220" w:firstLine="6"/>
        <w:spacing w:after="0" w:line="243" w:lineRule="auto"/>
        <w:tabs>
          <w:tab w:leader="none" w:pos="19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(1)-(4) above) provided by or through the Corporation or any direct or indirect majority-owned subsidiary.</w:t>
      </w:r>
    </w:p>
    <w:p>
      <w:pPr>
        <w:spacing w:after="0" w:line="93" w:lineRule="exact"/>
        <w:rPr>
          <w:rFonts w:ascii="Arial" w:cs="Arial" w:eastAsia="Arial" w:hAnsi="Arial"/>
          <w:sz w:val="18"/>
          <w:szCs w:val="18"/>
          <w:color w:val="auto"/>
        </w:rPr>
      </w:pPr>
    </w:p>
    <w:p>
      <w:pPr>
        <w:ind w:left="1420" w:right="120" w:hanging="10"/>
        <w:spacing w:after="0" w:line="248" w:lineRule="auto"/>
        <w:tabs>
          <w:tab w:leader="none" w:pos="1817"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stock, by contract, or otherwise.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201930</wp:posOffset>
            </wp:positionV>
            <wp:extent cx="754380" cy="2400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420" w:right="180"/>
        <w:spacing w:after="0" w:line="243" w:lineRule="auto"/>
        <w:rPr>
          <w:sz w:val="20"/>
          <w:szCs w:val="20"/>
          <w:color w:val="auto"/>
        </w:rPr>
      </w:pPr>
      <w:r>
        <w:rPr>
          <w:rFonts w:ascii="Arial" w:cs="Arial" w:eastAsia="Arial" w:hAnsi="Arial"/>
          <w:sz w:val="18"/>
          <w:szCs w:val="18"/>
          <w:color w:val="auto"/>
        </w:rPr>
        <w:t>who is the owner of twenty percent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9, as an agent, bank, broker, nominee, custodian or trustee for one or more owners who do not individually or as a group have control of such entity.</w:t>
      </w:r>
    </w:p>
    <w:p>
      <w:pPr>
        <w:spacing w:after="0" w:line="93" w:lineRule="exact"/>
        <w:rPr>
          <w:sz w:val="20"/>
          <w:szCs w:val="20"/>
          <w:color w:val="auto"/>
        </w:rPr>
      </w:pPr>
    </w:p>
    <w:p>
      <w:pPr>
        <w:ind w:left="1420" w:right="60" w:hanging="10"/>
        <w:spacing w:after="0"/>
        <w:tabs>
          <w:tab w:leader="none" w:pos="1777"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interested stockholder</w:t>
      </w:r>
      <w:r>
        <w:rPr>
          <w:rFonts w:ascii="Arial" w:cs="Arial" w:eastAsia="Arial" w:hAnsi="Arial"/>
          <w:sz w:val="18"/>
          <w:szCs w:val="18"/>
          <w:color w:val="auto"/>
        </w:rPr>
        <w:t xml:space="preserve">” means any person (other than the Corporation or any direct or indirect majority-owned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 (3) year period immediately prior to the date on which it is sought to be determined whether such person is an interested stockholder, and the affiliates and associates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 “interested stockholder” shall not include (a) the Principal Stockholders or Principal Stockholder transferees or (b) any person whose ownership of shares in excess of the fifteen percent (15%) limitation set forth herein is the result of any action taken solely by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person specified in this clause (b)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03" w:lineRule="exact"/>
        <w:rPr>
          <w:rFonts w:ascii="Arial" w:cs="Arial" w:eastAsia="Arial" w:hAnsi="Arial"/>
          <w:sz w:val="18"/>
          <w:szCs w:val="18"/>
          <w:color w:val="auto"/>
        </w:rPr>
      </w:pPr>
    </w:p>
    <w:p>
      <w:pPr>
        <w:ind w:left="1420" w:right="80" w:hanging="10"/>
        <w:spacing w:after="0" w:line="261" w:lineRule="auto"/>
        <w:tabs>
          <w:tab w:leader="none" w:pos="1817"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76" w:lineRule="exact"/>
        <w:rPr>
          <w:rFonts w:ascii="Arial" w:cs="Arial" w:eastAsia="Arial" w:hAnsi="Arial"/>
          <w:sz w:val="18"/>
          <w:szCs w:val="18"/>
          <w:color w:val="auto"/>
        </w:rPr>
      </w:pPr>
    </w:p>
    <w:p>
      <w:pPr>
        <w:ind w:left="2000" w:hanging="374"/>
        <w:spacing w:after="0"/>
        <w:tabs>
          <w:tab w:leader="none" w:pos="20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7" w:lineRule="exact"/>
        <w:rPr>
          <w:rFonts w:ascii="Arial" w:cs="Arial" w:eastAsia="Arial" w:hAnsi="Arial"/>
          <w:sz w:val="18"/>
          <w:szCs w:val="18"/>
          <w:color w:val="auto"/>
        </w:rPr>
      </w:pPr>
    </w:p>
    <w:p>
      <w:pPr>
        <w:ind w:left="1620" w:right="60" w:firstLine="6"/>
        <w:spacing w:after="0" w:line="241" w:lineRule="auto"/>
        <w:tabs>
          <w:tab w:leader="none" w:pos="1987"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95" w:lineRule="exact"/>
        <w:rPr>
          <w:rFonts w:ascii="Arial" w:cs="Arial" w:eastAsia="Arial" w:hAnsi="Arial"/>
          <w:sz w:val="18"/>
          <w:szCs w:val="18"/>
          <w:color w:val="auto"/>
        </w:rPr>
      </w:pPr>
    </w:p>
    <w:p>
      <w:pPr>
        <w:ind w:left="1620" w:right="480" w:firstLine="6"/>
        <w:spacing w:after="0" w:line="256" w:lineRule="auto"/>
        <w:tabs>
          <w:tab w:leader="none" w:pos="1987" w:val="left"/>
        </w:tabs>
        <w:numPr>
          <w:ilvl w:val="2"/>
          <w:numId w:val="75"/>
        </w:numPr>
        <w:rPr>
          <w:rFonts w:ascii="Arial" w:cs="Arial" w:eastAsia="Arial" w:hAnsi="Arial"/>
          <w:sz w:val="17"/>
          <w:szCs w:val="17"/>
          <w:color w:val="auto"/>
        </w:rPr>
      </w:pPr>
      <w:r>
        <w:rPr>
          <w:rFonts w:ascii="Arial" w:cs="Arial" w:eastAsia="Arial" w:hAnsi="Arial"/>
          <w:sz w:val="17"/>
          <w:szCs w:val="17"/>
          <w:color w:val="auto"/>
        </w:rPr>
        <w:t>has any agreement, arrangement or understanding for the purpose of acquiring, holding, voting (except voting pursuant to a revocable proxy or consent as described in item (b) of subsection</w:t>
      </w:r>
    </w:p>
    <w:p>
      <w:pPr>
        <w:spacing w:after="0" w:line="1" w:lineRule="exact"/>
        <w:rPr>
          <w:rFonts w:ascii="Arial" w:cs="Arial" w:eastAsia="Arial" w:hAnsi="Arial"/>
          <w:sz w:val="17"/>
          <w:szCs w:val="17"/>
          <w:color w:val="auto"/>
        </w:rPr>
      </w:pPr>
    </w:p>
    <w:p>
      <w:pPr>
        <w:ind w:left="1620" w:right="160" w:firstLine="6"/>
        <w:spacing w:after="0" w:line="246" w:lineRule="auto"/>
        <w:tabs>
          <w:tab w:leader="none" w:pos="1888" w:val="left"/>
        </w:tabs>
        <w:numPr>
          <w:ilvl w:val="2"/>
          <w:numId w:val="76"/>
        </w:numPr>
        <w:rPr>
          <w:rFonts w:ascii="Arial" w:cs="Arial" w:eastAsia="Arial" w:hAnsi="Arial"/>
          <w:sz w:val="18"/>
          <w:szCs w:val="18"/>
          <w:color w:val="auto"/>
        </w:rPr>
      </w:pPr>
      <w:r>
        <w:rPr>
          <w:rFonts w:ascii="Arial" w:cs="Arial" w:eastAsia="Arial" w:hAnsi="Arial"/>
          <w:sz w:val="18"/>
          <w:szCs w:val="18"/>
          <w:color w:val="auto"/>
        </w:rPr>
        <w:t>above), or disposing of such stock with any other person that beneficially owns, or whose affiliates or associates beneficially own, directly or indirectly, such stock.</w:t>
      </w:r>
    </w:p>
    <w:p>
      <w:pPr>
        <w:spacing w:after="0" w:line="88" w:lineRule="exact"/>
        <w:rPr>
          <w:rFonts w:ascii="Arial" w:cs="Arial" w:eastAsia="Arial" w:hAnsi="Arial"/>
          <w:sz w:val="18"/>
          <w:szCs w:val="18"/>
          <w:color w:val="auto"/>
        </w:rPr>
      </w:pPr>
    </w:p>
    <w:p>
      <w:pPr>
        <w:ind w:left="1740" w:hanging="330"/>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117" w:lineRule="exact"/>
        <w:rPr>
          <w:rFonts w:ascii="Arial" w:cs="Arial" w:eastAsia="Arial" w:hAnsi="Arial"/>
          <w:sz w:val="18"/>
          <w:szCs w:val="18"/>
          <w:color w:val="auto"/>
        </w:rPr>
      </w:pPr>
    </w:p>
    <w:p>
      <w:pPr>
        <w:ind w:left="1420" w:right="120" w:hanging="10"/>
        <w:spacing w:after="0" w:line="261" w:lineRule="auto"/>
        <w:tabs>
          <w:tab w:leader="none" w:pos="1896"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76" w:lineRule="exact"/>
        <w:rPr>
          <w:rFonts w:ascii="Arial" w:cs="Arial" w:eastAsia="Arial" w:hAnsi="Arial"/>
          <w:sz w:val="18"/>
          <w:szCs w:val="18"/>
          <w:color w:val="auto"/>
        </w:rPr>
      </w:pPr>
    </w:p>
    <w:p>
      <w:pPr>
        <w:ind w:left="1420" w:right="420" w:hanging="10"/>
        <w:spacing w:after="0" w:line="248" w:lineRule="auto"/>
        <w:tabs>
          <w:tab w:leader="none" w:pos="1817"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Stockholder transferee</w:t>
      </w:r>
      <w:r>
        <w:rPr>
          <w:rFonts w:ascii="Arial" w:cs="Arial" w:eastAsia="Arial" w:hAnsi="Arial"/>
          <w:sz w:val="18"/>
          <w:szCs w:val="18"/>
          <w:color w:val="auto"/>
        </w:rPr>
        <w:t>” means any Person who acquires voting stock of the Corporation from a Principal Stockholder (other than in connection with a public offering) and who is designated in writing by such Principal Stockholder as a “Principal Stockholder transferee.”</w:t>
      </w:r>
    </w:p>
    <w:p>
      <w:pPr>
        <w:spacing w:after="0" w:line="87" w:lineRule="exact"/>
        <w:rPr>
          <w:rFonts w:ascii="Arial" w:cs="Arial" w:eastAsia="Arial" w:hAnsi="Arial"/>
          <w:sz w:val="18"/>
          <w:szCs w:val="18"/>
          <w:color w:val="auto"/>
        </w:rPr>
      </w:pPr>
    </w:p>
    <w:p>
      <w:pPr>
        <w:ind w:left="1760" w:hanging="350"/>
        <w:spacing w:after="0"/>
        <w:tabs>
          <w:tab w:leader="none" w:pos="17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117" w:lineRule="exact"/>
        <w:rPr>
          <w:rFonts w:ascii="Arial" w:cs="Arial" w:eastAsia="Arial" w:hAnsi="Arial"/>
          <w:sz w:val="18"/>
          <w:szCs w:val="18"/>
          <w:color w:val="auto"/>
        </w:rPr>
      </w:pPr>
    </w:p>
    <w:p>
      <w:pPr>
        <w:ind w:left="1380" w:hanging="402"/>
        <w:spacing w:after="0"/>
        <w:tabs>
          <w:tab w:leader="none" w:pos="13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w:t>
      </w:r>
    </w:p>
    <w:p>
      <w:pPr>
        <w:spacing w:after="0" w:line="117" w:lineRule="exact"/>
        <w:rPr>
          <w:sz w:val="20"/>
          <w:szCs w:val="20"/>
          <w:color w:val="auto"/>
        </w:rPr>
      </w:pPr>
    </w:p>
    <w:p>
      <w:pPr>
        <w:ind w:left="1200" w:right="160"/>
        <w:spacing w:after="0" w:line="24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Certain Acknowledgement</w:t>
      </w:r>
      <w:r>
        <w:rPr>
          <w:rFonts w:ascii="Arial" w:cs="Arial" w:eastAsia="Arial" w:hAnsi="Arial"/>
          <w:sz w:val="18"/>
          <w:szCs w:val="18"/>
          <w:color w:val="auto"/>
        </w:rPr>
        <w:t>. In recognition and anticipation that, subject to certain contractual commitments entered into with the Corporation and/or its subsidiaries, (i) certain directors, principals, officers, employees and/or other representatives of investment funds or vehicles affiliated with the Principal</w:t>
      </w:r>
    </w:p>
    <w:p>
      <w:pPr>
        <w:spacing w:after="0" w:line="26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200" w:right="60"/>
        <w:spacing w:after="0" w:line="267" w:lineRule="auto"/>
        <w:rPr>
          <w:sz w:val="20"/>
          <w:szCs w:val="20"/>
          <w:color w:val="auto"/>
        </w:rPr>
      </w:pPr>
      <w:r>
        <w:rPr>
          <w:rFonts w:ascii="Arial" w:cs="Arial" w:eastAsia="Arial" w:hAnsi="Arial"/>
          <w:sz w:val="17"/>
          <w:szCs w:val="17"/>
          <w:color w:val="auto"/>
        </w:rPr>
        <w:t>Stockholders and their respective Affiliates may serve as directors, officers or agents of the Corporation or any of its subsidiaries, (ii) the Principal Stockholders and their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certain members of the Board who are not officers or employees of the Corporation (other than Mr. Vincent Viola) (“</w:t>
      </w:r>
      <w:r>
        <w:rPr>
          <w:rFonts w:ascii="Arial" w:cs="Arial" w:eastAsia="Arial" w:hAnsi="Arial"/>
          <w:sz w:val="17"/>
          <w:szCs w:val="17"/>
          <w:u w:val="single" w:color="auto"/>
          <w:color w:val="auto"/>
        </w:rPr>
        <w:t>Non-Employee Directors</w:t>
      </w:r>
      <w:r>
        <w:rPr>
          <w:rFonts w:ascii="Arial" w:cs="Arial" w:eastAsia="Arial" w:hAnsi="Arial"/>
          <w:sz w:val="17"/>
          <w:szCs w:val="17"/>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10 are set forth to regulate and define the conduct of certain affairs of the Corporation with respect to certain classes or categories of business opportunities as they may involve any of the Principal Stockholders, certain of the Non-Employee Directors or their respective Affiliates and the powers, rights, duties and liabilities of the Corporation and its Directors, officers and stockholders in connection therewith.</w:t>
      </w:r>
    </w:p>
    <w:p>
      <w:pPr>
        <w:spacing w:after="0" w:line="89" w:lineRule="exact"/>
        <w:rPr>
          <w:sz w:val="20"/>
          <w:szCs w:val="20"/>
          <w:color w:val="auto"/>
        </w:rPr>
      </w:pPr>
    </w:p>
    <w:p>
      <w:pPr>
        <w:ind w:left="1200" w:right="200"/>
        <w:spacing w:after="0" w:line="250"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Scope</w:t>
      </w:r>
      <w:r>
        <w:rPr>
          <w:rFonts w:ascii="Arial" w:cs="Arial" w:eastAsia="Arial" w:hAnsi="Arial"/>
          <w:sz w:val="18"/>
          <w:szCs w:val="18"/>
          <w:color w:val="auto"/>
        </w:rPr>
        <w:t xml:space="preserve">. The Corporation waives, to the maximum extent permitted by law, the application of the doctrine of corporate opportunity, or any other analogous doctrine, with respect to the Corporation, to the Principal Stockholders, any Directors or any of their respective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waiver shall not apply to Directors (other than Mr. Viola) that are officers of the Corporation and/or any of its subsidiaries (each Person entitled such waiver, an “</w:t>
      </w:r>
      <w:r>
        <w:rPr>
          <w:rFonts w:ascii="Arial" w:cs="Arial" w:eastAsia="Arial" w:hAnsi="Arial"/>
          <w:sz w:val="18"/>
          <w:szCs w:val="18"/>
          <w:u w:val="single" w:color="auto"/>
          <w:color w:val="auto"/>
        </w:rPr>
        <w:t>Exempted Person</w:t>
      </w:r>
      <w:r>
        <w:rPr>
          <w:rFonts w:ascii="Arial" w:cs="Arial" w:eastAsia="Arial" w:hAnsi="Arial"/>
          <w:sz w:val="18"/>
          <w:szCs w:val="18"/>
          <w:color w:val="auto"/>
        </w:rPr>
        <w:t>”). To the maximum extent permitted by law, except to the extent otherwise provided in any agreement between an Exempted Person and the Corporation and/or any of its subsidiaries, no Exempted Person shall have any obligation to refrain from</w:t>
      </w:r>
    </w:p>
    <w:p>
      <w:pPr>
        <w:spacing w:after="0" w:line="3" w:lineRule="exact"/>
        <w:rPr>
          <w:sz w:val="20"/>
          <w:szCs w:val="20"/>
          <w:color w:val="auto"/>
        </w:rPr>
      </w:pPr>
    </w:p>
    <w:p>
      <w:pPr>
        <w:ind w:left="1200" w:right="80" w:hanging="6"/>
        <w:spacing w:after="0" w:line="266" w:lineRule="auto"/>
        <w:tabs>
          <w:tab w:leader="none" w:pos="1408" w:val="left"/>
        </w:tabs>
        <w:numPr>
          <w:ilvl w:val="0"/>
          <w:numId w:val="79"/>
        </w:numPr>
        <w:rPr>
          <w:rFonts w:ascii="Arial" w:cs="Arial" w:eastAsia="Arial" w:hAnsi="Arial"/>
          <w:sz w:val="17"/>
          <w:szCs w:val="17"/>
          <w:color w:val="auto"/>
        </w:rPr>
      </w:pPr>
      <w:r>
        <w:rPr>
          <w:rFonts w:ascii="Arial" w:cs="Arial" w:eastAsia="Arial" w:hAnsi="Arial"/>
          <w:sz w:val="17"/>
          <w:szCs w:val="17"/>
          <w:color w:val="auto"/>
        </w:rPr>
        <w:t>engaging in the same or similar activities or lines of business as the Corporation or any of its Affiliates or developing or marketing any products or services that compete, directly or indirectly, with those of the Corporation or any of its Affiliates today or in which the Corporation or any of its Affiliates proposes to engage or develop, (ii) investing or owning any interest publicly or privately in, or developing a business relationship with, any Person engaged in the same or similar activities or lines of business as, or otherwise in competition with, the Corporation or any of its Affiliates or (iii) doing business with any client or customer of the Corporation or any of its Affiliates (each of the activities referred to in clauses (i)-(iii) above, a “</w:t>
      </w:r>
      <w:r>
        <w:rPr>
          <w:rFonts w:ascii="Arial" w:cs="Arial" w:eastAsia="Arial" w:hAnsi="Arial"/>
          <w:sz w:val="17"/>
          <w:szCs w:val="17"/>
          <w:u w:val="single" w:color="auto"/>
          <w:color w:val="auto"/>
        </w:rPr>
        <w:t>Specified Activity</w:t>
      </w:r>
      <w:r>
        <w:rPr>
          <w:rFonts w:ascii="Arial" w:cs="Arial" w:eastAsia="Arial" w:hAnsi="Arial"/>
          <w:sz w:val="17"/>
          <w:szCs w:val="17"/>
          <w:color w:val="auto"/>
        </w:rPr>
        <w:t>”). The Corporation renounces any interest or expectancy in, or in being offered an opportunity to participate in, any Specified Activity that may be presented to or become known to any Exempted Person. Notwithstanding anything to the contrary in this Article 10, no Exempted Person shall be liable to the Corporation or its stockholders or to any Affiliate of the Corporation for breach of any fiduciary duty solely by reason of the fact that such Exempted Person engages in any of the Specified Activities. To the fullest extent permitted by law, the Corporation hereby renounces any interest or expectancy in, or right to be offered an opportunity to participate in, any business opportunity which may be a corporate opportunity for an Exempted Person and the Corporation or any of its Affiliates, except as provided in Section 10.3 hereof. Subject to Section 10.3, in the event that any Exempted Person acquires knowledge of a potential transaction or other business opportunity which may be a corporate opportunity for itself, herself or himself and the Corporation or any of its Affiliates, such Exempted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Exempted Person pursues or acquires such corporate opportunity for itself, herself or himself, or offers or directs such corporate opportunity to another Person. For the avoidance of doubt, subject to certain contractual commitments entered into with the Corporation and/or its subsidiaries,</w:t>
      </w:r>
    </w:p>
    <w:p>
      <w:pPr>
        <w:spacing w:after="0" w:line="201" w:lineRule="exact"/>
        <w:rPr>
          <w:rFonts w:ascii="Arial" w:cs="Arial" w:eastAsia="Arial" w:hAnsi="Arial"/>
          <w:sz w:val="17"/>
          <w:szCs w:val="17"/>
          <w:color w:val="auto"/>
        </w:rPr>
      </w:pPr>
    </w:p>
    <w:p>
      <w:pPr>
        <w:ind w:left="1200" w:right="280"/>
        <w:spacing w:after="0" w:line="253" w:lineRule="auto"/>
        <w:rPr>
          <w:rFonts w:ascii="Arial" w:cs="Arial" w:eastAsia="Arial" w:hAnsi="Arial"/>
          <w:sz w:val="17"/>
          <w:szCs w:val="17"/>
          <w:color w:val="auto"/>
        </w:rPr>
      </w:pPr>
      <w:r>
        <w:rPr>
          <w:rFonts w:ascii="Arial" w:cs="Arial" w:eastAsia="Arial" w:hAnsi="Arial"/>
          <w:sz w:val="18"/>
          <w:szCs w:val="18"/>
          <w:color w:val="auto"/>
        </w:rPr>
        <w:t>Mr. Douglas A. Cifu shall be permitted to become engaged in, or provide services to, any other business or activity, whether as owner, partner, investor, consultant, agent, employee, co-venturer or otherwise, in which Mr. Viola is engaged as of the date hereof or permitted to become engaged in, to the extent that Mr. Cifu’s level of participation in such businesses or activities are consistent with his participation in such businesses and activities as the date hereof.</w:t>
      </w:r>
    </w:p>
    <w:p>
      <w:pPr>
        <w:spacing w:after="0" w:line="97" w:lineRule="exact"/>
        <w:rPr>
          <w:sz w:val="20"/>
          <w:szCs w:val="20"/>
          <w:color w:val="auto"/>
        </w:rPr>
      </w:pPr>
    </w:p>
    <w:p>
      <w:pPr>
        <w:ind w:left="1200" w:right="200"/>
        <w:spacing w:after="0" w:line="25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Allocation of Corporate Opportunities</w:t>
      </w:r>
      <w:r>
        <w:rPr>
          <w:rFonts w:ascii="Arial" w:cs="Arial" w:eastAsia="Arial" w:hAnsi="Arial"/>
          <w:sz w:val="18"/>
          <w:szCs w:val="18"/>
          <w:color w:val="auto"/>
        </w:rPr>
        <w:t>. Notwithstanding anything in Section 10.2 to the contrary, the Corporation does not renounce its interest in any corporate opportunity offered to any Director who serves as an officer of the Corporation (other than Mr. Viola and, to the extent permitted by the last sentence of Section 10.2, Mr.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198755</wp:posOffset>
            </wp:positionV>
            <wp:extent cx="754380" cy="2400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200" w:right="120"/>
        <w:spacing w:after="0" w:line="24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Certain Matters Deemed Not Corporate Opportunities</w:t>
      </w:r>
      <w:r>
        <w:rPr>
          <w:rFonts w:ascii="Arial" w:cs="Arial" w:eastAsia="Arial" w:hAnsi="Arial"/>
          <w:sz w:val="18"/>
          <w:szCs w:val="18"/>
          <w:color w:val="auto"/>
        </w:rPr>
        <w:t>. In addition to and notwithstanding the foregoing provisions of this Article 10, a corporate opportunity shall not be deemed to belong to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08" w:lineRule="exact"/>
        <w:rPr>
          <w:sz w:val="20"/>
          <w:szCs w:val="20"/>
          <w:color w:val="auto"/>
        </w:rPr>
      </w:pPr>
    </w:p>
    <w:p>
      <w:pPr>
        <w:ind w:left="1200" w:right="60"/>
        <w:spacing w:after="0" w:line="24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 of this Article</w:t>
      </w:r>
      <w:r>
        <w:rPr>
          <w:rFonts w:ascii="Arial" w:cs="Arial" w:eastAsia="Arial" w:hAnsi="Arial"/>
          <w:sz w:val="18"/>
          <w:szCs w:val="18"/>
          <w:color w:val="auto"/>
        </w:rPr>
        <w:t>. No amendment or repeal of this Article 10 in accordance with the provisions of Article 14 shall apply to or have any effect on the liability or alleged liability of any Exempted Person for or with respect to any activities or opportunities of which such Exempted Person becomes aware or otherwise relies on the protection afforded to such Exempted Person prior to such amendment or repeal. This Article 10 shall not limit any protections or defenses available to, or indemnification or advancement rights of, any Director or officer of the Corporation under this Amended Certificate of Incorporation, the By-laws or applicable law.</w:t>
      </w:r>
    </w:p>
    <w:p>
      <w:pPr>
        <w:spacing w:after="0" w:line="98" w:lineRule="exact"/>
        <w:rPr>
          <w:sz w:val="20"/>
          <w:szCs w:val="20"/>
          <w:color w:val="auto"/>
        </w:rPr>
      </w:pPr>
    </w:p>
    <w:p>
      <w:pPr>
        <w:ind w:left="1200" w:right="200"/>
        <w:spacing w:after="0" w:line="25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Notice of this Article</w:t>
      </w:r>
      <w:r>
        <w:rPr>
          <w:rFonts w:ascii="Arial" w:cs="Arial" w:eastAsia="Arial" w:hAnsi="Arial"/>
          <w:sz w:val="18"/>
          <w:szCs w:val="18"/>
          <w:color w:val="auto"/>
        </w:rPr>
        <w:t>. To the fullest extent permitted by law, any Person purchasing or otherwise acquiring any interest in any shares of capital stock of the Corporation shall be deemed to have notice of and to have consented to the provisions of this Article 10.</w:t>
      </w:r>
    </w:p>
    <w:p>
      <w:pPr>
        <w:spacing w:after="0" w:line="94" w:lineRule="exact"/>
        <w:rPr>
          <w:sz w:val="20"/>
          <w:szCs w:val="20"/>
          <w:color w:val="auto"/>
        </w:rPr>
      </w:pPr>
    </w:p>
    <w:p>
      <w:pPr>
        <w:ind w:left="1200"/>
        <w:spacing w:after="0"/>
        <w:tabs>
          <w:tab w:leader="none" w:pos="1680" w:val="left"/>
          <w:tab w:leader="none" w:pos="33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For purposes of this Article 10:</w:t>
      </w:r>
    </w:p>
    <w:p>
      <w:pPr>
        <w:spacing w:after="0" w:line="117" w:lineRule="exact"/>
        <w:rPr>
          <w:sz w:val="20"/>
          <w:szCs w:val="20"/>
          <w:color w:val="auto"/>
        </w:rPr>
      </w:pPr>
    </w:p>
    <w:p>
      <w:pPr>
        <w:ind w:left="1420" w:right="1080" w:hanging="10"/>
        <w:spacing w:after="0" w:line="261" w:lineRule="auto"/>
        <w:tabs>
          <w:tab w:leader="none" w:pos="16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the Corporation, any of its subsidiaries (including Virtu Financial and its subsidiaries) and/or any of its Affiliates; and</w:t>
      </w:r>
    </w:p>
    <w:p>
      <w:pPr>
        <w:spacing w:after="0" w:line="89" w:lineRule="exact"/>
        <w:rPr>
          <w:rFonts w:ascii="Arial" w:cs="Arial" w:eastAsia="Arial" w:hAnsi="Arial"/>
          <w:sz w:val="18"/>
          <w:szCs w:val="18"/>
          <w:color w:val="auto"/>
        </w:rPr>
      </w:pPr>
    </w:p>
    <w:p>
      <w:pPr>
        <w:ind w:left="1420" w:right="120" w:hanging="10"/>
        <w:spacing w:after="0" w:line="251" w:lineRule="auto"/>
        <w:tabs>
          <w:tab w:leader="none" w:pos="17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in respect of the Principal Stockholders, any Person that, directly or indirectly, is controlled by the Principal Stockholders, controls the Principal Stockholders or is under common control with the Principal Stockholders and shall include any principal, member, director, partner, stockholder, officer, employee or other representative of any of the foregoing (other than the Corporation and any entity that is controlled by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Viola Entities shall not be deemed “Affiliates” of the Silver Lake Entities and vice versa, (ii) the Viola Entities shall not be deemed “Affiliates” of the Temasek Entities and vice versa and (iii) the Silver Lake Entities shall not be deemed “Affiliates” of the Temasek Entities and vice versa,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w:t>
      </w:r>
    </w:p>
    <w:p>
      <w:pPr>
        <w:spacing w:after="0" w:line="103" w:lineRule="exact"/>
        <w:rPr>
          <w:sz w:val="20"/>
          <w:szCs w:val="20"/>
          <w:color w:val="auto"/>
        </w:rPr>
      </w:pPr>
    </w:p>
    <w:p>
      <w:pPr>
        <w:ind w:left="1380" w:hanging="402"/>
        <w:spacing w:after="0"/>
        <w:tabs>
          <w:tab w:leader="none" w:pos="13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117" w:lineRule="exact"/>
        <w:rPr>
          <w:sz w:val="20"/>
          <w:szCs w:val="20"/>
          <w:color w:val="auto"/>
        </w:rPr>
      </w:pPr>
    </w:p>
    <w:p>
      <w:pPr>
        <w:ind w:left="1200" w:right="360"/>
        <w:spacing w:after="0" w:line="256" w:lineRule="auto"/>
        <w:rPr>
          <w:sz w:val="20"/>
          <w:szCs w:val="20"/>
          <w:color w:val="auto"/>
        </w:rPr>
      </w:pPr>
      <w:r>
        <w:rPr>
          <w:rFonts w:ascii="Arial" w:cs="Arial" w:eastAsia="Arial" w:hAnsi="Arial"/>
          <w:sz w:val="18"/>
          <w:szCs w:val="18"/>
          <w:color w:val="auto"/>
        </w:rPr>
        <w:t xml:space="preserve">11.1 To the fullest extent permitted under the General Corporation Law, as amended from time to time, no Director </w:t>
      </w:r>
      <w:r>
        <w:rPr>
          <w:rFonts w:ascii="Arial" w:cs="Arial" w:eastAsia="Arial" w:hAnsi="Arial"/>
          <w:sz w:val="18"/>
          <w:szCs w:val="18"/>
          <w:b w:val="1"/>
          <w:bCs w:val="1"/>
          <w:u w:val="single" w:color="auto"/>
          <w:color w:val="0081C9"/>
        </w:rPr>
        <w:t>or officer of the Corporation</w:t>
      </w:r>
      <w:r>
        <w:rPr>
          <w:rFonts w:ascii="Arial" w:cs="Arial" w:eastAsia="Arial" w:hAnsi="Arial"/>
          <w:sz w:val="18"/>
          <w:szCs w:val="18"/>
          <w:color w:val="auto"/>
        </w:rPr>
        <w:t xml:space="preserve"> shall be personally liable to the Corporation or its stockholders for monetary damages for breach of fiduciary duty as a Director </w:t>
      </w:r>
      <w:r>
        <w:rPr>
          <w:rFonts w:ascii="Arial" w:cs="Arial" w:eastAsia="Arial" w:hAnsi="Arial"/>
          <w:sz w:val="18"/>
          <w:szCs w:val="18"/>
          <w:b w:val="1"/>
          <w:bCs w:val="1"/>
          <w:color w:val="0081C9"/>
        </w:rPr>
        <w:t>or officer of the Corporation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-33655</wp:posOffset>
            </wp:positionV>
            <wp:extent cx="15474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spacing w:after="0" w:line="74" w:lineRule="exact"/>
        <w:rPr>
          <w:sz w:val="20"/>
          <w:szCs w:val="20"/>
          <w:color w:val="auto"/>
        </w:rPr>
      </w:pPr>
    </w:p>
    <w:p>
      <w:pPr>
        <w:jc w:val="both"/>
        <w:ind w:left="1200" w:right="180"/>
        <w:spacing w:after="0" w:line="256" w:lineRule="auto"/>
        <w:rPr>
          <w:sz w:val="20"/>
          <w:szCs w:val="20"/>
          <w:color w:val="auto"/>
        </w:rPr>
      </w:pPr>
      <w:r>
        <w:rPr>
          <w:rFonts w:ascii="Arial" w:cs="Arial" w:eastAsia="Arial" w:hAnsi="Arial"/>
          <w:sz w:val="18"/>
          <w:szCs w:val="18"/>
          <w:color w:val="auto"/>
        </w:rPr>
        <w:t xml:space="preserve">11.2 Any amendment or repeal of Section 11.1 shall not adversely affect any right or protection of a Director </w:t>
      </w:r>
      <w:r>
        <w:rPr>
          <w:rFonts w:ascii="Arial" w:cs="Arial" w:eastAsia="Arial" w:hAnsi="Arial"/>
          <w:sz w:val="18"/>
          <w:szCs w:val="18"/>
          <w:b w:val="1"/>
          <w:bCs w:val="1"/>
          <w:color w:val="0081C9"/>
        </w:rPr>
        <w:t xml:space="preserve">or officer of the Corporation </w:t>
      </w:r>
      <w:r>
        <w:rPr>
          <w:rFonts w:ascii="Arial" w:cs="Arial" w:eastAsia="Arial" w:hAnsi="Arial"/>
          <w:sz w:val="18"/>
          <w:szCs w:val="18"/>
          <w:color w:val="000000"/>
        </w:rPr>
        <w:t>hereunder in respect of any act or omission occurring prior to the time of such</w:t>
      </w:r>
      <w:r>
        <w:rPr>
          <w:rFonts w:ascii="Arial" w:cs="Arial" w:eastAsia="Arial" w:hAnsi="Arial"/>
          <w:sz w:val="18"/>
          <w:szCs w:val="18"/>
          <w:b w:val="1"/>
          <w:bCs w:val="1"/>
          <w:color w:val="0081C9"/>
        </w:rPr>
        <w:t xml:space="preserve"> </w:t>
      </w:r>
      <w:r>
        <w:rPr>
          <w:rFonts w:ascii="Arial" w:cs="Arial" w:eastAsia="Arial" w:hAnsi="Arial"/>
          <w:sz w:val="18"/>
          <w:szCs w:val="18"/>
          <w:color w:val="000000"/>
        </w:rPr>
        <w:t>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-170815</wp:posOffset>
            </wp:positionV>
            <wp:extent cx="15462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46225" cy="8890"/>
                    </a:xfrm>
                    <a:prstGeom prst="rect">
                      <a:avLst/>
                    </a:prstGeom>
                    <a:noFill/>
                  </pic:spPr>
                </pic:pic>
              </a:graphicData>
            </a:graphic>
          </wp:anchor>
        </w:drawing>
      </w:r>
    </w:p>
    <w:p>
      <w:pPr>
        <w:spacing w:after="0" w:line="74" w:lineRule="exact"/>
        <w:rPr>
          <w:sz w:val="20"/>
          <w:szCs w:val="20"/>
          <w:color w:val="auto"/>
        </w:rPr>
      </w:pPr>
    </w:p>
    <w:p>
      <w:pPr>
        <w:ind w:left="1380" w:hanging="402"/>
        <w:spacing w:after="0"/>
        <w:tabs>
          <w:tab w:leader="none" w:pos="13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left="1200"/>
        <w:spacing w:after="0"/>
        <w:tabs>
          <w:tab w:leader="none" w:pos="1680" w:val="left"/>
          <w:tab w:leader="none" w:pos="37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Corporation shall indemnify and hold harmless, to the fullest extent</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permitted by applicable law as it presently exists or may hereafter be amended, any Person (a “</w:t>
      </w:r>
      <w:r>
        <w:rPr>
          <w:rFonts w:ascii="Arial" w:cs="Arial" w:eastAsia="Arial" w:hAnsi="Arial"/>
          <w:sz w:val="18"/>
          <w:szCs w:val="18"/>
          <w:u w:val="single" w:color="auto"/>
          <w:color w:val="auto"/>
        </w:rPr>
        <w:t>Covered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who was or is a party or is threatened to be made a party to or otherwise involved any threatened,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pending or completed action, suit or proceeding, whether civil, criminal, administrative or investigative (a</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or a Person for whom he or she is the legal representative,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is or was a Director or officer of the Corporation or, while a Director or officer of the Corporation, is or was</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serving at the request of the Corporation as a director, officer, employee, agent or trustee of another entity 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enterprise, including service with respect to employee benefit plans, against all liability and loss suffered and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expenses (including, without limitation, attorneys’ fees and expenses, judgments, fines, excise taxes 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penalties under the Employee Retirement Income Security Act of 1974, as amended, and amounts paid or to</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be paid in settlement) reasonably incurred by such Covered Person. Notwithstanding the preceding sentence,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except as otherwise provided in Section 12.3, the Corporation shall be required to indemnify a Covered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Person in connection with a Proceeding (or part thereof) commenced by such Covered Person only if the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commencement of such Proceeding (or part thereof) by the Covered Person was authorized by the Board.</w:t>
      </w:r>
    </w:p>
    <w:p>
      <w:pPr>
        <w:spacing w:after="0" w:line="29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200" w:right="100"/>
        <w:spacing w:after="0" w:line="252"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Prepayment of Expenses</w:t>
      </w:r>
      <w:r>
        <w:rPr>
          <w:rFonts w:ascii="Arial" w:cs="Arial" w:eastAsia="Arial" w:hAnsi="Arial"/>
          <w:sz w:val="18"/>
          <w:szCs w:val="18"/>
          <w:color w:val="auto"/>
        </w:rPr>
        <w:t xml:space="preserve">. To the extent not prohibited by applicable law, the Corporation shall pay the expenses (including attorneys’ fees) incurred by a Covered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12 or otherwise.</w:t>
      </w:r>
    </w:p>
    <w:p>
      <w:pPr>
        <w:spacing w:after="0" w:line="100" w:lineRule="exact"/>
        <w:rPr>
          <w:sz w:val="20"/>
          <w:szCs w:val="20"/>
          <w:color w:val="auto"/>
        </w:rPr>
      </w:pPr>
    </w:p>
    <w:p>
      <w:pPr>
        <w:ind w:left="1200" w:right="80"/>
        <w:spacing w:after="0" w:line="266"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Claims</w:t>
      </w:r>
      <w:r>
        <w:rPr>
          <w:rFonts w:ascii="Arial" w:cs="Arial" w:eastAsia="Arial" w:hAnsi="Arial"/>
          <w:sz w:val="17"/>
          <w:szCs w:val="17"/>
          <w:color w:val="auto"/>
        </w:rPr>
        <w:t>. If a claim for indemnification or advancement of expenses under this Article 12 is not 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 In (i) any suit brought by a Covered Person to enforce a right to indemnification hereunder (but not in a suit brought by a Covered Person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such Person has not met any applicable standard for indemnification set forth in the General Corporation Law. Neither the failure of the Corporation (including by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General Corporation Law, nor an actual determination by the Corporation (including by its Directors who are not parties to such action, a committee of such Directors, independent legal counsel, or its stockholders) that the Covered Person has not met such applicable standard of conduct, shall create a presumption that such Person has not met the applicable standard of conduct or, in the case of such a suit brought by the Covered Person, be a defense to such suit.</w:t>
      </w:r>
    </w:p>
    <w:p>
      <w:pPr>
        <w:spacing w:after="0" w:line="312" w:lineRule="exact"/>
        <w:rPr>
          <w:sz w:val="20"/>
          <w:szCs w:val="20"/>
          <w:color w:val="auto"/>
        </w:rPr>
      </w:pPr>
    </w:p>
    <w:p>
      <w:pPr>
        <w:ind w:left="1200" w:right="360"/>
        <w:spacing w:after="0" w:line="25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12 shall not be exclusive of any other rights that such Covered Person may have or hereafter acquire under any statute, provision of this Amended Certificate of Incorporation, the By-laws, agreement, vote of stockholders or disinterested Directors or otherwise.</w:t>
      </w:r>
    </w:p>
    <w:p>
      <w:pPr>
        <w:spacing w:after="0" w:line="96" w:lineRule="exact"/>
        <w:rPr>
          <w:sz w:val="20"/>
          <w:szCs w:val="20"/>
          <w:color w:val="auto"/>
        </w:rPr>
      </w:pPr>
    </w:p>
    <w:p>
      <w:pPr>
        <w:ind w:left="1200" w:right="140"/>
        <w:spacing w:after="0" w:line="25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Other Sources</w:t>
      </w:r>
      <w:r>
        <w:rPr>
          <w:rFonts w:ascii="Arial" w:cs="Arial" w:eastAsia="Arial" w:hAnsi="Arial"/>
          <w:sz w:val="18"/>
          <w:szCs w:val="18"/>
          <w:color w:val="auto"/>
        </w:rPr>
        <w:t>. Subject to Section 12.6, Corporation’s obligation, if any, to indemnify or to advance expenses to any Covered Person who was or is serving at its request as a director, officer, employee or agent of another entity or enterprise shall be reduced by any amount such Covered Person may collect as indemnification or advancement of expenses from such other entity or enterprise.</w:t>
      </w:r>
    </w:p>
    <w:p>
      <w:pPr>
        <w:spacing w:after="0" w:line="96" w:lineRule="exact"/>
        <w:rPr>
          <w:sz w:val="20"/>
          <w:szCs w:val="20"/>
          <w:color w:val="auto"/>
        </w:rPr>
      </w:pPr>
    </w:p>
    <w:p>
      <w:pPr>
        <w:ind w:left="1200" w:right="160"/>
        <w:spacing w:after="0" w:line="251"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Indemnitor of First Resort</w:t>
      </w:r>
      <w:r>
        <w:rPr>
          <w:rFonts w:ascii="Arial" w:cs="Arial" w:eastAsia="Arial" w:hAnsi="Arial"/>
          <w:sz w:val="18"/>
          <w:szCs w:val="18"/>
          <w:color w:val="auto"/>
        </w:rPr>
        <w:t>. In all events, (i) the Corporation hereby agrees that it is the indemnitor of first resort (i.e. its obligation to a Covered Person to provide advancement and/or indemnification to such Covered Person are primary and any obligation of any Principal Stockholder (including any Affiliate thereof other than the Corporation) to provide advancement or indemnification hereunder or under any other indemnification agreement (whether pursuant to contract, by-laws or charter), or any obligation of any insurer of any Principal Stockholder to provide insurance coverage, for the same expenses, liabilities, judgments, penalties, fines and amounts paid in settlement (including all interest, assessments and other charges paid or payable in connection with or in respect of such expenses, liabilities, judgments, penalties, fines and amounts paid in settlement) incurred by such Covered Person are secondary and (ii) if any Principal Stockholder (or any Affiliate thereof, other than the Corporation) pays or causes to be paid, for any reason, any amounts otherwise indemnifiable hereunder or under any other indemnification agreement (whether pursuant to contract, by-laws or charter) with such Covered Person, then (x) such Principal Stockholder (or such Affiliate, as the case may be), as the case may be, shall be fully subrogated to all rights of such Covered Person with respect to such payment and (y) the Corporation shall fully indemnify, reimburse and hold harmless such Principal Stockholder (or such other Affiliate), as the case may be, for all such payments actually made by such Principal Stockholder (or such other Affiliate).</w:t>
      </w:r>
    </w:p>
    <w:p>
      <w:pPr>
        <w:spacing w:after="0" w:line="100" w:lineRule="exact"/>
        <w:rPr>
          <w:sz w:val="20"/>
          <w:szCs w:val="20"/>
          <w:color w:val="auto"/>
        </w:rPr>
      </w:pPr>
    </w:p>
    <w:p>
      <w:pPr>
        <w:ind w:left="1200" w:right="80"/>
        <w:spacing w:after="0" w:line="25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Any amendment or repeal of the foregoing provisions of this Article 12 shall not adversely affect any right or protection hereunder of any Covered Person in respect of any act or omission occurring prior to the time of such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196850</wp:posOffset>
            </wp:positionV>
            <wp:extent cx="754380" cy="2400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200" w:right="320"/>
        <w:spacing w:after="0" w:line="270"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Other Indemnification and Prepayment of Expenses</w:t>
      </w:r>
      <w:r>
        <w:rPr>
          <w:rFonts w:ascii="Arial" w:cs="Arial" w:eastAsia="Arial" w:hAnsi="Arial"/>
          <w:sz w:val="17"/>
          <w:szCs w:val="17"/>
          <w:color w:val="auto"/>
        </w:rPr>
        <w:t>. This Article 12 shall not limit the right of the Corporation, to the extent and in the manner permitted by applicable law, to indemnify and to advance expenses to Persons other than Covered Persons when and as authorized by appropriate corporate action.</w:t>
      </w:r>
    </w:p>
    <w:p>
      <w:pPr>
        <w:spacing w:after="0" w:line="69" w:lineRule="exact"/>
        <w:rPr>
          <w:sz w:val="20"/>
          <w:szCs w:val="20"/>
          <w:color w:val="auto"/>
        </w:rPr>
      </w:pPr>
    </w:p>
    <w:p>
      <w:pPr>
        <w:ind w:left="1200" w:right="60"/>
        <w:spacing w:after="0" w:line="241"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Reliance</w:t>
      </w:r>
      <w:r>
        <w:rPr>
          <w:rFonts w:ascii="Arial" w:cs="Arial" w:eastAsia="Arial" w:hAnsi="Arial"/>
          <w:sz w:val="18"/>
          <w:szCs w:val="18"/>
          <w:color w:val="auto"/>
        </w:rPr>
        <w:t>. Covered Persons who after the date of the adoption of this provision become or remain a Covered Person described in Article 12 will be conclusively presumed to have relied on the rights to indemnity, advance of expenses and other rights contained in this Article 12 in entering into or continuing the service. The rights to indemnification and to the advance of expenses conferred in this Article 12 will apply to claims made against any Covered Person described in Article 12 arising out of acts or omissions in respect of the Corporation or one of its subsidiaries that occurred or occur both prior and subsequent to the adoption hereof. The rights conferred upon Covered Persons in this Article 12 shall be contract rights and such rights shall continue as to a Covered Person who has ceased to be a Director or officer and shall inure to the benefit of the Covered Person’s heirs, executors and administrators. Any amendment, alteration or repeal of this Article 12 that adversely affects any right of a Covered Person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98" w:lineRule="exact"/>
        <w:rPr>
          <w:sz w:val="20"/>
          <w:szCs w:val="20"/>
          <w:color w:val="auto"/>
        </w:rPr>
      </w:pPr>
    </w:p>
    <w:p>
      <w:pPr>
        <w:ind w:left="1200" w:right="140"/>
        <w:spacing w:after="0" w:line="243"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General Corporation Law.</w:t>
      </w:r>
    </w:p>
    <w:p>
      <w:pPr>
        <w:spacing w:after="0" w:line="93" w:lineRule="exact"/>
        <w:rPr>
          <w:sz w:val="20"/>
          <w:szCs w:val="20"/>
          <w:color w:val="auto"/>
        </w:rPr>
      </w:pPr>
    </w:p>
    <w:p>
      <w:pPr>
        <w:ind w:left="980" w:right="60" w:hanging="2"/>
        <w:spacing w:after="0" w:line="243" w:lineRule="auto"/>
        <w:tabs>
          <w:tab w:leader="none" w:pos="137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Adoption, Amendment or Repeal of By-Laws</w:t>
      </w:r>
      <w:r>
        <w:rPr>
          <w:rFonts w:ascii="Arial" w:cs="Arial" w:eastAsia="Arial" w:hAnsi="Arial"/>
          <w:sz w:val="18"/>
          <w:szCs w:val="18"/>
          <w:color w:val="auto"/>
        </w:rPr>
        <w:t xml:space="preserve">. In furtherance and not in limitation of the powers conferred by law, the Board is expressly authorized to make, alter, amend or repeal the By-laws subject to the power of the stockholders of the Corporation entitled to vote with respect thereto to make, alter, amend or repeal the By-laws;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the powers of stockholders entitled to vote with respect thereto to make, alter, amend or repeal the By-laws, from and after the Triggering Event, in addition to any other vote otherwise required by law, the affirmative vote of the holders of seventy-five percent (75%) of the total voting power of the outstanding shares of capital stock of the Corporation entitled to vote generally in the election of Directors, voting together as a single class, shall be required to make, alter, amend or repeal the By-laws.</w:t>
      </w:r>
    </w:p>
    <w:p>
      <w:pPr>
        <w:spacing w:after="0" w:line="91" w:lineRule="exact"/>
        <w:rPr>
          <w:rFonts w:ascii="Arial" w:cs="Arial" w:eastAsia="Arial" w:hAnsi="Arial"/>
          <w:sz w:val="18"/>
          <w:szCs w:val="18"/>
          <w:color w:val="auto"/>
        </w:rPr>
      </w:pPr>
    </w:p>
    <w:p>
      <w:pPr>
        <w:ind w:left="980" w:right="120" w:hanging="2"/>
        <w:spacing w:after="0"/>
        <w:tabs>
          <w:tab w:leader="none" w:pos="137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Adoption, Amendment and Repeal of Certificate</w:t>
      </w:r>
      <w:r>
        <w:rPr>
          <w:rFonts w:ascii="Arial" w:cs="Arial" w:eastAsia="Arial" w:hAnsi="Arial"/>
          <w:sz w:val="18"/>
          <w:szCs w:val="18"/>
          <w:color w:val="auto"/>
        </w:rPr>
        <w:t>. Subject to Article 5, the Corporation reserves the right to amend, alter, change or repeal any provision contained in this Amended Certificate of Incorporation, in the manner now or hereafter prescribed by the General Corporate Law, and all rights, preferences and privileges of whatsoever nature conferred upon stockholders, Directors or any other Persons whomsoever by and pursuant to this Amended Certificate of Incorporation in its present form or as hereafter amended, are granted and held subject to this reservation. Notwithstanding anything to the contrary contained in this Amended Certificate of Incorporation, and notwithstanding that a lesser percentage may be permitted from time to time by applicable law, no provision of Sections 7.2, 7.3 and 7.4 of Article 7, Section 8.1 and 8.2 of Article 8 or Article 9, 10, 13, 14 or 15 may be altered, amended or repealed in any respect, nor may any provision or by-law inconsistent therewith be adopted, unless in addition to any other vote required by this Amended Certificate of Incorporation or otherwise required by law, (i) prior to the Triggering Event, such alteration, amendment, repeal or adoption is approved by, in addition to any other vote otherwise required by law, the affirmative vote of the holders of a majority of the total voting power of the outstanding shares of capital stock of the Corporation entitled to vote generally in the election of Directors, voting together as a single class, and (ii) from and after the Triggering Event, such alteration, amendment, repeal or adoption is approved by, in addition to any other vote otherwise required by law, the affirmative vote of the holders of seventy-five percent (75%) of the total voting power of the outstanding shares of capital stock of the Corporation entitled to vote generally in the election of Directors, voting together as a single class, at a meeting of the stockholders called for that purpose.</w:t>
      </w:r>
    </w:p>
    <w:p>
      <w:pPr>
        <w:spacing w:after="0" w:line="108" w:lineRule="exact"/>
        <w:rPr>
          <w:rFonts w:ascii="Arial" w:cs="Arial" w:eastAsia="Arial" w:hAnsi="Arial"/>
          <w:sz w:val="18"/>
          <w:szCs w:val="18"/>
          <w:color w:val="auto"/>
        </w:rPr>
      </w:pPr>
    </w:p>
    <w:p>
      <w:pPr>
        <w:jc w:val="both"/>
        <w:ind w:left="980" w:right="620" w:hanging="2"/>
        <w:spacing w:after="0" w:line="248" w:lineRule="auto"/>
        <w:tabs>
          <w:tab w:leader="none" w:pos="1377"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Forum for Adjudication of Disputes</w:t>
      </w:r>
      <w:r>
        <w:rPr>
          <w:rFonts w:ascii="Arial" w:cs="Arial" w:eastAsia="Arial" w:hAnsi="Arial"/>
          <w:sz w:val="17"/>
          <w:szCs w:val="17"/>
          <w:color w:val="auto"/>
        </w:rPr>
        <w:t>. Unless the Corporation consents in writing to the selection of an alternative forum, the Court of Chancery of the State of Delaware shall be the sole and exclusive forum for</w:t>
      </w:r>
    </w:p>
    <w:p>
      <w:pPr>
        <w:spacing w:after="0" w:line="1" w:lineRule="exact"/>
        <w:rPr>
          <w:rFonts w:ascii="Arial" w:cs="Arial" w:eastAsia="Arial" w:hAnsi="Arial"/>
          <w:sz w:val="17"/>
          <w:szCs w:val="17"/>
          <w:color w:val="auto"/>
        </w:rPr>
      </w:pPr>
    </w:p>
    <w:p>
      <w:pPr>
        <w:ind w:left="980" w:right="80"/>
        <w:spacing w:after="0" w:line="243" w:lineRule="auto"/>
        <w:rPr>
          <w:rFonts w:ascii="Arial" w:cs="Arial" w:eastAsia="Arial" w:hAnsi="Arial"/>
          <w:sz w:val="17"/>
          <w:szCs w:val="17"/>
          <w:color w:val="auto"/>
        </w:rPr>
      </w:pPr>
      <w:r>
        <w:rPr>
          <w:rFonts w:ascii="Arial" w:cs="Arial" w:eastAsia="Arial" w:hAnsi="Arial"/>
          <w:sz w:val="18"/>
          <w:szCs w:val="18"/>
          <w:color w:val="auto"/>
        </w:rPr>
        <w:t>(a)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arising pursuant to any provision of the General Corporation Law or (d) any action asserting a claim governed by the internal affairs doctrine. Any Person or entity purchasing or otherwise acquiring any interest in shares of capital stock of the Corporation shall be deemed to have notice of consent to the provision of this Article 15.</w:t>
      </w:r>
    </w:p>
    <w:p>
      <w:pPr>
        <w:spacing w:after="0" w:line="28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980" w:right="100" w:hanging="2"/>
        <w:spacing w:after="0"/>
        <w:tabs>
          <w:tab w:leader="none" w:pos="137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Amended Certificate of Incorporation shall be held to be invalid, illegal or unenforceable as applied to any circumstance for any reason whatsoever: (i) the validity, legality and enforceability of such provisions in any other circumstance and of the remaining provisions of this Amended Certificate of Incorporation (including, without limitation, each portion of any paragraph of this Amended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Certificate of Incorporation (including, without limitation, each such portion of any paragraph of this Amended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12" w:lineRule="exact"/>
        <w:rPr>
          <w:rFonts w:ascii="Arial" w:cs="Arial" w:eastAsia="Arial" w:hAnsi="Arial"/>
          <w:sz w:val="18"/>
          <w:szCs w:val="18"/>
          <w:color w:val="auto"/>
        </w:rPr>
      </w:pPr>
    </w:p>
    <w:p>
      <w:pPr>
        <w:ind w:left="980" w:right="220" w:hanging="2"/>
        <w:spacing w:after="0" w:line="246" w:lineRule="auto"/>
        <w:tabs>
          <w:tab w:leader="none" w:pos="137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Amended Certificate of Incorporation, unless the context otherwise requires or as set forth in another Article or Section of this Amended Certificate of Incorporation, the term:</w:t>
      </w:r>
    </w:p>
    <w:p>
      <w:pPr>
        <w:spacing w:after="0" w:line="88" w:lineRule="exact"/>
        <w:rPr>
          <w:rFonts w:ascii="Arial" w:cs="Arial" w:eastAsia="Arial" w:hAnsi="Arial"/>
          <w:sz w:val="18"/>
          <w:szCs w:val="18"/>
          <w:color w:val="auto"/>
        </w:rPr>
      </w:pPr>
    </w:p>
    <w:p>
      <w:pPr>
        <w:ind w:left="1200" w:right="160" w:hanging="6"/>
        <w:spacing w:after="0" w:line="241" w:lineRule="auto"/>
        <w:tabs>
          <w:tab w:leader="none" w:pos="156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or any rights conferred on such stockholder pursuant to the Stockholders Agreement (including any representatives of such stockholder serving on the Board).</w:t>
      </w:r>
    </w:p>
    <w:p>
      <w:pPr>
        <w:spacing w:after="0" w:line="111"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Certificate of Incorporation</w:t>
      </w:r>
      <w:r>
        <w:rPr>
          <w:rFonts w:ascii="Arial" w:cs="Arial" w:eastAsia="Arial" w:hAnsi="Arial"/>
          <w:sz w:val="18"/>
          <w:szCs w:val="18"/>
          <w:color w:val="auto"/>
        </w:rPr>
        <w:t>” is defined in the recitals.</w:t>
      </w:r>
    </w:p>
    <w:p>
      <w:pPr>
        <w:spacing w:after="0" w:line="117"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is defined in Section 5.1(ii)(1).</w:t>
      </w:r>
    </w:p>
    <w:p>
      <w:pPr>
        <w:spacing w:after="0" w:line="117" w:lineRule="exact"/>
        <w:rPr>
          <w:rFonts w:ascii="Arial" w:cs="Arial" w:eastAsia="Arial" w:hAnsi="Arial"/>
          <w:sz w:val="18"/>
          <w:szCs w:val="18"/>
          <w:color w:val="auto"/>
        </w:rPr>
      </w:pPr>
    </w:p>
    <w:p>
      <w:pPr>
        <w:ind w:left="1200" w:right="80" w:hanging="6"/>
        <w:spacing w:after="0" w:line="246" w:lineRule="auto"/>
        <w:tabs>
          <w:tab w:leader="none" w:pos="156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w:t>
      </w:r>
    </w:p>
    <w:p>
      <w:pPr>
        <w:spacing w:after="0" w:line="88"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“By-laws</w:t>
      </w:r>
      <w:r>
        <w:rPr>
          <w:rFonts w:ascii="Arial" w:cs="Arial" w:eastAsia="Arial" w:hAnsi="Arial"/>
          <w:sz w:val="18"/>
          <w:szCs w:val="18"/>
          <w:color w:val="auto"/>
        </w:rPr>
        <w:t>” is defined in Section 7.1.</w:t>
      </w:r>
    </w:p>
    <w:p>
      <w:pPr>
        <w:spacing w:after="0" w:line="117" w:lineRule="exact"/>
        <w:rPr>
          <w:rFonts w:ascii="Arial" w:cs="Arial" w:eastAsia="Arial" w:hAnsi="Arial"/>
          <w:sz w:val="18"/>
          <w:szCs w:val="18"/>
          <w:color w:val="auto"/>
        </w:rPr>
      </w:pPr>
    </w:p>
    <w:p>
      <w:pPr>
        <w:ind w:left="1520" w:hanging="326"/>
        <w:spacing w:after="0"/>
        <w:tabs>
          <w:tab w:leader="none" w:pos="15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Chairman</w:t>
      </w:r>
      <w:r>
        <w:rPr>
          <w:rFonts w:ascii="Arial" w:cs="Arial" w:eastAsia="Arial" w:hAnsi="Arial"/>
          <w:sz w:val="18"/>
          <w:szCs w:val="18"/>
          <w:color w:val="auto"/>
        </w:rPr>
        <w:t>” means the Chairman of the Board.</w:t>
      </w:r>
    </w:p>
    <w:p>
      <w:pPr>
        <w:spacing w:after="0" w:line="117"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means the Chief Executive Officer of the Corporation.</w:t>
      </w:r>
    </w:p>
    <w:p>
      <w:pPr>
        <w:spacing w:after="0" w:line="117"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ind w:left="1500" w:hanging="306"/>
        <w:spacing w:after="0"/>
        <w:tabs>
          <w:tab w:leader="none" w:pos="15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ind w:left="1500" w:hanging="306"/>
        <w:spacing w:after="0"/>
        <w:tabs>
          <w:tab w:leader="none" w:pos="15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Transfer Agent</w:t>
      </w:r>
      <w:r>
        <w:rPr>
          <w:rFonts w:ascii="Arial" w:cs="Arial" w:eastAsia="Arial" w:hAnsi="Arial"/>
          <w:sz w:val="18"/>
          <w:szCs w:val="18"/>
          <w:color w:val="auto"/>
        </w:rPr>
        <w:t>” is defined in Section 6.1(i).</w:t>
      </w:r>
    </w:p>
    <w:p>
      <w:pPr>
        <w:spacing w:after="0" w:line="117"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ind w:left="1200" w:right="340" w:hanging="6"/>
        <w:spacing w:after="0" w:line="261" w:lineRule="auto"/>
        <w:tabs>
          <w:tab w:leader="none" w:pos="150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Paired Interest</w:t>
      </w:r>
      <w:r>
        <w:rPr>
          <w:rFonts w:ascii="Arial" w:cs="Arial" w:eastAsia="Arial" w:hAnsi="Arial"/>
          <w:sz w:val="18"/>
          <w:szCs w:val="18"/>
          <w:color w:val="auto"/>
        </w:rPr>
        <w:t>” means one Common Unit together with one share of Class C Common Stock, subject to adjustment pursuant to Section 2.02(a) of the Exchange Agreement.</w:t>
      </w:r>
    </w:p>
    <w:p>
      <w:pPr>
        <w:spacing w:after="0" w:line="76" w:lineRule="exact"/>
        <w:rPr>
          <w:rFonts w:ascii="Arial" w:cs="Arial" w:eastAsia="Arial" w:hAnsi="Arial"/>
          <w:sz w:val="18"/>
          <w:szCs w:val="18"/>
          <w:color w:val="auto"/>
        </w:rPr>
      </w:pPr>
    </w:p>
    <w:p>
      <w:pPr>
        <w:ind w:left="1620" w:hanging="426"/>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ind w:left="1200" w:right="280" w:hanging="6"/>
        <w:spacing w:after="0" w:line="246" w:lineRule="auto"/>
        <w:tabs>
          <w:tab w:leader="none" w:pos="156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Paired Interest</w:t>
      </w:r>
      <w:r>
        <w:rPr>
          <w:rFonts w:ascii="Arial" w:cs="Arial" w:eastAsia="Arial" w:hAnsi="Arial"/>
          <w:sz w:val="18"/>
          <w:szCs w:val="18"/>
          <w:color w:val="auto"/>
        </w:rPr>
        <w:t>” means one Common Unit together with one share of Class D Common Stock, subject to adjustment pursuant to Section 2.02(b) of the Exchange Agreement.</w:t>
      </w:r>
    </w:p>
    <w:p>
      <w:pPr>
        <w:spacing w:after="0" w:line="102"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Transfer Agent</w:t>
      </w:r>
      <w:r>
        <w:rPr>
          <w:rFonts w:ascii="Arial" w:cs="Arial" w:eastAsia="Arial" w:hAnsi="Arial"/>
          <w:sz w:val="18"/>
          <w:szCs w:val="18"/>
          <w:color w:val="auto"/>
        </w:rPr>
        <w:t>” is defined in Section 6.1(i).</w:t>
      </w:r>
    </w:p>
    <w:p>
      <w:pPr>
        <w:spacing w:after="0" w:line="117"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a non-voting common interest unit of Virtu Financial.</w:t>
      </w:r>
    </w:p>
    <w:p>
      <w:pPr>
        <w:spacing w:after="0" w:line="117" w:lineRule="exact"/>
        <w:rPr>
          <w:rFonts w:ascii="Arial" w:cs="Arial" w:eastAsia="Arial" w:hAnsi="Arial"/>
          <w:sz w:val="18"/>
          <w:szCs w:val="18"/>
          <w:color w:val="auto"/>
        </w:rPr>
      </w:pPr>
    </w:p>
    <w:p>
      <w:pPr>
        <w:ind w:left="1200" w:right="260" w:hanging="6"/>
        <w:spacing w:after="0" w:line="243" w:lineRule="auto"/>
        <w:tabs>
          <w:tab w:leader="none" w:pos="152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“controlled</w:t>
      </w:r>
      <w:r>
        <w:rPr>
          <w:rFonts w:ascii="Arial" w:cs="Arial" w:eastAsia="Arial" w:hAnsi="Arial"/>
          <w:sz w:val="18"/>
          <w:szCs w:val="18"/>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93" w:lineRule="exact"/>
        <w:rPr>
          <w:rFonts w:ascii="Arial" w:cs="Arial" w:eastAsia="Arial" w:hAnsi="Arial"/>
          <w:sz w:val="18"/>
          <w:szCs w:val="18"/>
          <w:color w:val="auto"/>
        </w:rPr>
      </w:pPr>
    </w:p>
    <w:p>
      <w:pPr>
        <w:ind w:left="1560" w:hanging="366"/>
        <w:spacing w:after="0"/>
        <w:tabs>
          <w:tab w:leader="none" w:pos="15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Virtu Financial, Inc.</w:t>
      </w:r>
    </w:p>
    <w:p>
      <w:pPr>
        <w:spacing w:after="0" w:line="117" w:lineRule="exact"/>
        <w:rPr>
          <w:rFonts w:ascii="Arial" w:cs="Arial" w:eastAsia="Arial" w:hAnsi="Arial"/>
          <w:sz w:val="18"/>
          <w:szCs w:val="18"/>
          <w:color w:val="auto"/>
        </w:rPr>
      </w:pPr>
    </w:p>
    <w:p>
      <w:pPr>
        <w:ind w:left="1520" w:hanging="326"/>
        <w:spacing w:after="0"/>
        <w:tabs>
          <w:tab w:leader="none" w:pos="15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is defined in Section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212090</wp:posOffset>
            </wp:positionV>
            <wp:extent cx="754380" cy="2400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560" w:hanging="366"/>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is defined in Section 7.1.</w:t>
      </w:r>
    </w:p>
    <w:p>
      <w:pPr>
        <w:spacing w:after="0" w:line="117" w:lineRule="exact"/>
        <w:rPr>
          <w:rFonts w:ascii="Arial" w:cs="Arial" w:eastAsia="Arial" w:hAnsi="Arial"/>
          <w:sz w:val="18"/>
          <w:szCs w:val="18"/>
          <w:color w:val="auto"/>
        </w:rPr>
      </w:pPr>
    </w:p>
    <w:p>
      <w:pPr>
        <w:ind w:left="1200" w:right="100" w:hanging="6"/>
        <w:spacing w:after="0" w:line="257" w:lineRule="auto"/>
        <w:tabs>
          <w:tab w:leader="none" w:pos="1557" w:val="left"/>
        </w:tabs>
        <w:numPr>
          <w:ilvl w:val="0"/>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 Event</w:t>
      </w:r>
      <w:r>
        <w:rPr>
          <w:rFonts w:ascii="Arial" w:cs="Arial" w:eastAsia="Arial" w:hAnsi="Arial"/>
          <w:sz w:val="17"/>
          <w:szCs w:val="17"/>
          <w:color w:val="auto"/>
        </w:rPr>
        <w:t>” means any merger, consolidation or other business combination of the Corporation, whether effectuated through one transaction or series of related transactions (including a tender offer followed by a merger in which holders of Class A Common Stock receive the same consideration per share paid in the tender offer), unless, following such transaction, all or substantially all of the holders of the voting power of all outstanding classes of Common Stock and series of Preferred Stock that are generally entitled to vote in the election of Directors prior to such transaction or series of transactions, continue to hold a majority of the voting power of the surviving entity (or its parent) resulting from such transaction or series of transactions in substantially the same proportions as immediately prior to such transaction or series of transactions.</w:t>
      </w:r>
    </w:p>
    <w:p>
      <w:pPr>
        <w:spacing w:after="0" w:line="93" w:lineRule="exact"/>
        <w:rPr>
          <w:rFonts w:ascii="Arial" w:cs="Arial" w:eastAsia="Arial" w:hAnsi="Arial"/>
          <w:sz w:val="17"/>
          <w:szCs w:val="17"/>
          <w:color w:val="auto"/>
        </w:rPr>
      </w:pPr>
    </w:p>
    <w:p>
      <w:pPr>
        <w:ind w:left="1600" w:hanging="406"/>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Common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ind w:left="1200" w:right="500" w:hanging="6"/>
        <w:spacing w:after="0" w:line="246" w:lineRule="auto"/>
        <w:tabs>
          <w:tab w:leader="none" w:pos="15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together with the rules and regulations promulgated thereunder.</w:t>
      </w:r>
    </w:p>
    <w:p>
      <w:pPr>
        <w:spacing w:after="0" w:line="88" w:lineRule="exact"/>
        <w:rPr>
          <w:rFonts w:ascii="Arial" w:cs="Arial" w:eastAsia="Arial" w:hAnsi="Arial"/>
          <w:sz w:val="18"/>
          <w:szCs w:val="18"/>
          <w:color w:val="auto"/>
        </w:rPr>
      </w:pPr>
    </w:p>
    <w:p>
      <w:pPr>
        <w:ind w:left="1200" w:right="160" w:hanging="6"/>
        <w:spacing w:after="0" w:line="243" w:lineRule="auto"/>
        <w:tabs>
          <w:tab w:leader="none" w:pos="15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the Exchange Agreement, dated as of April 15, 2015, by and among Virtu Financial, the Corporation and the holders of Common Units and shares of Class C Common Stock and Class D Common Stock, as the same may be amended, restated, supplemented and/or otherwise modified, from time to time.</w:t>
      </w:r>
    </w:p>
    <w:p>
      <w:pPr>
        <w:spacing w:after="0" w:line="106" w:lineRule="exact"/>
        <w:rPr>
          <w:rFonts w:ascii="Arial" w:cs="Arial" w:eastAsia="Arial" w:hAnsi="Arial"/>
          <w:sz w:val="18"/>
          <w:szCs w:val="18"/>
          <w:color w:val="auto"/>
        </w:rPr>
      </w:pPr>
    </w:p>
    <w:p>
      <w:pPr>
        <w:ind w:left="1560" w:hanging="366"/>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Exempted Person</w:t>
      </w:r>
      <w:r>
        <w:rPr>
          <w:rFonts w:ascii="Arial" w:cs="Arial" w:eastAsia="Arial" w:hAnsi="Arial"/>
          <w:sz w:val="18"/>
          <w:szCs w:val="18"/>
          <w:color w:val="auto"/>
        </w:rPr>
        <w:t>” is defined in Section 10.2.</w:t>
      </w:r>
    </w:p>
    <w:p>
      <w:pPr>
        <w:spacing w:after="0" w:line="117" w:lineRule="exact"/>
        <w:rPr>
          <w:sz w:val="20"/>
          <w:szCs w:val="20"/>
          <w:color w:val="auto"/>
        </w:rPr>
      </w:pPr>
    </w:p>
    <w:p>
      <w:pPr>
        <w:ind w:left="1200" w:right="100" w:hanging="6"/>
        <w:spacing w:after="0" w:line="243" w:lineRule="auto"/>
        <w:tabs>
          <w:tab w:leader="none" w:pos="15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shall mean with respect to any natural person, the spouse, parents, grandparents, lineal descendants, siblings of such person or such person’s spouse, and lineal descendants of siblings of such person or such person’s spouse. Lineal descendants shall include adopted persons, but only so long as they are adopted during minority.</w:t>
      </w:r>
    </w:p>
    <w:p>
      <w:pPr>
        <w:spacing w:after="0" w:line="93" w:lineRule="exact"/>
        <w:rPr>
          <w:rFonts w:ascii="Arial" w:cs="Arial" w:eastAsia="Arial" w:hAnsi="Arial"/>
          <w:sz w:val="18"/>
          <w:szCs w:val="18"/>
          <w:color w:val="auto"/>
        </w:rPr>
      </w:pPr>
    </w:p>
    <w:p>
      <w:pPr>
        <w:ind w:left="1560" w:hanging="36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is defined in the recitals.</w:t>
      </w:r>
    </w:p>
    <w:p>
      <w:pPr>
        <w:spacing w:after="0" w:line="117" w:lineRule="exact"/>
        <w:rPr>
          <w:rFonts w:ascii="Arial" w:cs="Arial" w:eastAsia="Arial" w:hAnsi="Arial"/>
          <w:sz w:val="18"/>
          <w:szCs w:val="18"/>
          <w:color w:val="auto"/>
        </w:rPr>
      </w:pPr>
    </w:p>
    <w:p>
      <w:pPr>
        <w:ind w:left="1540" w:hanging="346"/>
        <w:spacing w:after="0"/>
        <w:tabs>
          <w:tab w:leader="none" w:pos="1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Non-Economic Common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ind w:left="1560" w:hanging="36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Class C Paired Interest or one Class D Paired Interest.</w:t>
      </w:r>
    </w:p>
    <w:p>
      <w:pPr>
        <w:spacing w:after="0" w:line="117" w:lineRule="exact"/>
        <w:rPr>
          <w:rFonts w:ascii="Arial" w:cs="Arial" w:eastAsia="Arial" w:hAnsi="Arial"/>
          <w:sz w:val="18"/>
          <w:szCs w:val="18"/>
          <w:color w:val="auto"/>
        </w:rPr>
      </w:pPr>
    </w:p>
    <w:p>
      <w:pPr>
        <w:ind w:left="1200" w:right="120" w:hanging="6"/>
        <w:spacing w:after="0" w:line="242" w:lineRule="auto"/>
        <w:tabs>
          <w:tab w:leader="none" w:pos="15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means, with respect to any Viola Equityholder, (i) Mr. Vincent Viola or any of his Family Members or any trust, family-partnership or estate-planning vehicle so long as Mr. Viola and/or his Family Members are the sole economic beneficiaries thereof, (ii) any corporation, limited liability company, partnership or other entity of which all of the economic beneficial ownership thereof belongs to Mr. Viola, his Family Members or any trust, family-partnership or estate-planning vehicle whose economic beneficiaries consist solely of Mr. Viola and/or his Family Members, (iii) a charitable institution controlled by Mr. Viola and/or his Family Members, (iv) an individual mandated under a qualified domestic relations order and (v) a legal or personal representative of Viola Equityholder and/or his Family Members in the event of the death or disability thereof.</w:t>
      </w:r>
    </w:p>
    <w:p>
      <w:pPr>
        <w:spacing w:after="0" w:line="92" w:lineRule="exact"/>
        <w:rPr>
          <w:rFonts w:ascii="Arial" w:cs="Arial" w:eastAsia="Arial" w:hAnsi="Arial"/>
          <w:sz w:val="18"/>
          <w:szCs w:val="18"/>
          <w:color w:val="auto"/>
        </w:rPr>
      </w:pPr>
    </w:p>
    <w:p>
      <w:pPr>
        <w:ind w:left="1200" w:right="200" w:hanging="6"/>
        <w:spacing w:after="0" w:line="246" w:lineRule="auto"/>
        <w:tabs>
          <w:tab w:leader="none" w:pos="15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102" w:lineRule="exact"/>
        <w:rPr>
          <w:rFonts w:ascii="Arial" w:cs="Arial" w:eastAsia="Arial" w:hAnsi="Arial"/>
          <w:sz w:val="18"/>
          <w:szCs w:val="18"/>
          <w:color w:val="auto"/>
        </w:rPr>
      </w:pPr>
    </w:p>
    <w:p>
      <w:pPr>
        <w:ind w:left="1560" w:hanging="36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ind w:left="1560" w:hanging="36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is defined in Section 7.1.</w:t>
      </w:r>
    </w:p>
    <w:p>
      <w:pPr>
        <w:spacing w:after="0" w:line="117" w:lineRule="exact"/>
        <w:rPr>
          <w:rFonts w:ascii="Arial" w:cs="Arial" w:eastAsia="Arial" w:hAnsi="Arial"/>
          <w:sz w:val="18"/>
          <w:szCs w:val="18"/>
          <w:color w:val="auto"/>
        </w:rPr>
      </w:pPr>
    </w:p>
    <w:p>
      <w:pPr>
        <w:ind w:left="1540" w:hanging="346"/>
        <w:spacing w:after="0"/>
        <w:tabs>
          <w:tab w:leader="none" w:pos="1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Stockholders</w:t>
      </w:r>
      <w:r>
        <w:rPr>
          <w:rFonts w:ascii="Arial" w:cs="Arial" w:eastAsia="Arial" w:hAnsi="Arial"/>
          <w:sz w:val="18"/>
          <w:szCs w:val="18"/>
          <w:color w:val="auto"/>
        </w:rPr>
        <w:t>” means the Viola Entities, the Silver Lake Entities and the Temasek Entities.</w:t>
      </w:r>
    </w:p>
    <w:p>
      <w:pPr>
        <w:spacing w:after="0" w:line="117" w:lineRule="exact"/>
        <w:rPr>
          <w:rFonts w:ascii="Arial" w:cs="Arial" w:eastAsia="Arial" w:hAnsi="Arial"/>
          <w:sz w:val="18"/>
          <w:szCs w:val="18"/>
          <w:color w:val="auto"/>
        </w:rPr>
      </w:pPr>
    </w:p>
    <w:p>
      <w:pPr>
        <w:ind w:left="1540" w:hanging="346"/>
        <w:spacing w:after="0"/>
        <w:tabs>
          <w:tab w:leader="none" w:pos="1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(jj) “</w:t>
      </w:r>
      <w:r>
        <w:rPr>
          <w:rFonts w:ascii="Arial" w:cs="Arial" w:eastAsia="Arial" w:hAnsi="Arial"/>
          <w:sz w:val="18"/>
          <w:szCs w:val="18"/>
          <w:u w:val="single" w:color="auto"/>
          <w:color w:val="auto"/>
        </w:rPr>
        <w:t>Proceeding</w:t>
      </w:r>
      <w:r>
        <w:rPr>
          <w:rFonts w:ascii="Arial" w:cs="Arial" w:eastAsia="Arial" w:hAnsi="Arial"/>
          <w:sz w:val="18"/>
          <w:szCs w:val="18"/>
          <w:color w:val="auto"/>
        </w:rPr>
        <w:t>” is defined in Section 12.1.</w:t>
      </w:r>
    </w:p>
    <w:p>
      <w:pPr>
        <w:spacing w:after="0" w:line="117" w:lineRule="exact"/>
        <w:rPr>
          <w:rFonts w:ascii="Arial" w:cs="Arial" w:eastAsia="Arial" w:hAnsi="Arial"/>
          <w:sz w:val="18"/>
          <w:szCs w:val="18"/>
          <w:color w:val="auto"/>
        </w:rPr>
      </w:pPr>
    </w:p>
    <w:p>
      <w:pPr>
        <w:ind w:left="1200" w:right="280" w:hanging="6"/>
        <w:spacing w:after="0" w:line="246" w:lineRule="auto"/>
        <w:tabs>
          <w:tab w:leader="none" w:pos="15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Silver Lake Entities</w:t>
      </w:r>
      <w:r>
        <w:rPr>
          <w:rFonts w:ascii="Arial" w:cs="Arial" w:eastAsia="Arial" w:hAnsi="Arial"/>
          <w:sz w:val="18"/>
          <w:szCs w:val="18"/>
          <w:color w:val="auto"/>
        </w:rPr>
        <w:t>” means any investment funds managed, sponsored, controlled or advised by Silver Lake Group L.L.C. and their respective successors and Affiliates.</w:t>
      </w:r>
    </w:p>
    <w:p>
      <w:pPr>
        <w:spacing w:after="0" w:line="88" w:lineRule="exact"/>
        <w:rPr>
          <w:rFonts w:ascii="Arial" w:cs="Arial" w:eastAsia="Arial" w:hAnsi="Arial"/>
          <w:sz w:val="18"/>
          <w:szCs w:val="18"/>
          <w:color w:val="auto"/>
        </w:rPr>
      </w:pPr>
    </w:p>
    <w:p>
      <w:pPr>
        <w:ind w:left="1540" w:hanging="346"/>
        <w:spacing w:after="0"/>
        <w:tabs>
          <w:tab w:leader="none" w:pos="1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Activity</w:t>
      </w:r>
      <w:r>
        <w:rPr>
          <w:rFonts w:ascii="Arial" w:cs="Arial" w:eastAsia="Arial" w:hAnsi="Arial"/>
          <w:sz w:val="18"/>
          <w:szCs w:val="18"/>
          <w:color w:val="auto"/>
        </w:rPr>
        <w:t>” is defined in Section 10.2.</w:t>
      </w:r>
    </w:p>
    <w:p>
      <w:pPr>
        <w:spacing w:after="0" w:line="117" w:lineRule="exact"/>
        <w:rPr>
          <w:rFonts w:ascii="Arial" w:cs="Arial" w:eastAsia="Arial" w:hAnsi="Arial"/>
          <w:sz w:val="18"/>
          <w:szCs w:val="18"/>
          <w:color w:val="auto"/>
        </w:rPr>
      </w:pPr>
    </w:p>
    <w:p>
      <w:pPr>
        <w:ind w:left="1760" w:hanging="566"/>
        <w:spacing w:after="0"/>
        <w:tabs>
          <w:tab w:leader="none" w:pos="1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Adjustment</w:t>
      </w:r>
      <w:r>
        <w:rPr>
          <w:rFonts w:ascii="Arial" w:cs="Arial" w:eastAsia="Arial" w:hAnsi="Arial"/>
          <w:sz w:val="18"/>
          <w:szCs w:val="18"/>
          <w:color w:val="auto"/>
        </w:rPr>
        <w:t>” is defined in Section 5.1(ii)(4).</w:t>
      </w:r>
    </w:p>
    <w:p>
      <w:pPr>
        <w:spacing w:after="0" w:line="117" w:lineRule="exact"/>
        <w:rPr>
          <w:rFonts w:ascii="Arial" w:cs="Arial" w:eastAsia="Arial" w:hAnsi="Arial"/>
          <w:sz w:val="18"/>
          <w:szCs w:val="18"/>
          <w:color w:val="auto"/>
        </w:rPr>
      </w:pPr>
    </w:p>
    <w:p>
      <w:pPr>
        <w:ind w:left="1200" w:right="140" w:hanging="6"/>
        <w:spacing w:after="0" w:line="241" w:lineRule="auto"/>
        <w:tabs>
          <w:tab w:leader="none" w:pos="1667"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means the Stockholders Agreement, dated April 15, 2015, by and among the Corporation, TJMT Holdings LLC, Vincent Viola, SLP III EW Feeder I, L.P., SLP Virtu Investors, LLC, Silver Lake Technology Associates III, L.P. and the other persons party thereto or that may become parties thereto from time to time, as the same may be amended, restated, supplemented and/or otherwise modified, from time to time.</w:t>
      </w:r>
    </w:p>
    <w:p>
      <w:pPr>
        <w:spacing w:after="0" w:line="28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1200" w:right="440" w:hanging="6"/>
        <w:spacing w:after="0" w:line="253" w:lineRule="auto"/>
        <w:tabs>
          <w:tab w:leader="none" w:pos="16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Temasek Entities</w:t>
      </w:r>
      <w:r>
        <w:rPr>
          <w:rFonts w:ascii="Arial" w:cs="Arial" w:eastAsia="Arial" w:hAnsi="Arial"/>
          <w:sz w:val="18"/>
          <w:szCs w:val="18"/>
          <w:color w:val="auto"/>
        </w:rPr>
        <w:t>” means Havelock Fund Investments Pte Ltd., Temasek Holdings (Private) Limited (“</w:t>
      </w:r>
      <w:r>
        <w:rPr>
          <w:rFonts w:ascii="Arial" w:cs="Arial" w:eastAsia="Arial" w:hAnsi="Arial"/>
          <w:sz w:val="18"/>
          <w:szCs w:val="18"/>
          <w:u w:val="single" w:color="auto"/>
          <w:color w:val="auto"/>
        </w:rPr>
        <w:t>Temasek Holdings</w:t>
      </w:r>
      <w:r>
        <w:rPr>
          <w:rFonts w:ascii="Arial" w:cs="Arial" w:eastAsia="Arial" w:hAnsi="Arial"/>
          <w:sz w:val="18"/>
          <w:szCs w:val="18"/>
          <w:color w:val="auto"/>
        </w:rPr>
        <w:t>”) and Temasek Holdings’ direct and indirect wholly owned subsidiaries the boards of directors or equivalent governing bodies of which comprise solely nominees or employees of (i) Temasek Holdings, (ii) Temasek Pte Ltd. (a wholly owned subsidiary of Temasek Holdings) and/or (iii) wholly owned direct and indirect subsidiaries of Temasek Pte Ltd.</w:t>
      </w:r>
    </w:p>
    <w:p>
      <w:pPr>
        <w:spacing w:after="0" w:line="97" w:lineRule="exact"/>
        <w:rPr>
          <w:rFonts w:ascii="Arial" w:cs="Arial" w:eastAsia="Arial" w:hAnsi="Arial"/>
          <w:sz w:val="18"/>
          <w:szCs w:val="18"/>
          <w:color w:val="auto"/>
        </w:rPr>
      </w:pPr>
    </w:p>
    <w:p>
      <w:pPr>
        <w:ind w:left="1200" w:right="100" w:hanging="6"/>
        <w:spacing w:after="0" w:line="265" w:lineRule="auto"/>
        <w:tabs>
          <w:tab w:leader="none" w:pos="1667" w:val="left"/>
        </w:tabs>
        <w:numPr>
          <w:ilvl w:val="0"/>
          <w:numId w:val="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of a share of Class B Common Stock or Class D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following shall not be considered a “Transfer”: (i) the granting of a revocable proxy to officers or directors of the Corporation at the request of the Board in connection with actions to be taken at annual or special meetings of stockholders or in connection with any action by written consent of the stockholders solicited by the Board (at such times as action by written consent of stockholders is permitted under this Amended Certificate of Incorporation); (ii)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w:t>
      </w:r>
    </w:p>
    <w:p>
      <w:pPr>
        <w:spacing w:after="0" w:line="1" w:lineRule="exact"/>
        <w:rPr>
          <w:rFonts w:ascii="Arial" w:cs="Arial" w:eastAsia="Arial" w:hAnsi="Arial"/>
          <w:sz w:val="17"/>
          <w:szCs w:val="17"/>
          <w:color w:val="auto"/>
        </w:rPr>
      </w:pPr>
    </w:p>
    <w:p>
      <w:pPr>
        <w:ind w:left="1200" w:right="60" w:hanging="6"/>
        <w:spacing w:after="0" w:line="251" w:lineRule="auto"/>
        <w:tabs>
          <w:tab w:leader="none" w:pos="1458"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does not involve any payment of cash, securities, property or other consideration to the holder of the shares subject thereto other than the mutual promise to vote shares in a designated manner; (iii) entering into a customary voting or support agreement (with or without granting a proxy) in connection with any merger, consolidation or other business combination of the Corporation, whether effectuated through one transaction or series of related transactions (including a tender offer followed by a merger in which holders of Class A Common Stock receive the same consideration per share paid in the tender offer); (iv)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foreclosure on such shares or other similar action by the pledgee shall constitute a “Transfer” or (v) the fact that the spouse of any holder of Class B Common Stock or Class D Common Stock possesses or obtains an interest in such holder’s shares of Class B Common Stock or Class D Common Stock arising solely by reason of the application of the community property laws of any jurisdiction, so long as no other event or circumstance shall exist or have occurred that constitutes a “Transfer” of such shares of Class B Common Stock or Class D Common Stock.</w:t>
      </w:r>
    </w:p>
    <w:p>
      <w:pPr>
        <w:spacing w:after="0" w:line="101" w:lineRule="exact"/>
        <w:rPr>
          <w:rFonts w:ascii="Arial" w:cs="Arial" w:eastAsia="Arial" w:hAnsi="Arial"/>
          <w:sz w:val="18"/>
          <w:szCs w:val="18"/>
          <w:color w:val="auto"/>
        </w:rPr>
      </w:pPr>
    </w:p>
    <w:p>
      <w:pPr>
        <w:jc w:val="both"/>
        <w:ind w:left="1200" w:right="360" w:hanging="6"/>
        <w:spacing w:after="0" w:line="256" w:lineRule="auto"/>
        <w:tabs>
          <w:tab w:leader="none" w:pos="16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the first date on which Viola Equityholders cease collectively to beneficially own (as such term is defined in Rule 13d-3 and Rule l3d-5 under the Exchange Act) shares representing at least twenty-five percent (25%) of the issued and outstanding shares of Common Stock.</w:t>
      </w:r>
    </w:p>
    <w:p>
      <w:pPr>
        <w:spacing w:after="0" w:line="93" w:lineRule="exact"/>
        <w:rPr>
          <w:rFonts w:ascii="Arial" w:cs="Arial" w:eastAsia="Arial" w:hAnsi="Arial"/>
          <w:sz w:val="18"/>
          <w:szCs w:val="18"/>
          <w:color w:val="auto"/>
        </w:rPr>
      </w:pPr>
    </w:p>
    <w:p>
      <w:pPr>
        <w:ind w:left="1580" w:hanging="386"/>
        <w:spacing w:after="0"/>
        <w:tabs>
          <w:tab w:leader="none" w:pos="1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Chairman</w:t>
      </w:r>
      <w:r>
        <w:rPr>
          <w:rFonts w:ascii="Arial" w:cs="Arial" w:eastAsia="Arial" w:hAnsi="Arial"/>
          <w:sz w:val="18"/>
          <w:szCs w:val="18"/>
          <w:color w:val="auto"/>
        </w:rPr>
        <w:t>” means the Vice Chairman of the Board.</w:t>
      </w:r>
    </w:p>
    <w:p>
      <w:pPr>
        <w:spacing w:after="0" w:line="117" w:lineRule="exact"/>
        <w:rPr>
          <w:rFonts w:ascii="Arial" w:cs="Arial" w:eastAsia="Arial" w:hAnsi="Arial"/>
          <w:sz w:val="18"/>
          <w:szCs w:val="18"/>
          <w:color w:val="auto"/>
        </w:rPr>
      </w:pPr>
    </w:p>
    <w:p>
      <w:pPr>
        <w:ind w:left="1200" w:right="120" w:hanging="6"/>
        <w:spacing w:after="0" w:line="261" w:lineRule="auto"/>
        <w:tabs>
          <w:tab w:leader="none" w:pos="16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Viola Entities</w:t>
      </w:r>
      <w:r>
        <w:rPr>
          <w:rFonts w:ascii="Arial" w:cs="Arial" w:eastAsia="Arial" w:hAnsi="Arial"/>
          <w:sz w:val="18"/>
          <w:szCs w:val="18"/>
          <w:color w:val="auto"/>
        </w:rPr>
        <w:t>” means Mr. Vincent Viola, TJMT Holdings LLC and any of their respective successors and Affiliates.</w:t>
      </w:r>
    </w:p>
    <w:p>
      <w:pPr>
        <w:spacing w:after="0" w:line="89" w:lineRule="exact"/>
        <w:rPr>
          <w:rFonts w:ascii="Arial" w:cs="Arial" w:eastAsia="Arial" w:hAnsi="Arial"/>
          <w:sz w:val="18"/>
          <w:szCs w:val="18"/>
          <w:color w:val="auto"/>
        </w:rPr>
      </w:pPr>
    </w:p>
    <w:p>
      <w:pPr>
        <w:ind w:left="1200" w:right="320" w:hanging="6"/>
        <w:spacing w:after="0" w:line="261" w:lineRule="auto"/>
        <w:tabs>
          <w:tab w:leader="none" w:pos="15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Viola Equityholders</w:t>
      </w:r>
      <w:r>
        <w:rPr>
          <w:rFonts w:ascii="Arial" w:cs="Arial" w:eastAsia="Arial" w:hAnsi="Arial"/>
          <w:sz w:val="18"/>
          <w:szCs w:val="18"/>
          <w:color w:val="auto"/>
        </w:rPr>
        <w:t>” means TJMT Holdings LLC and any Permitted Transferee of a Viola Equityholder that owns shares of Common Stock.</w:t>
      </w:r>
    </w:p>
    <w:p>
      <w:pPr>
        <w:spacing w:after="0" w:line="89" w:lineRule="exact"/>
        <w:rPr>
          <w:rFonts w:ascii="Arial" w:cs="Arial" w:eastAsia="Arial" w:hAnsi="Arial"/>
          <w:sz w:val="18"/>
          <w:szCs w:val="18"/>
          <w:color w:val="auto"/>
        </w:rPr>
      </w:pPr>
    </w:p>
    <w:p>
      <w:pPr>
        <w:ind w:left="1200" w:right="580" w:hanging="6"/>
        <w:spacing w:after="0" w:line="261" w:lineRule="auto"/>
        <w:tabs>
          <w:tab w:leader="none" w:pos="16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Virtu Financial</w:t>
      </w:r>
      <w:r>
        <w:rPr>
          <w:rFonts w:ascii="Arial" w:cs="Arial" w:eastAsia="Arial" w:hAnsi="Arial"/>
          <w:sz w:val="18"/>
          <w:szCs w:val="18"/>
          <w:color w:val="auto"/>
        </w:rPr>
        <w:t>” means Virtu Financial LLC, a Delaware limited liability company, or any successor thereto.</w:t>
      </w:r>
    </w:p>
    <w:p>
      <w:pPr>
        <w:spacing w:after="0" w:line="72" w:lineRule="exact"/>
        <w:rPr>
          <w:sz w:val="20"/>
          <w:szCs w:val="20"/>
          <w:color w:val="auto"/>
        </w:rPr>
      </w:pPr>
    </w:p>
    <w:p>
      <w:pPr>
        <w:ind w:left="362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1423670</wp:posOffset>
            </wp:positionV>
            <wp:extent cx="754380" cy="2400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353695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color w:val="003366"/>
        </w:rPr>
        <w:t>TABLE OF CONTENTS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760" w:right="240"/>
        <w:spacing w:after="0" w:line="261" w:lineRule="auto"/>
        <w:rPr>
          <w:sz w:val="20"/>
          <w:szCs w:val="20"/>
          <w:color w:val="auto"/>
        </w:rPr>
      </w:pPr>
      <w:r>
        <w:rPr>
          <w:rFonts w:ascii="Arial" w:cs="Arial" w:eastAsia="Arial" w:hAnsi="Arial"/>
          <w:sz w:val="18"/>
          <w:szCs w:val="18"/>
          <w:color w:val="auto"/>
        </w:rPr>
        <w:t xml:space="preserve">IN WITNESS WHEREOF, this Amended and Restated Certificate of Incorporation of Virtu Financial, Inc. has been duly executed by the authorized officer below this </w:t>
      </w:r>
      <w:r>
        <w:rPr>
          <w:rFonts w:ascii="Arial" w:cs="Arial" w:eastAsia="Arial" w:hAnsi="Arial"/>
          <w:sz w:val="18"/>
          <w:szCs w:val="18"/>
          <w:b w:val="1"/>
          <w:bCs w:val="1"/>
          <w:color w:val="EB0028"/>
          <w:strike w:val="1"/>
        </w:rPr>
        <w:t>15</w:t>
      </w:r>
      <w:r>
        <w:rPr>
          <w:rFonts w:ascii="Arial" w:cs="Arial" w:eastAsia="Arial" w:hAnsi="Arial"/>
          <w:sz w:val="18"/>
          <w:szCs w:val="18"/>
          <w:b w:val="1"/>
          <w:bCs w:val="1"/>
          <w:u w:val="single" w:color="auto"/>
          <w:color w:val="0081C9"/>
        </w:rPr>
        <w:t>[</w:t>
      </w:r>
      <w:r>
        <w:rPr>
          <w:rFonts w:ascii="Arial" w:cs="Arial" w:eastAsia="Arial" w:hAnsi="Arial"/>
          <w:sz w:val="18"/>
          <w:szCs w:val="18"/>
          <w:b w:val="1"/>
          <w:bCs w:val="1"/>
          <w:color w:val="0081C9"/>
        </w:rPr>
        <w:t>•</w:t>
      </w:r>
      <w:r>
        <w:rPr>
          <w:rFonts w:ascii="Arial" w:cs="Arial" w:eastAsia="Arial" w:hAnsi="Arial"/>
          <w:sz w:val="18"/>
          <w:szCs w:val="18"/>
          <w:b w:val="1"/>
          <w:bCs w:val="1"/>
          <w:u w:val="single" w:color="auto"/>
          <w:color w:val="0081C9"/>
        </w:rPr>
        <w:t>]</w:t>
      </w:r>
      <w:r>
        <w:rPr>
          <w:rFonts w:ascii="Arial" w:cs="Arial" w:eastAsia="Arial" w:hAnsi="Arial"/>
          <w:sz w:val="18"/>
          <w:szCs w:val="18"/>
          <w:color w:val="auto"/>
        </w:rPr>
        <w:t xml:space="preserve"> day of April, 20</w:t>
      </w:r>
      <w:r>
        <w:rPr>
          <w:rFonts w:ascii="Arial" w:cs="Arial" w:eastAsia="Arial" w:hAnsi="Arial"/>
          <w:sz w:val="18"/>
          <w:szCs w:val="18"/>
          <w:b w:val="1"/>
          <w:bCs w:val="1"/>
          <w:color w:val="EB0028"/>
          <w:strike w:val="1"/>
        </w:rPr>
        <w:t>15</w:t>
      </w:r>
      <w:r>
        <w:rPr>
          <w:rFonts w:ascii="Arial" w:cs="Arial" w:eastAsia="Arial" w:hAnsi="Arial"/>
          <w:sz w:val="18"/>
          <w:szCs w:val="18"/>
          <w:b w:val="1"/>
          <w:bCs w:val="1"/>
          <w:u w:val="single" w:color="auto"/>
          <w:color w:val="0081C9"/>
        </w:rPr>
        <w:t>23</w:t>
      </w:r>
      <w:r>
        <w:rPr>
          <w:rFonts w:ascii="Arial" w:cs="Arial" w:eastAsia="Arial" w:hAnsi="Arial"/>
          <w:sz w:val="18"/>
          <w:szCs w:val="18"/>
          <w:color w:val="auto"/>
        </w:rPr>
        <w:t>.</w:t>
      </w:r>
    </w:p>
    <w:p>
      <w:pPr>
        <w:spacing w:after="0" w:line="6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VIRTU FINANCIAL, INC.</w:t>
      </w:r>
    </w:p>
    <w:p>
      <w:pPr>
        <w:spacing w:after="0" w:line="117" w:lineRule="exact"/>
        <w:rPr>
          <w:sz w:val="20"/>
          <w:szCs w:val="20"/>
          <w:color w:val="auto"/>
        </w:rPr>
      </w:pPr>
    </w:p>
    <w:p>
      <w:pPr>
        <w:ind w:left="4000"/>
        <w:spacing w:after="0"/>
        <w:tabs>
          <w:tab w:leader="none" w:pos="4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b w:val="1"/>
          <w:bCs w:val="1"/>
          <w:color w:val="EB0028"/>
          <w:strike w:val="1"/>
        </w:rPr>
        <w:t>/s/ Douglas A. Cifu</w:t>
      </w:r>
      <w:r>
        <w:rPr>
          <w:rFonts w:ascii="Arial" w:cs="Arial" w:eastAsia="Arial" w:hAnsi="Arial"/>
          <w:sz w:val="17"/>
          <w:szCs w:val="17"/>
          <w:b w:val="1"/>
          <w:bCs w:val="1"/>
          <w:color w:val="0081C9"/>
          <w:strike w:val="1"/>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-5080</wp:posOffset>
            </wp:positionV>
            <wp:extent cx="95123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EB0028"/>
          <w:strike w:val="1"/>
        </w:rPr>
        <w:t>Name: Douglas A. Cifu</w:t>
      </w:r>
    </w:p>
    <w:p>
      <w:pPr>
        <w:spacing w:after="0" w:line="3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EB0028"/>
          <w:strike w:val="1"/>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Amended and Restated Certificate of Incorporation]</w:t>
      </w:r>
    </w:p>
    <w:p>
      <w:pPr>
        <w:spacing w:after="0" w:line="200" w:lineRule="exact"/>
        <w:rPr>
          <w:sz w:val="20"/>
          <w:szCs w:val="20"/>
          <w:color w:val="auto"/>
        </w:rPr>
      </w:pPr>
    </w:p>
    <w:p>
      <w:pPr>
        <w:spacing w:after="0" w:line="31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131" w:right="1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4569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845693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-27940</wp:posOffset>
            </wp:positionV>
            <wp:extent cx="6831965" cy="8388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8388350"/>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lowerRoman"/>
      <w:start w:val="2"/>
    </w:lvl>
  </w:abstractNum>
  <w:abstractNum w:abstractNumId="6">
    <w:nsid w:val="7644A45C"/>
    <w:multiLevelType w:val="hybridMultilevel"/>
    <w:lvl w:ilvl="0">
      <w:lvlJc w:val="left"/>
      <w:lvlText w:val="(%1)"/>
      <w:numFmt w:val="lowerRoman"/>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1)"/>
      <w:numFmt w:val="decimal"/>
      <w:start w:val="2"/>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1)"/>
      <w:numFmt w:val="decimal"/>
      <w:start w:val="1"/>
    </w:lvl>
  </w:abstractNum>
  <w:abstractNum w:abstractNumId="12">
    <w:nsid w:val="1BA026FA"/>
    <w:multiLevelType w:val="hybridMultilevel"/>
    <w:lvl w:ilvl="0">
      <w:lvlJc w:val="left"/>
      <w:lvlText w:val="(%1)"/>
      <w:numFmt w:val="decimal"/>
      <w:start w:val="3"/>
    </w:lvl>
  </w:abstractNum>
  <w:abstractNum w:abstractNumId="13">
    <w:nsid w:val="79A1DEAA"/>
    <w:multiLevelType w:val="hybridMultilevel"/>
    <w:lvl w:ilvl="0">
      <w:lvlJc w:val="left"/>
      <w:lvlText w:val="(%1)"/>
      <w:numFmt w:val="decimal"/>
      <w:start w:val="4"/>
    </w:lvl>
  </w:abstractNum>
  <w:abstractNum w:abstractNumId="14">
    <w:nsid w:val="75C6C33A"/>
    <w:multiLevelType w:val="hybridMultilevel"/>
    <w:lvl w:ilvl="0">
      <w:lvlJc w:val="left"/>
      <w:lvlText w:val="(%1)"/>
      <w:numFmt w:val="decimal"/>
      <w:start w:val="5"/>
    </w:lvl>
  </w:abstractNum>
  <w:abstractNum w:abstractNumId="15">
    <w:nsid w:val="12E685FB"/>
    <w:multiLevelType w:val="hybridMultilevel"/>
    <w:lvl w:ilvl="0">
      <w:lvlJc w:val="left"/>
      <w:lvlText w:val="(%1)"/>
      <w:numFmt w:val="lowerRoman"/>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lowerRoman"/>
      <w:start w:val="10"/>
    </w:lvl>
  </w:abstractNum>
  <w:abstractNum w:abstractNumId="21">
    <w:nsid w:val="649BB77C"/>
    <w:multiLevelType w:val="hybridMultilevel"/>
    <w:lvl w:ilvl="0">
      <w:lvlJc w:val="left"/>
      <w:lvlText w:val="(%1)"/>
      <w:numFmt w:val="lowerRoman"/>
      <w:start w:val="3"/>
    </w:lvl>
  </w:abstractNum>
  <w:abstractNum w:abstractNumId="22">
    <w:nsid w:val="275AC794"/>
    <w:multiLevelType w:val="hybridMultilevel"/>
    <w:lvl w:ilvl="0">
      <w:lvlJc w:val="left"/>
      <w:lvlText w:val="(%1)"/>
      <w:numFmt w:val="lowerRoman"/>
      <w:start w:val="1"/>
    </w:lvl>
  </w:abstractNum>
  <w:abstractNum w:abstractNumId="23">
    <w:nsid w:val="39386575"/>
    <w:multiLevelType w:val="hybridMultilevel"/>
    <w:lvl w:ilvl="0">
      <w:lvlJc w:val="left"/>
      <w:lvlText w:val="(%1)"/>
      <w:numFmt w:val="upperLetter"/>
      <w:start w:val="3"/>
    </w:lvl>
  </w:abstractNum>
  <w:abstractNum w:abstractNumId="24">
    <w:nsid w:val="1CF10FD8"/>
    <w:multiLevelType w:val="hybridMultilevel"/>
    <w:lvl w:ilvl="0">
      <w:lvlJc w:val="left"/>
      <w:lvlText w:val="(%1)"/>
      <w:numFmt w:val="lowerRoman"/>
      <w:start w:val="10"/>
    </w:lvl>
  </w:abstractNum>
  <w:abstractNum w:abstractNumId="25">
    <w:nsid w:val="180115BE"/>
    <w:multiLevelType w:val="hybridMultilevel"/>
    <w:lvl w:ilvl="0">
      <w:lvlJc w:val="left"/>
      <w:lvlText w:val="(%1)"/>
      <w:numFmt w:val="lowerLetter"/>
      <w:start w:val="25"/>
    </w:lvl>
  </w:abstractNum>
  <w:abstractNum w:abstractNumId="26">
    <w:nsid w:val="235BA861"/>
    <w:multiLevelType w:val="hybridMultilevel"/>
    <w:lvl w:ilvl="0">
      <w:lvlJc w:val="left"/>
      <w:lvlText w:val="(%1)"/>
      <w:numFmt w:val="lowerRoman"/>
      <w:start w:val="10"/>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8"/>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lowerRoman"/>
      <w:start w:val="3"/>
    </w:lvl>
  </w:abstractNum>
  <w:abstractNum w:abstractNumId="33">
    <w:nsid w:val="3F6AB60F"/>
    <w:multiLevelType w:val="hybridMultilevel"/>
    <w:lvl w:ilvl="0">
      <w:lvlJc w:val="left"/>
      <w:lvlText w:val="(%1)"/>
      <w:numFmt w:val="lowerRoman"/>
      <w:start w:val="5"/>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4"/>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4"/>
    </w:lvl>
  </w:abstractNum>
  <w:abstractNum w:abstractNumId="40">
    <w:nsid w:val="2F305DEF"/>
    <w:multiLevelType w:val="hybridMultilevel"/>
    <w:lvl w:ilvl="0">
      <w:lvlJc w:val="left"/>
      <w:lvlText w:val="(%1)"/>
      <w:numFmt w:val="decimal"/>
      <w:start w:val="5"/>
    </w:lvl>
    <w:lvl w:ilvl="1">
      <w:lvlJc w:val="left"/>
      <w:lvlText w:val="(%2)"/>
      <w:numFmt w:val="lowerRoman"/>
      <w:start w:val="3"/>
    </w:lvl>
  </w:abstractNum>
  <w:abstractNum w:abstractNumId="41">
    <w:nsid w:val="25A70BF7"/>
    <w:multiLevelType w:val="hybridMultilevel"/>
    <w:lvl w:ilvl="0">
      <w:lvlJc w:val="left"/>
      <w:lvlText w:val="(%1)"/>
      <w:numFmt w:val="lowerLetter"/>
      <w:start w:val="4"/>
    </w:lvl>
  </w:abstractNum>
  <w:abstractNum w:abstractNumId="42">
    <w:nsid w:val="1DBABF00"/>
    <w:multiLevelType w:val="hybridMultilevel"/>
    <w:lvl w:ilvl="0">
      <w:lvlJc w:val="left"/>
      <w:lvlText w:val="(%1)"/>
      <w:numFmt w:val="lowerRoman"/>
      <w:start w:val="2"/>
    </w:lvl>
  </w:abstractNum>
  <w:abstractNum w:abstractNumId="43">
    <w:nsid w:val="4AD084E9"/>
    <w:multiLevelType w:val="hybridMultilevel"/>
    <w:lvl w:ilvl="0">
      <w:lvlJc w:val="left"/>
      <w:lvlText w:val="2"/>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lowerRoman"/>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lowerLetter"/>
      <w:start w:val="9"/>
    </w:lvl>
  </w:abstractNum>
  <w:abstractNum w:abstractNumId="52">
    <w:nsid w:val="799D0247"/>
    <w:multiLevelType w:val="hybridMultilevel"/>
    <w:lvl w:ilvl="0">
      <w:lvlJc w:val="left"/>
      <w:lvlText w:val="(%1)"/>
      <w:numFmt w:val="lowerLetter"/>
      <w:start w:val="4"/>
    </w:lvl>
  </w:abstractNum>
  <w:abstractNum w:abstractNumId="53">
    <w:nsid w:val="6B94764"/>
    <w:multiLevelType w:val="hybridMultilevel"/>
    <w:lvl w:ilvl="0">
      <w:lvlJc w:val="left"/>
      <w:lvlText w:val="(%1)"/>
      <w:numFmt w:val="lowerRoman"/>
      <w:start w:val="1"/>
    </w:lvl>
  </w:abstractNum>
  <w:abstractNum w:abstractNumId="54">
    <w:nsid w:val="42C296BD"/>
    <w:multiLevelType w:val="hybridMultilevel"/>
    <w:lvl w:ilvl="0">
      <w:lvlJc w:val="left"/>
      <w:lvlText w:val="(%1)"/>
      <w:numFmt w:val="lowerRoman"/>
      <w:start w:val="2"/>
    </w:lvl>
  </w:abstractNum>
  <w:abstractNum w:abstractNumId="55">
    <w:nsid w:val="168E121F"/>
    <w:multiLevelType w:val="hybridMultilevel"/>
    <w:lvl w:ilvl="0">
      <w:lvlJc w:val="left"/>
      <w:lvlText w:val="%1."/>
      <w:numFmt w:val="decimal"/>
      <w:start w:val="5"/>
    </w:lvl>
  </w:abstractNum>
  <w:abstractNum w:abstractNumId="56">
    <w:nsid w:val="1EBA5D23"/>
    <w:multiLevelType w:val="hybridMultilevel"/>
    <w:lvl w:ilvl="0">
      <w:lvlJc w:val="left"/>
      <w:lvlText w:val="(%1)"/>
      <w:numFmt w:val="lowerRoman"/>
      <w:start w:val="1"/>
    </w:lvl>
    <w:lvl w:ilvl="1">
      <w:lvlJc w:val="left"/>
      <w:lvlText w:val="(%2)"/>
      <w:numFmt w:val="decimal"/>
      <w:start w:val="1"/>
    </w:lvl>
  </w:abstractNum>
  <w:abstractNum w:abstractNumId="57">
    <w:nsid w:val="661E3F1E"/>
    <w:multiLevelType w:val="hybridMultilevel"/>
    <w:lvl w:ilvl="0">
      <w:lvlJc w:val="left"/>
      <w:lvlText w:val="%1"/>
      <w:numFmt w:val="lowerRoman"/>
      <w:start w:val="1"/>
    </w:lvl>
    <w:lvl w:ilvl="1">
      <w:lvlJc w:val="left"/>
      <w:lvlText w:val="(%2)"/>
      <w:numFmt w:val="decimal"/>
      <w:start w:val="2"/>
    </w:lvl>
  </w:abstractNum>
  <w:abstractNum w:abstractNumId="58">
    <w:nsid w:val="5DC79EA8"/>
    <w:multiLevelType w:val="hybridMultilevel"/>
    <w:lvl w:ilvl="0">
      <w:lvlJc w:val="left"/>
      <w:lvlText w:val="(%1)"/>
      <w:numFmt w:val="lowerRoman"/>
      <w:start w:val="2"/>
    </w:lvl>
    <w:lvl w:ilvl="1">
      <w:lvlJc w:val="left"/>
      <w:lvlText w:val="(%2)"/>
      <w:numFmt w:val="decimal"/>
      <w:start w:val="1"/>
    </w:lvl>
  </w:abstractNum>
  <w:abstractNum w:abstractNumId="59">
    <w:nsid w:val="540A471C"/>
    <w:multiLevelType w:val="hybridMultilevel"/>
    <w:lvl w:ilvl="0">
      <w:lvlJc w:val="left"/>
      <w:lvlText w:val="(%1)"/>
      <w:numFmt w:val="lowerRoman"/>
      <w:start w:val="4"/>
    </w:lvl>
  </w:abstractNum>
  <w:abstractNum w:abstractNumId="60">
    <w:nsid w:val="7BD3EE7B"/>
    <w:multiLevelType w:val="hybridMultilevel"/>
    <w:lvl w:ilvl="0">
      <w:lvlJc w:val="left"/>
      <w:lvlText w:val="%1."/>
      <w:numFmt w:val="decimal"/>
      <w:start w:val="6"/>
    </w:lvl>
  </w:abstractNum>
  <w:abstractNum w:abstractNumId="61">
    <w:nsid w:val="51D9C564"/>
    <w:multiLevelType w:val="hybridMultilevel"/>
    <w:lvl w:ilvl="0">
      <w:lvlJc w:val="left"/>
      <w:lvlText w:val="(%1)"/>
      <w:numFmt w:val="lowerRoman"/>
      <w:start w:val="1"/>
    </w:lvl>
  </w:abstractNum>
  <w:abstractNum w:abstractNumId="62">
    <w:nsid w:val="613EFDC5"/>
    <w:multiLevelType w:val="hybridMultilevel"/>
    <w:lvl w:ilvl="0">
      <w:lvlJc w:val="left"/>
      <w:lvlText w:val="(%1)"/>
      <w:numFmt w:val="lowerRoman"/>
      <w:start w:val="2"/>
    </w:lvl>
  </w:abstractNum>
  <w:abstractNum w:abstractNumId="63">
    <w:nsid w:val="BF72B14"/>
    <w:multiLevelType w:val="hybridMultilevel"/>
    <w:lvl w:ilvl="0">
      <w:lvlJc w:val="left"/>
      <w:lvlText w:val="(%1)"/>
      <w:numFmt w:val="lowerRoman"/>
      <w:start w:val="1"/>
    </w:lvl>
  </w:abstractNum>
  <w:abstractNum w:abstractNumId="64">
    <w:nsid w:val="11447B73"/>
    <w:multiLevelType w:val="hybridMultilevel"/>
    <w:lvl w:ilvl="0">
      <w:lvlJc w:val="left"/>
      <w:lvlText w:val="%1."/>
      <w:numFmt w:val="decimal"/>
      <w:start w:val="7"/>
    </w:lvl>
  </w:abstractNum>
  <w:abstractNum w:abstractNumId="65">
    <w:nsid w:val="42963E5A"/>
    <w:multiLevelType w:val="hybridMultilevel"/>
    <w:lvl w:ilvl="0">
      <w:lvlJc w:val="left"/>
      <w:lvlText w:val="(%1)"/>
      <w:numFmt w:val="lowerRoman"/>
      <w:start w:val="1"/>
    </w:lvl>
  </w:abstractNum>
  <w:abstractNum w:abstractNumId="66">
    <w:nsid w:val="A0382C5"/>
    <w:multiLevelType w:val="hybridMultilevel"/>
    <w:lvl w:ilvl="0">
      <w:lvlJc w:val="left"/>
      <w:lvlText w:val="(%1)"/>
      <w:numFmt w:val="lowerRoman"/>
      <w:start w:val="2"/>
    </w:lvl>
  </w:abstractNum>
  <w:abstractNum w:abstractNumId="67">
    <w:nsid w:val="8F2B15E"/>
    <w:multiLevelType w:val="hybridMultilevel"/>
    <w:lvl w:ilvl="0">
      <w:lvlJc w:val="left"/>
      <w:lvlText w:val="(%1)"/>
      <w:numFmt w:val="decimal"/>
      <w:start w:val="3"/>
    </w:lvl>
  </w:abstractNum>
  <w:abstractNum w:abstractNumId="68">
    <w:nsid w:val="1A32234B"/>
    <w:multiLevelType w:val="hybridMultilevel"/>
    <w:lvl w:ilvl="0">
      <w:lvlJc w:val="left"/>
      <w:lvlText w:val="%1."/>
      <w:numFmt w:val="decimal"/>
      <w:start w:val="8"/>
    </w:lvl>
  </w:abstractNum>
  <w:abstractNum w:abstractNumId="69">
    <w:nsid w:val="3B0FD379"/>
    <w:multiLevelType w:val="hybridMultilevel"/>
    <w:lvl w:ilvl="0">
      <w:lvlJc w:val="left"/>
      <w:lvlText w:val="%1."/>
      <w:numFmt w:val="decimal"/>
      <w:start w:val="9"/>
    </w:lvl>
  </w:abstractNum>
  <w:abstractNum w:abstractNumId="70">
    <w:nsid w:val="68EB2F63"/>
    <w:multiLevelType w:val="hybridMultilevel"/>
    <w:lvl w:ilvl="0">
      <w:lvlJc w:val="left"/>
      <w:lvlText w:val="(%1)"/>
      <w:numFmt w:val="lowerRoman"/>
      <w:start w:val="1"/>
    </w:lvl>
  </w:abstractNum>
  <w:abstractNum w:abstractNumId="71">
    <w:nsid w:val="4962813B"/>
    <w:multiLevelType w:val="hybridMultilevel"/>
    <w:lvl w:ilvl="0">
      <w:lvlJc w:val="left"/>
      <w:lvlText w:val="(%1)"/>
      <w:numFmt w:val="lowerRoman"/>
      <w:start w:val="1"/>
    </w:lvl>
    <w:lvl w:ilvl="1">
      <w:lvlJc w:val="left"/>
      <w:lvlText w:val="(%2)"/>
      <w:numFmt w:val="decimal"/>
      <w:start w:val="1"/>
    </w:lvl>
  </w:abstractNum>
  <w:abstractNum w:abstractNumId="72">
    <w:nsid w:val="60B6DF70"/>
    <w:multiLevelType w:val="hybridMultilevel"/>
    <w:lvl w:ilvl="0">
      <w:lvlJc w:val="left"/>
      <w:lvlText w:val="%1"/>
      <w:numFmt w:val="lowerRoman"/>
      <w:start w:val="1"/>
    </w:lvl>
    <w:lvl w:ilvl="1">
      <w:lvlJc w:val="left"/>
      <w:lvlText w:val="(%2)"/>
      <w:numFmt w:val="decimal"/>
      <w:start w:val="3"/>
    </w:lvl>
  </w:abstractNum>
  <w:abstractNum w:abstractNumId="73">
    <w:nsid w:val="6A5EE64"/>
    <w:multiLevelType w:val="hybridMultilevel"/>
    <w:lvl w:ilvl="0">
      <w:lvlJc w:val="left"/>
      <w:lvlText w:val="(%1)"/>
      <w:numFmt w:val="lowerRoman"/>
      <w:start w:val="4"/>
    </w:lvl>
    <w:lvl w:ilvl="1">
      <w:lvlJc w:val="left"/>
      <w:lvlText w:val="%2"/>
      <w:numFmt w:val="decimal"/>
      <w:start w:val="1"/>
    </w:lvl>
  </w:abstractNum>
  <w:abstractNum w:abstractNumId="74">
    <w:nsid w:val="14330624"/>
    <w:multiLevelType w:val="hybridMultilevel"/>
    <w:lvl w:ilvl="0">
      <w:lvlJc w:val="left"/>
      <w:lvlText w:val="%1"/>
      <w:numFmt w:val="decimal"/>
      <w:start w:val="1"/>
    </w:lvl>
    <w:lvl w:ilvl="1">
      <w:lvlJc w:val="left"/>
      <w:lvlText w:val="(%2)"/>
      <w:numFmt w:val="lowerRoman"/>
      <w:start w:val="5"/>
    </w:lvl>
    <w:lvl w:ilvl="2">
      <w:lvlJc w:val="left"/>
      <w:lvlText w:val="(%3)"/>
      <w:numFmt w:val="decimal"/>
      <w:start w:val="1"/>
    </w:lvl>
  </w:abstractNum>
  <w:abstractNum w:abstractNumId="75">
    <w:nsid w:val="7FFFCA11"/>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76">
    <w:nsid w:val="1A27709E"/>
    <w:multiLevelType w:val="hybridMultilevel"/>
    <w:lvl w:ilvl="0">
      <w:lvlJc w:val="left"/>
      <w:lvlText w:val="%1"/>
      <w:numFmt w:val="decimal"/>
      <w:start w:val="1"/>
    </w:lvl>
    <w:lvl w:ilvl="1">
      <w:lvlJc w:val="left"/>
      <w:lvlText w:val="(%2)"/>
      <w:numFmt w:val="lowerRoman"/>
      <w:start w:val="7"/>
    </w:lvl>
    <w:lvl w:ilvl="2">
      <w:lvlJc w:val="left"/>
      <w:lvlText w:val="%3"/>
      <w:numFmt w:val="decimal"/>
      <w:start w:val="1"/>
    </w:lvl>
  </w:abstractNum>
  <w:abstractNum w:abstractNumId="77">
    <w:nsid w:val="71EA1109"/>
    <w:multiLevelType w:val="hybridMultilevel"/>
    <w:lvl w:ilvl="0">
      <w:lvlJc w:val="left"/>
      <w:lvlText w:val="%1."/>
      <w:numFmt w:val="decimal"/>
      <w:start w:val="10"/>
    </w:lvl>
    <w:lvl w:ilvl="1">
      <w:lvlJc w:val="left"/>
      <w:lvlText w:val="%2"/>
      <w:numFmt w:val="lowerRoman"/>
      <w:start w:val="1"/>
    </w:lvl>
    <w:lvl w:ilvl="2">
      <w:lvlJc w:val="left"/>
      <w:lvlText w:val="%3"/>
      <w:numFmt w:val="decimal"/>
      <w:start w:val="1"/>
    </w:lvl>
  </w:abstractNum>
  <w:abstractNum w:abstractNumId="78">
    <w:nsid w:val="100F59DC"/>
    <w:multiLevelType w:val="hybridMultilevel"/>
    <w:lvl w:ilvl="0">
      <w:lvlJc w:val="left"/>
      <w:lvlText w:val="(%1)"/>
      <w:numFmt w:val="lowerRoman"/>
      <w:start w:val="1"/>
    </w:lvl>
  </w:abstractNum>
  <w:abstractNum w:abstractNumId="79">
    <w:nsid w:val="7FB7E0AA"/>
    <w:multiLevelType w:val="hybridMultilevel"/>
    <w:lvl w:ilvl="0">
      <w:lvlJc w:val="left"/>
      <w:lvlText w:val="(%1)"/>
      <w:numFmt w:val="lowerRoman"/>
      <w:start w:val="1"/>
    </w:lvl>
  </w:abstractNum>
  <w:abstractNum w:abstractNumId="80">
    <w:nsid w:val="6EB5BD4"/>
    <w:multiLevelType w:val="hybridMultilevel"/>
    <w:lvl w:ilvl="0">
      <w:lvlJc w:val="left"/>
      <w:lvlText w:val="%1."/>
      <w:numFmt w:val="decimal"/>
      <w:start w:val="11"/>
    </w:lvl>
  </w:abstractNum>
  <w:abstractNum w:abstractNumId="81">
    <w:nsid w:val="6F6DD9AC"/>
    <w:multiLevelType w:val="hybridMultilevel"/>
    <w:lvl w:ilvl="0">
      <w:lvlJc w:val="left"/>
      <w:lvlText w:val="%1."/>
      <w:numFmt w:val="decimal"/>
      <w:start w:val="12"/>
    </w:lvl>
  </w:abstractNum>
  <w:abstractNum w:abstractNumId="82">
    <w:nsid w:val="94211F2"/>
    <w:multiLevelType w:val="hybridMultilevel"/>
    <w:lvl w:ilvl="0">
      <w:lvlJc w:val="left"/>
      <w:lvlText w:val="%1."/>
      <w:numFmt w:val="decimal"/>
      <w:start w:val="13"/>
    </w:lvl>
  </w:abstractNum>
  <w:abstractNum w:abstractNumId="83">
    <w:nsid w:val="885E1B"/>
    <w:multiLevelType w:val="hybridMultilevel"/>
    <w:lvl w:ilvl="0">
      <w:lvlJc w:val="left"/>
      <w:lvlText w:val="%1."/>
      <w:numFmt w:val="decimal"/>
      <w:start w:val="16"/>
    </w:lvl>
    <w:lvl w:ilvl="1">
      <w:lvlJc w:val="left"/>
      <w:lvlText w:val="(%2)"/>
      <w:numFmt w:val="lowerLetter"/>
      <w:start w:val="1"/>
    </w:lvl>
  </w:abstractNum>
  <w:abstractNum w:abstractNumId="84">
    <w:nsid w:val="76272110"/>
    <w:multiLevelType w:val="hybridMultilevel"/>
    <w:lvl w:ilvl="0">
      <w:lvlJc w:val="left"/>
      <w:lvlText w:val="(%1)"/>
      <w:numFmt w:val="lowerLetter"/>
      <w:start w:val="21"/>
    </w:lvl>
  </w:abstractNum>
  <w:abstractNum w:abstractNumId="85">
    <w:nsid w:val="4C04A8AF"/>
    <w:multiLevelType w:val="hybridMultilevel"/>
    <w:lvl w:ilvl="0">
      <w:lvlJc w:val="left"/>
      <w:lvlText w:val="(%1)"/>
      <w:numFmt w:val="lowerLetter"/>
      <w:start w:val="27"/>
    </w:lvl>
  </w:abstractNum>
  <w:abstractNum w:abstractNumId="86">
    <w:nsid w:val="1716703B"/>
    <w:multiLevelType w:val="hybridMultilevel"/>
    <w:lvl w:ilvl="0">
      <w:lvlJc w:val="left"/>
      <w:lvlText w:val="(%1)"/>
      <w:numFmt w:val="lowerLetter"/>
      <w:start w:val="41"/>
    </w:lvl>
  </w:abstractNum>
  <w:abstractNum w:abstractNumId="87">
    <w:nsid w:val="14E17E33"/>
    <w:multiLevelType w:val="hybridMultilevel"/>
    <w:lvl w:ilvl="0">
      <w:lvlJc w:val="left"/>
      <w:lvlText w:val="(%1)"/>
      <w:numFmt w:val="lowerLetter"/>
      <w:start w:val="26"/>
    </w:lvl>
  </w:abstractNum>
  <w:abstractNum w:abstractNumId="88">
    <w:nsid w:val="3222E7CD"/>
    <w:multiLevelType w:val="hybridMultilevel"/>
    <w:lvl w:ilvl="0">
      <w:lvlJc w:val="left"/>
      <w:lvlText w:val="(%1)"/>
      <w:numFmt w:val="lowerLetter"/>
      <w:start w:val="4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2023-04-27T15:48:47Z</dcterms:created>
  <dcterms:modified xsi:type="dcterms:W3CDTF">2023-04-27T15:48:47Z</dcterms:modified>
</cp:coreProperties>
</file>