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200025</wp:posOffset>
            </wp:positionH>
            <wp:positionV relativeFrom="page">
              <wp:posOffset>553720</wp:posOffset>
            </wp:positionV>
            <wp:extent cx="714819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6985"/>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574040</wp:posOffset>
            </wp:positionV>
            <wp:extent cx="714819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6985"/>
                    </a:xfrm>
                    <a:prstGeom prst="rect">
                      <a:avLst/>
                    </a:prstGeom>
                    <a:noFill/>
                  </pic:spPr>
                </pic:pic>
              </a:graphicData>
            </a:graphic>
          </wp:anchor>
        </w:drawing>
        <w:t>UNITED STATES</w:t>
      </w:r>
    </w:p>
    <w:p>
      <w:pPr>
        <w:spacing w:after="0" w:line="2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Washington, D.C. 20549</w:t>
      </w:r>
    </w:p>
    <w:p>
      <w:pPr>
        <w:spacing w:after="0" w:line="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6" w:lineRule="exact"/>
        <w:rPr>
          <w:sz w:val="24"/>
          <w:szCs w:val="24"/>
          <w:color w:val="auto"/>
        </w:rPr>
      </w:pPr>
    </w:p>
    <w:p>
      <w:pPr>
        <w:jc w:val="center"/>
        <w:ind w:left="4220" w:right="2020" w:hanging="2269"/>
        <w:spacing w:after="0" w:line="284" w:lineRule="auto"/>
        <w:tabs>
          <w:tab w:leader="none" w:pos="2114"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 (d) OF THE SECURITIES EXCHANGE ACT OF 1934 For the quarterly period ended March 31, 2024</w:t>
      </w: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51" w:lineRule="exact"/>
        <w:rPr>
          <w:sz w:val="24"/>
          <w:szCs w:val="24"/>
          <w:color w:val="auto"/>
        </w:rPr>
      </w:pPr>
    </w:p>
    <w:p>
      <w:pPr>
        <w:ind w:left="2100" w:hanging="154"/>
        <w:spacing w:after="0"/>
        <w:tabs>
          <w:tab w:leader="none" w:pos="210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 (d) OF THE SECURITIES EXCHANGE ACT OF 1934</w:t>
      </w:r>
    </w:p>
    <w:p>
      <w:pPr>
        <w:spacing w:after="0" w:line="27" w:lineRule="exact"/>
        <w:rPr>
          <w:sz w:val="24"/>
          <w:szCs w:val="24"/>
          <w:color w:val="auto"/>
        </w:rPr>
      </w:pPr>
    </w:p>
    <w:tbl>
      <w:tblPr>
        <w:tblLayout w:type="fixed"/>
        <w:tblInd w:w="36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220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47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173"/>
        </w:trPr>
        <w:tc>
          <w:tcPr>
            <w:tcW w:w="3880" w:type="dxa"/>
            <w:vAlign w:val="bottom"/>
          </w:tcPr>
          <w:p>
            <w:pPr>
              <w:spacing w:after="0"/>
              <w:rPr>
                <w:sz w:val="15"/>
                <w:szCs w:val="15"/>
                <w:color w:val="auto"/>
              </w:rPr>
            </w:pPr>
          </w:p>
        </w:tc>
        <w:tc>
          <w:tcPr>
            <w:tcW w:w="6960" w:type="dxa"/>
            <w:vAlign w:val="bottom"/>
            <w:gridSpan w:val="6"/>
          </w:tcPr>
          <w:p>
            <w:pPr>
              <w:jc w:val="center"/>
              <w:ind w:right="4082"/>
              <w:spacing w:after="0"/>
              <w:rPr>
                <w:sz w:val="20"/>
                <w:szCs w:val="20"/>
                <w:color w:val="auto"/>
              </w:rPr>
            </w:pPr>
            <w:r>
              <w:rPr>
                <w:rFonts w:ascii="Times New Roman" w:cs="Times New Roman" w:eastAsia="Times New Roman" w:hAnsi="Times New Roman"/>
                <w:sz w:val="14"/>
                <w:szCs w:val="14"/>
                <w:b w:val="1"/>
                <w:bCs w:val="1"/>
                <w:color w:val="auto"/>
              </w:rPr>
              <w:t>Commission file number: 001-37352</w:t>
            </w:r>
          </w:p>
        </w:tc>
      </w:tr>
      <w:tr>
        <w:trPr>
          <w:trHeight w:val="242"/>
        </w:trPr>
        <w:tc>
          <w:tcPr>
            <w:tcW w:w="3880" w:type="dxa"/>
            <w:vAlign w:val="bottom"/>
          </w:tcPr>
          <w:p>
            <w:pPr>
              <w:spacing w:after="0"/>
              <w:rPr>
                <w:sz w:val="21"/>
                <w:szCs w:val="21"/>
                <w:color w:val="auto"/>
              </w:rPr>
            </w:pPr>
          </w:p>
        </w:tc>
        <w:tc>
          <w:tcPr>
            <w:tcW w:w="6960" w:type="dxa"/>
            <w:vAlign w:val="bottom"/>
            <w:gridSpan w:val="6"/>
          </w:tcPr>
          <w:p>
            <w:pPr>
              <w:jc w:val="center"/>
              <w:ind w:right="4102"/>
              <w:spacing w:after="0"/>
              <w:rPr>
                <w:sz w:val="20"/>
                <w:szCs w:val="20"/>
                <w:color w:val="auto"/>
              </w:rPr>
            </w:pPr>
            <w:r>
              <w:rPr>
                <w:rFonts w:ascii="Times New Roman" w:cs="Times New Roman" w:eastAsia="Times New Roman" w:hAnsi="Times New Roman"/>
                <w:sz w:val="20"/>
                <w:szCs w:val="20"/>
                <w:b w:val="1"/>
                <w:bCs w:val="1"/>
                <w:color w:val="auto"/>
                <w:w w:val="98"/>
              </w:rPr>
              <w:t>Virtu Financial, Inc.</w:t>
            </w:r>
          </w:p>
        </w:tc>
      </w:tr>
      <w:tr>
        <w:trPr>
          <w:trHeight w:val="128"/>
        </w:trPr>
        <w:tc>
          <w:tcPr>
            <w:tcW w:w="3880" w:type="dxa"/>
            <w:vAlign w:val="bottom"/>
          </w:tcPr>
          <w:p>
            <w:pPr>
              <w:spacing w:after="0"/>
              <w:rPr>
                <w:sz w:val="11"/>
                <w:szCs w:val="11"/>
                <w:color w:val="auto"/>
              </w:rPr>
            </w:pPr>
          </w:p>
        </w:tc>
        <w:tc>
          <w:tcPr>
            <w:tcW w:w="6960" w:type="dxa"/>
            <w:vAlign w:val="bottom"/>
            <w:gridSpan w:val="6"/>
          </w:tcPr>
          <w:p>
            <w:pPr>
              <w:jc w:val="center"/>
              <w:ind w:right="4102"/>
              <w:spacing w:after="0"/>
              <w:rPr>
                <w:sz w:val="20"/>
                <w:szCs w:val="20"/>
                <w:color w:val="auto"/>
              </w:rPr>
            </w:pPr>
            <w:r>
              <w:rPr>
                <w:rFonts w:ascii="Times New Roman" w:cs="Times New Roman" w:eastAsia="Times New Roman" w:hAnsi="Times New Roman"/>
                <w:sz w:val="10"/>
                <w:szCs w:val="10"/>
                <w:color w:val="auto"/>
                <w:w w:val="98"/>
              </w:rPr>
              <w:t>(Exact name of registrant as specified in its charter)</w:t>
            </w:r>
          </w:p>
        </w:tc>
      </w:tr>
      <w:tr>
        <w:trPr>
          <w:trHeight w:val="207"/>
        </w:trPr>
        <w:tc>
          <w:tcPr>
            <w:tcW w:w="3880" w:type="dxa"/>
            <w:vAlign w:val="bottom"/>
          </w:tcPr>
          <w:p>
            <w:pPr>
              <w:jc w:val="center"/>
              <w:ind w:left="1020"/>
              <w:spacing w:after="0"/>
              <w:rPr>
                <w:sz w:val="20"/>
                <w:szCs w:val="20"/>
                <w:color w:val="auto"/>
              </w:rPr>
            </w:pPr>
            <w:r>
              <w:rPr>
                <w:rFonts w:ascii="Times New Roman" w:cs="Times New Roman" w:eastAsia="Times New Roman" w:hAnsi="Times New Roman"/>
                <w:sz w:val="14"/>
                <w:szCs w:val="14"/>
                <w:b w:val="1"/>
                <w:bCs w:val="1"/>
                <w:color w:val="auto"/>
                <w:w w:val="98"/>
              </w:rPr>
              <w:t>Delaware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760" w:type="dxa"/>
            <w:vAlign w:val="bottom"/>
            <w:gridSpan w:val="3"/>
          </w:tcPr>
          <w:p>
            <w:pPr>
              <w:ind w:left="1680"/>
              <w:spacing w:after="0"/>
              <w:rPr>
                <w:sz w:val="20"/>
                <w:szCs w:val="20"/>
                <w:color w:val="auto"/>
              </w:rPr>
            </w:pPr>
            <w:r>
              <w:rPr>
                <w:rFonts w:ascii="Times New Roman" w:cs="Times New Roman" w:eastAsia="Times New Roman" w:hAnsi="Times New Roman"/>
                <w:sz w:val="14"/>
                <w:szCs w:val="14"/>
                <w:b w:val="1"/>
                <w:bCs w:val="1"/>
                <w:color w:val="auto"/>
              </w:rPr>
              <w:t>32-0420206</w:t>
            </w:r>
          </w:p>
        </w:tc>
      </w:tr>
      <w:tr>
        <w:trPr>
          <w:trHeight w:val="147"/>
        </w:trPr>
        <w:tc>
          <w:tcPr>
            <w:tcW w:w="3880" w:type="dxa"/>
            <w:vAlign w:val="bottom"/>
          </w:tcPr>
          <w:p>
            <w:pPr>
              <w:jc w:val="center"/>
              <w:ind w:left="10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80" w:type="dxa"/>
            <w:vAlign w:val="bottom"/>
          </w:tcPr>
          <w:p>
            <w:pPr>
              <w:ind w:left="52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446"/>
        </w:trPr>
        <w:tc>
          <w:tcPr>
            <w:tcW w:w="3880" w:type="dxa"/>
            <w:vAlign w:val="bottom"/>
          </w:tcPr>
          <w:p>
            <w:pPr>
              <w:jc w:val="center"/>
              <w:ind w:left="1920"/>
              <w:spacing w:after="0"/>
              <w:rPr>
                <w:sz w:val="20"/>
                <w:szCs w:val="20"/>
                <w:color w:val="auto"/>
              </w:rPr>
            </w:pPr>
            <w:r>
              <w:rPr>
                <w:rFonts w:ascii="Times New Roman" w:cs="Times New Roman" w:eastAsia="Times New Roman" w:hAnsi="Times New Roman"/>
                <w:sz w:val="11"/>
                <w:szCs w:val="11"/>
                <w:b w:val="1"/>
                <w:bCs w:val="1"/>
                <w:color w:val="auto"/>
              </w:rPr>
              <w:t>1633 Broadway</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59"/>
        </w:trPr>
        <w:tc>
          <w:tcPr>
            <w:tcW w:w="3880" w:type="dxa"/>
            <w:vAlign w:val="bottom"/>
          </w:tcPr>
          <w:p>
            <w:pPr>
              <w:jc w:val="center"/>
              <w:ind w:left="1900"/>
              <w:spacing w:after="0"/>
              <w:rPr>
                <w:sz w:val="20"/>
                <w:szCs w:val="20"/>
                <w:color w:val="auto"/>
              </w:rPr>
            </w:pPr>
            <w:r>
              <w:rPr>
                <w:rFonts w:ascii="Times New Roman" w:cs="Times New Roman" w:eastAsia="Times New Roman" w:hAnsi="Times New Roman"/>
                <w:sz w:val="11"/>
                <w:szCs w:val="11"/>
                <w:b w:val="1"/>
                <w:bCs w:val="1"/>
                <w:color w:val="auto"/>
                <w:w w:val="98"/>
              </w:rPr>
              <w:t>New York, New York</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4760" w:type="dxa"/>
            <w:vAlign w:val="bottom"/>
            <w:gridSpan w:val="3"/>
          </w:tcPr>
          <w:p>
            <w:pPr>
              <w:jc w:val="right"/>
              <w:ind w:right="3002"/>
              <w:spacing w:after="0"/>
              <w:rPr>
                <w:sz w:val="20"/>
                <w:szCs w:val="20"/>
                <w:color w:val="auto"/>
              </w:rPr>
            </w:pPr>
            <w:r>
              <w:rPr>
                <w:rFonts w:ascii="Times New Roman" w:cs="Times New Roman" w:eastAsia="Times New Roman" w:hAnsi="Times New Roman"/>
                <w:sz w:val="11"/>
                <w:szCs w:val="11"/>
                <w:b w:val="1"/>
                <w:bCs w:val="1"/>
                <w:color w:val="auto"/>
              </w:rPr>
              <w:t>10019</w:t>
            </w:r>
          </w:p>
        </w:tc>
      </w:tr>
      <w:tr>
        <w:trPr>
          <w:trHeight w:val="159"/>
        </w:trPr>
        <w:tc>
          <w:tcPr>
            <w:tcW w:w="3880" w:type="dxa"/>
            <w:vAlign w:val="bottom"/>
          </w:tcPr>
          <w:p>
            <w:pPr>
              <w:jc w:val="center"/>
              <w:ind w:left="1940"/>
              <w:spacing w:after="0"/>
              <w:rPr>
                <w:sz w:val="20"/>
                <w:szCs w:val="20"/>
                <w:color w:val="auto"/>
              </w:rPr>
            </w:pPr>
            <w:r>
              <w:rPr>
                <w:rFonts w:ascii="Times New Roman" w:cs="Times New Roman" w:eastAsia="Times New Roman" w:hAnsi="Times New Roman"/>
                <w:sz w:val="11"/>
                <w:szCs w:val="11"/>
                <w:color w:val="auto"/>
              </w:rPr>
              <w:t>(Address of principal executive offices)</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80" w:type="dxa"/>
            <w:vAlign w:val="bottom"/>
          </w:tcPr>
          <w:p>
            <w:pPr>
              <w:jc w:val="center"/>
              <w:ind w:right="2282"/>
              <w:spacing w:after="0"/>
              <w:rPr>
                <w:sz w:val="20"/>
                <w:szCs w:val="20"/>
                <w:color w:val="auto"/>
              </w:rPr>
            </w:pPr>
            <w:r>
              <w:rPr>
                <w:rFonts w:ascii="Times New Roman" w:cs="Times New Roman" w:eastAsia="Times New Roman" w:hAnsi="Times New Roman"/>
                <w:sz w:val="11"/>
                <w:szCs w:val="11"/>
                <w:color w:val="auto"/>
              </w:rPr>
              <w:t>(Zip Code)</w:t>
            </w:r>
          </w:p>
        </w:tc>
      </w:tr>
      <w:tr>
        <w:trPr>
          <w:trHeight w:val="344"/>
        </w:trPr>
        <w:tc>
          <w:tcPr>
            <w:tcW w:w="3880" w:type="dxa"/>
            <w:vAlign w:val="bottom"/>
          </w:tcPr>
          <w:p>
            <w:pPr>
              <w:spacing w:after="0"/>
              <w:rPr>
                <w:sz w:val="24"/>
                <w:szCs w:val="24"/>
                <w:color w:val="auto"/>
              </w:rPr>
            </w:pPr>
          </w:p>
        </w:tc>
        <w:tc>
          <w:tcPr>
            <w:tcW w:w="2200" w:type="dxa"/>
            <w:vAlign w:val="bottom"/>
            <w:gridSpan w:val="3"/>
          </w:tcPr>
          <w:p>
            <w:pPr>
              <w:jc w:val="center"/>
              <w:ind w:left="531"/>
              <w:spacing w:after="0"/>
              <w:rPr>
                <w:sz w:val="20"/>
                <w:szCs w:val="20"/>
                <w:color w:val="auto"/>
              </w:rPr>
            </w:pPr>
            <w:r>
              <w:rPr>
                <w:rFonts w:ascii="Times New Roman" w:cs="Times New Roman" w:eastAsia="Times New Roman" w:hAnsi="Times New Roman"/>
                <w:sz w:val="13"/>
                <w:szCs w:val="13"/>
                <w:b w:val="1"/>
                <w:bCs w:val="1"/>
                <w:color w:val="auto"/>
                <w:w w:val="98"/>
              </w:rPr>
              <w:t>(212) 418-0100</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80"/>
        </w:trPr>
        <w:tc>
          <w:tcPr>
            <w:tcW w:w="3880" w:type="dxa"/>
            <w:vAlign w:val="bottom"/>
          </w:tcPr>
          <w:p>
            <w:pPr>
              <w:spacing w:after="0"/>
              <w:rPr>
                <w:sz w:val="15"/>
                <w:szCs w:val="15"/>
                <w:color w:val="auto"/>
              </w:rPr>
            </w:pPr>
          </w:p>
        </w:tc>
        <w:tc>
          <w:tcPr>
            <w:tcW w:w="6960" w:type="dxa"/>
            <w:vAlign w:val="bottom"/>
            <w:gridSpan w:val="6"/>
          </w:tcPr>
          <w:p>
            <w:pPr>
              <w:jc w:val="center"/>
              <w:ind w:right="4122"/>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r>
      <w:tr>
        <w:trPr>
          <w:trHeight w:val="180"/>
        </w:trPr>
        <w:tc>
          <w:tcPr>
            <w:tcW w:w="3880" w:type="dxa"/>
            <w:vAlign w:val="bottom"/>
          </w:tcPr>
          <w:p>
            <w:pPr>
              <w:spacing w:after="0"/>
              <w:rPr>
                <w:sz w:val="15"/>
                <w:szCs w:val="15"/>
                <w:color w:val="auto"/>
              </w:rPr>
            </w:pPr>
          </w:p>
        </w:tc>
        <w:tc>
          <w:tcPr>
            <w:tcW w:w="6960" w:type="dxa"/>
            <w:vAlign w:val="bottom"/>
            <w:gridSpan w:val="6"/>
          </w:tcPr>
          <w:p>
            <w:pPr>
              <w:ind w:left="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tc>
      </w:tr>
      <w:tr>
        <w:trPr>
          <w:trHeight w:val="165"/>
        </w:trPr>
        <w:tc>
          <w:tcPr>
            <w:tcW w:w="3880" w:type="dxa"/>
            <w:vAlign w:val="bottom"/>
            <w:tcBorders>
              <w:bottom w:val="single" w:sz="8" w:color="auto"/>
            </w:tcBorders>
          </w:tcPr>
          <w:p>
            <w:pPr>
              <w:ind w:left="178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540" w:type="dxa"/>
            <w:vAlign w:val="bottom"/>
            <w:tcBorders>
              <w:bottom w:val="single" w:sz="8" w:color="auto"/>
            </w:tcBorders>
          </w:tcPr>
          <w:p>
            <w:pPr>
              <w:jc w:val="center"/>
              <w:ind w:left="520"/>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70"/>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40" w:type="dxa"/>
            <w:vAlign w:val="bottom"/>
            <w:shd w:val="clear" w:color="auto" w:fill="CCEEFF"/>
          </w:tcPr>
          <w:p>
            <w:pPr>
              <w:jc w:val="center"/>
              <w:ind w:left="520"/>
              <w:spacing w:after="0"/>
              <w:rPr>
                <w:sz w:val="20"/>
                <w:szCs w:val="20"/>
                <w:color w:val="auto"/>
              </w:rPr>
            </w:pPr>
            <w:r>
              <w:rPr>
                <w:rFonts w:ascii="Times New Roman" w:cs="Times New Roman" w:eastAsia="Times New Roman" w:hAnsi="Times New Roman"/>
                <w:sz w:val="13"/>
                <w:szCs w:val="13"/>
                <w:color w:val="auto"/>
                <w:w w:val="92"/>
              </w:rPr>
              <w:t>VIRT</w:t>
            </w: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8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3"/>
                <w:szCs w:val="13"/>
                <w:color w:val="auto"/>
              </w:rPr>
              <w:t>The Nasdaq Stock Market LLC</w:t>
            </w:r>
          </w:p>
        </w:tc>
      </w:tr>
    </w:tbl>
    <w:p>
      <w:pPr>
        <w:spacing w:after="0" w:line="74" w:lineRule="exact"/>
        <w:rPr>
          <w:sz w:val="24"/>
          <w:szCs w:val="24"/>
          <w:color w:val="auto"/>
        </w:rPr>
      </w:pPr>
    </w:p>
    <w:p>
      <w:pPr>
        <w:ind w:right="80" w:firstLine="255"/>
        <w:spacing w:after="0" w:line="18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1" w:lineRule="exact"/>
        <w:rPr>
          <w:sz w:val="24"/>
          <w:szCs w:val="24"/>
          <w:color w:val="auto"/>
        </w:rPr>
      </w:pPr>
    </w:p>
    <w:p>
      <w:pPr>
        <w:ind w:right="160" w:firstLine="255"/>
        <w:spacing w:after="0" w:line="176"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right="500" w:firstLine="255"/>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p>
      <w:pPr>
        <w:jc w:val="right"/>
        <w:ind w:left="1420" w:right="880"/>
        <w:spacing w:after="0" w:line="219" w:lineRule="exact"/>
        <w:rPr>
          <w:sz w:val="20"/>
          <w:szCs w:val="20"/>
          <w:color w:val="auto"/>
        </w:rPr>
      </w:pPr>
      <w:r>
        <w:rPr>
          <w:rFonts w:ascii="Times New Roman" w:cs="Times New Roman" w:eastAsia="Times New Roman" w:hAnsi="Times New Roman"/>
          <w:sz w:val="11"/>
          <w:szCs w:val="11"/>
          <w:color w:val="auto"/>
        </w:rPr>
        <w:t xml:space="preserve">Large accelerated filer </w:t>
      </w:r>
      <w:r>
        <w:rPr>
          <w:rFonts w:ascii="MS PGothic" w:cs="MS PGothic" w:eastAsia="MS PGothic" w:hAnsi="MS PGothic"/>
          <w:sz w:val="19"/>
          <w:szCs w:val="19"/>
          <w:color w:val="auto"/>
          <w:vertAlign w:val="superscript"/>
        </w:rPr>
        <w:t>☒</w:t>
      </w:r>
      <w:r>
        <w:rPr>
          <w:rFonts w:ascii="Times New Roman" w:cs="Times New Roman" w:eastAsia="Times New Roman" w:hAnsi="Times New Roman"/>
          <w:sz w:val="11"/>
          <w:szCs w:val="11"/>
          <w:color w:val="auto"/>
        </w:rPr>
        <w:t xml:space="preserve">                     Accelerated filer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Non-accelerated filer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Smaller reporting company </w:t>
      </w:r>
      <w:r>
        <w:rPr>
          <w:rFonts w:ascii="MS PGothic" w:cs="MS PGothic" w:eastAsia="MS PGothic" w:hAnsi="MS PGothic"/>
          <w:sz w:val="11"/>
          <w:szCs w:val="11"/>
          <w:color w:val="auto"/>
        </w:rPr>
        <w:t>☐</w:t>
      </w:r>
      <w:r>
        <w:rPr>
          <w:rFonts w:ascii="Times New Roman" w:cs="Times New Roman" w:eastAsia="Times New Roman" w:hAnsi="Times New Roman"/>
          <w:sz w:val="11"/>
          <w:szCs w:val="11"/>
          <w:color w:val="auto"/>
        </w:rPr>
        <w:t xml:space="preserve"> Emerging growth company </w:t>
      </w:r>
      <w:r>
        <w:rPr>
          <w:rFonts w:ascii="MS PGothic" w:cs="MS PGothic" w:eastAsia="MS PGothic" w:hAnsi="MS PGothic"/>
          <w:sz w:val="11"/>
          <w:szCs w:val="11"/>
          <w:color w:val="auto"/>
        </w:rPr>
        <w:t>☐</w:t>
      </w:r>
    </w:p>
    <w:p>
      <w:pPr>
        <w:spacing w:after="0" w:line="328" w:lineRule="exact"/>
        <w:rPr>
          <w:sz w:val="24"/>
          <w:szCs w:val="24"/>
          <w:color w:val="auto"/>
        </w:rPr>
      </w:pPr>
    </w:p>
    <w:p>
      <w:pPr>
        <w:ind w:right="200" w:firstLine="255"/>
        <w:spacing w:after="0" w:line="16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Securities Act. </w:t>
      </w:r>
      <w:r>
        <w:rPr>
          <w:rFonts w:ascii="MS PGothic" w:cs="MS PGothic" w:eastAsia="MS PGothic" w:hAnsi="MS PGothic"/>
          <w:sz w:val="13"/>
          <w:szCs w:val="13"/>
          <w:color w:val="auto"/>
        </w:rPr>
        <w:t>☐</w:t>
      </w:r>
    </w:p>
    <w:p>
      <w:pPr>
        <w:spacing w:after="0" w:line="1" w:lineRule="exact"/>
        <w:rPr>
          <w:sz w:val="24"/>
          <w:szCs w:val="24"/>
          <w:color w:val="auto"/>
        </w:rPr>
      </w:pPr>
    </w:p>
    <w:p>
      <w:pPr>
        <w:ind w:left="2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2" w:lineRule="exact"/>
        <w:rPr>
          <w:sz w:val="24"/>
          <w:szCs w:val="24"/>
          <w:color w:val="auto"/>
        </w:rPr>
      </w:pPr>
    </w:p>
    <w:tbl>
      <w:tblPr>
        <w:tblLayout w:type="fixed"/>
        <w:tblInd w:w="380" w:type="dxa"/>
        <w:tblCellMar>
          <w:top w:w="0" w:type="dxa"/>
          <w:left w:w="0" w:type="dxa"/>
          <w:bottom w:w="0" w:type="dxa"/>
          <w:right w:w="0" w:type="dxa"/>
        </w:tblCellMar>
      </w:tblPr>
      <w:tr>
        <w:trPr>
          <w:trHeight w:val="158"/>
        </w:trPr>
        <w:tc>
          <w:tcPr>
            <w:tcW w:w="2240" w:type="dxa"/>
            <w:vAlign w:val="bottom"/>
          </w:tcPr>
          <w:p>
            <w:pPr>
              <w:spacing w:after="0"/>
              <w:rPr>
                <w:sz w:val="13"/>
                <w:szCs w:val="13"/>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Class of Stock</w:t>
            </w:r>
          </w:p>
        </w:tc>
        <w:tc>
          <w:tcPr>
            <w:tcW w:w="2040" w:type="dxa"/>
            <w:vAlign w:val="bottom"/>
          </w:tcPr>
          <w:p>
            <w:pPr>
              <w:ind w:left="80"/>
              <w:spacing w:after="0"/>
              <w:rPr>
                <w:sz w:val="20"/>
                <w:szCs w:val="20"/>
                <w:color w:val="auto"/>
              </w:rPr>
            </w:pPr>
            <w:r>
              <w:rPr>
                <w:rFonts w:ascii="Times New Roman" w:cs="Times New Roman" w:eastAsia="Times New Roman" w:hAnsi="Times New Roman"/>
                <w:sz w:val="11"/>
                <w:szCs w:val="11"/>
                <w:b w:val="1"/>
                <w:bCs w:val="1"/>
                <w:color w:val="auto"/>
              </w:rPr>
              <w:t>Shares outstanding as of April 19, 2024</w:t>
            </w:r>
          </w:p>
        </w:tc>
        <w:tc>
          <w:tcPr>
            <w:tcW w:w="2300" w:type="dxa"/>
            <w:vAlign w:val="bottom"/>
          </w:tcPr>
          <w:p>
            <w:pPr>
              <w:spacing w:after="0"/>
              <w:rPr>
                <w:sz w:val="13"/>
                <w:szCs w:val="13"/>
                <w:color w:val="auto"/>
              </w:rPr>
            </w:pPr>
          </w:p>
        </w:tc>
      </w:tr>
      <w:tr>
        <w:trPr>
          <w:trHeight w:val="170"/>
        </w:trPr>
        <w:tc>
          <w:tcPr>
            <w:tcW w:w="2240" w:type="dxa"/>
            <w:vAlign w:val="bottom"/>
          </w:tcPr>
          <w:p>
            <w:pPr>
              <w:spacing w:after="0"/>
              <w:rPr>
                <w:sz w:val="14"/>
                <w:szCs w:val="14"/>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A common stock, par value $0.00001 per share</w:t>
            </w:r>
          </w:p>
        </w:tc>
        <w:tc>
          <w:tcPr>
            <w:tcW w:w="100" w:type="dxa"/>
            <w:vAlign w:val="bottom"/>
            <w:tcBorders>
              <w:top w:val="single" w:sz="8" w:color="CCEEFF"/>
            </w:tcBorders>
            <w:shd w:val="clear" w:color="auto" w:fill="CCEEFF"/>
          </w:tcPr>
          <w:p>
            <w:pPr>
              <w:spacing w:after="0"/>
              <w:rPr>
                <w:sz w:val="14"/>
                <w:szCs w:val="14"/>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88,494,096</w:t>
            </w:r>
          </w:p>
        </w:tc>
        <w:tc>
          <w:tcPr>
            <w:tcW w:w="2300" w:type="dxa"/>
            <w:vAlign w:val="bottom"/>
          </w:tcPr>
          <w:p>
            <w:pPr>
              <w:spacing w:after="0"/>
              <w:rPr>
                <w:sz w:val="14"/>
                <w:szCs w:val="14"/>
                <w:color w:val="auto"/>
              </w:rPr>
            </w:pPr>
          </w:p>
        </w:tc>
      </w:tr>
      <w:tr>
        <w:trPr>
          <w:trHeight w:val="168"/>
        </w:trPr>
        <w:tc>
          <w:tcPr>
            <w:tcW w:w="2240" w:type="dxa"/>
            <w:vAlign w:val="bottom"/>
          </w:tcPr>
          <w:p>
            <w:pPr>
              <w:spacing w:after="0"/>
              <w:rPr>
                <w:sz w:val="14"/>
                <w:szCs w:val="14"/>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Class C common stock, par value $0.00001 per share</w:t>
            </w:r>
          </w:p>
        </w:tc>
        <w:tc>
          <w:tcPr>
            <w:tcW w:w="20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8,607,998</w:t>
            </w:r>
          </w:p>
        </w:tc>
        <w:tc>
          <w:tcPr>
            <w:tcW w:w="2300" w:type="dxa"/>
            <w:vAlign w:val="bottom"/>
          </w:tcPr>
          <w:p>
            <w:pPr>
              <w:spacing w:after="0"/>
              <w:rPr>
                <w:sz w:val="14"/>
                <w:szCs w:val="14"/>
                <w:color w:val="auto"/>
              </w:rPr>
            </w:pPr>
          </w:p>
        </w:tc>
      </w:tr>
      <w:tr>
        <w:trPr>
          <w:trHeight w:val="172"/>
        </w:trPr>
        <w:tc>
          <w:tcPr>
            <w:tcW w:w="2240" w:type="dxa"/>
            <w:vAlign w:val="bottom"/>
          </w:tcPr>
          <w:p>
            <w:pPr>
              <w:spacing w:after="0"/>
              <w:rPr>
                <w:sz w:val="14"/>
                <w:szCs w:val="14"/>
                <w:color w:val="auto"/>
              </w:rPr>
            </w:pPr>
          </w:p>
        </w:tc>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Class D common stock, par value $0.00001 per share</w:t>
            </w:r>
          </w:p>
        </w:tc>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60,091,740</w:t>
            </w:r>
          </w:p>
        </w:tc>
        <w:tc>
          <w:tcPr>
            <w:tcW w:w="2300" w:type="dxa"/>
            <w:vAlign w:val="bottom"/>
          </w:tcPr>
          <w:p>
            <w:pPr>
              <w:spacing w:after="0"/>
              <w:rPr>
                <w:sz w:val="14"/>
                <w:szCs w:val="14"/>
                <w:color w:val="auto"/>
              </w:rPr>
            </w:pPr>
          </w:p>
        </w:tc>
      </w:tr>
      <w:tr>
        <w:trPr>
          <w:trHeight w:val="212"/>
        </w:trPr>
        <w:tc>
          <w:tcPr>
            <w:tcW w:w="224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spacing w:after="0"/>
              <w:rPr>
                <w:sz w:val="18"/>
                <w:szCs w:val="18"/>
                <w:color w:val="auto"/>
              </w:rPr>
            </w:pPr>
          </w:p>
        </w:tc>
      </w:tr>
      <w:tr>
        <w:trPr>
          <w:trHeight w:val="20"/>
        </w:trPr>
        <w:tc>
          <w:tcPr>
            <w:tcW w:w="2240" w:type="dxa"/>
            <w:vAlign w:val="bottom"/>
            <w:tcBorders>
              <w:bottom w:val="single" w:sz="8" w:color="auto"/>
            </w:tcBorders>
          </w:tcPr>
          <w:p>
            <w:pPr>
              <w:spacing w:after="0" w:line="20" w:lineRule="exact"/>
              <w:rPr>
                <w:sz w:val="1"/>
                <w:szCs w:val="1"/>
                <w:color w:val="auto"/>
              </w:rPr>
            </w:pPr>
          </w:p>
        </w:tc>
        <w:tc>
          <w:tcPr>
            <w:tcW w:w="4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4"/>
          <w:szCs w:val="24"/>
          <w:color w:val="auto"/>
        </w:rPr>
      </w:pPr>
    </w:p>
    <w:p>
      <w:pPr>
        <w:spacing w:after="0" w:line="30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966"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INDEX TO 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 ENDED March 31, 2024</w:t>
      </w:r>
    </w:p>
    <w:p>
      <w:pPr>
        <w:spacing w:after="0" w:line="12" w:lineRule="exact"/>
        <w:rPr>
          <w:sz w:val="20"/>
          <w:szCs w:val="20"/>
          <w:color w:val="auto"/>
        </w:rPr>
      </w:pPr>
    </w:p>
    <w:tbl>
      <w:tblPr>
        <w:tblLayout w:type="fixed"/>
        <w:tblInd w:w="60" w:type="dxa"/>
        <w:tblCellMar>
          <w:top w:w="0" w:type="dxa"/>
          <w:left w:w="0" w:type="dxa"/>
          <w:bottom w:w="0" w:type="dxa"/>
          <w:right w:w="0" w:type="dxa"/>
        </w:tblCellMar>
      </w:tblPr>
      <w:tr>
        <w:trPr>
          <w:trHeight w:val="126"/>
        </w:trPr>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180" w:type="dxa"/>
            <w:vAlign w:val="bottom"/>
          </w:tcPr>
          <w:p>
            <w:pPr>
              <w:jc w:val="right"/>
              <w:ind w:right="371"/>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49"/>
        </w:trPr>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1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1"/>
                <w:szCs w:val="11"/>
                <w:b w:val="1"/>
                <w:bCs w:val="1"/>
                <w:color w:val="auto"/>
              </w:rPr>
              <w:t>NUMBER</w:t>
            </w:r>
          </w:p>
        </w:tc>
      </w:tr>
      <w:tr>
        <w:trPr>
          <w:trHeight w:val="328"/>
        </w:trPr>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w w:val="99"/>
              </w:rPr>
              <w:t>PART I -</w:t>
            </w:r>
          </w:p>
        </w:tc>
        <w:tc>
          <w:tcPr>
            <w:tcW w:w="840" w:type="dxa"/>
            <w:vAlign w:val="bottom"/>
            <w:gridSpan w:val="2"/>
          </w:tcPr>
          <w:p>
            <w:pPr>
              <w:spacing w:after="0"/>
              <w:rPr>
                <w:sz w:val="24"/>
                <w:szCs w:val="24"/>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1180" w:type="dxa"/>
            <w:vAlign w:val="bottom"/>
          </w:tcPr>
          <w:p>
            <w:pPr>
              <w:spacing w:after="0"/>
              <w:rPr>
                <w:sz w:val="24"/>
                <w:szCs w:val="24"/>
                <w:color w:val="auto"/>
              </w:rPr>
            </w:pPr>
          </w:p>
        </w:tc>
      </w:tr>
      <w:tr>
        <w:trPr>
          <w:trHeight w:val="341"/>
        </w:trPr>
        <w:tc>
          <w:tcPr>
            <w:tcW w:w="4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1.</w:t>
            </w:r>
          </w:p>
        </w:tc>
        <w:tc>
          <w:tcPr>
            <w:tcW w:w="100" w:type="dxa"/>
            <w:vAlign w:val="bottom"/>
            <w:tcBorders>
              <w:top w:val="single" w:sz="8" w:color="0000FF"/>
            </w:tcBorders>
          </w:tcPr>
          <w:p>
            <w:pPr>
              <w:spacing w:after="0"/>
              <w:rPr>
                <w:sz w:val="24"/>
                <w:szCs w:val="24"/>
                <w:color w:val="auto"/>
              </w:rPr>
            </w:pPr>
          </w:p>
        </w:tc>
        <w:tc>
          <w:tcPr>
            <w:tcW w:w="840" w:type="dxa"/>
            <w:vAlign w:val="bottom"/>
            <w:gridSpan w:val="2"/>
          </w:tcPr>
          <w:p>
            <w:pPr>
              <w:spacing w:after="0"/>
              <w:rPr>
                <w:sz w:val="24"/>
                <w:szCs w:val="24"/>
                <w:color w:val="auto"/>
              </w:rPr>
            </w:pPr>
          </w:p>
        </w:tc>
        <w:tc>
          <w:tcPr>
            <w:tcW w:w="11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Financial Statements</w:t>
            </w:r>
          </w:p>
        </w:tc>
        <w:tc>
          <w:tcPr>
            <w:tcW w:w="580" w:type="dxa"/>
            <w:vAlign w:val="bottom"/>
            <w:tcBorders>
              <w:top w:val="single" w:sz="8" w:color="0000FF"/>
            </w:tcBorders>
            <w:gridSpan w:val="3"/>
          </w:tcPr>
          <w:p>
            <w:pPr>
              <w:spacing w:after="0"/>
              <w:rPr>
                <w:sz w:val="24"/>
                <w:szCs w:val="24"/>
                <w:color w:val="auto"/>
              </w:rPr>
            </w:pPr>
          </w:p>
        </w:tc>
        <w:tc>
          <w:tcPr>
            <w:tcW w:w="6880" w:type="dxa"/>
            <w:vAlign w:val="bottom"/>
            <w:gridSpan w:val="10"/>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Condensed Consolidated Statements of Financial Condition (Unaudited)</w:t>
            </w:r>
          </w:p>
        </w:tc>
        <w:tc>
          <w:tcPr>
            <w:tcW w:w="4540" w:type="dxa"/>
            <w:vAlign w:val="bottom"/>
            <w:gridSpan w:val="3"/>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3</w:t>
            </w:r>
          </w:p>
        </w:tc>
      </w:tr>
      <w:tr>
        <w:trPr>
          <w:trHeight w:val="160"/>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(Unaudited)</w:t>
            </w:r>
          </w:p>
        </w:tc>
        <w:tc>
          <w:tcPr>
            <w:tcW w:w="4320" w:type="dxa"/>
            <w:vAlign w:val="bottom"/>
            <w:gridSpan w:val="2"/>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5</w:t>
            </w:r>
          </w:p>
        </w:tc>
      </w:tr>
      <w:tr>
        <w:trPr>
          <w:trHeight w:val="160"/>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Equity (Unaudited)</w:t>
            </w:r>
          </w:p>
        </w:tc>
        <w:tc>
          <w:tcPr>
            <w:tcW w:w="4620" w:type="dxa"/>
            <w:vAlign w:val="bottom"/>
            <w:gridSpan w:val="4"/>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w:t>
            </w:r>
          </w:p>
        </w:tc>
      </w:tr>
      <w:tr>
        <w:trPr>
          <w:trHeight w:val="160"/>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5000" w:type="dxa"/>
            <w:vAlign w:val="bottom"/>
            <w:gridSpan w:val="6"/>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w:t>
            </w:r>
          </w:p>
        </w:tc>
      </w:tr>
      <w:tr>
        <w:trPr>
          <w:trHeight w:val="160"/>
        </w:trPr>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8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4780" w:type="dxa"/>
            <w:vAlign w:val="bottom"/>
            <w:gridSpan w:val="5"/>
          </w:tcPr>
          <w:p>
            <w:pPr>
              <w:spacing w:after="0"/>
              <w:rPr>
                <w:sz w:val="13"/>
                <w:szCs w:val="1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9</w:t>
            </w:r>
          </w:p>
        </w:tc>
      </w:tr>
      <w:tr>
        <w:trPr>
          <w:trHeight w:val="34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0000FF"/>
              </w:rPr>
              <w:t>Item 2.</w:t>
            </w:r>
          </w:p>
        </w:tc>
        <w:tc>
          <w:tcPr>
            <w:tcW w:w="940" w:type="dxa"/>
            <w:vAlign w:val="bottom"/>
            <w:gridSpan w:val="3"/>
          </w:tcPr>
          <w:p>
            <w:pPr>
              <w:spacing w:after="0"/>
              <w:rPr>
                <w:sz w:val="24"/>
                <w:szCs w:val="24"/>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43</w:t>
            </w:r>
          </w:p>
        </w:tc>
      </w:tr>
      <w:tr>
        <w:trPr>
          <w:trHeight w:val="341"/>
        </w:trPr>
        <w:tc>
          <w:tcPr>
            <w:tcW w:w="4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3.</w:t>
            </w:r>
          </w:p>
        </w:tc>
        <w:tc>
          <w:tcPr>
            <w:tcW w:w="940" w:type="dxa"/>
            <w:vAlign w:val="bottom"/>
            <w:gridSpan w:val="3"/>
          </w:tcPr>
          <w:p>
            <w:pPr>
              <w:spacing w:after="0"/>
              <w:rPr>
                <w:sz w:val="24"/>
                <w:szCs w:val="24"/>
                <w:color w:val="auto"/>
              </w:rPr>
            </w:pPr>
          </w:p>
        </w:tc>
        <w:tc>
          <w:tcPr>
            <w:tcW w:w="344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1620" w:type="dxa"/>
            <w:vAlign w:val="bottom"/>
            <w:tcBorders>
              <w:top w:val="single" w:sz="8" w:color="0000FF"/>
            </w:tcBorders>
            <w:gridSpan w:val="6"/>
          </w:tcPr>
          <w:p>
            <w:pPr>
              <w:spacing w:after="0"/>
              <w:rPr>
                <w:sz w:val="24"/>
                <w:szCs w:val="24"/>
                <w:color w:val="auto"/>
              </w:rPr>
            </w:pPr>
          </w:p>
        </w:tc>
        <w:tc>
          <w:tcPr>
            <w:tcW w:w="35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68</w:t>
            </w:r>
          </w:p>
        </w:tc>
      </w:tr>
      <w:tr>
        <w:trPr>
          <w:trHeight w:val="34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0000FF"/>
              </w:rPr>
              <w:t>Item 4.</w:t>
            </w:r>
          </w:p>
        </w:tc>
        <w:tc>
          <w:tcPr>
            <w:tcW w:w="940" w:type="dxa"/>
            <w:vAlign w:val="bottom"/>
            <w:gridSpan w:val="3"/>
          </w:tcPr>
          <w:p>
            <w:pPr>
              <w:spacing w:after="0"/>
              <w:rPr>
                <w:sz w:val="24"/>
                <w:szCs w:val="24"/>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70</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41"/>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8"/>
              </w:rPr>
              <w:t>PART II -</w:t>
            </w:r>
          </w:p>
        </w:tc>
        <w:tc>
          <w:tcPr>
            <w:tcW w:w="800" w:type="dxa"/>
            <w:vAlign w:val="bottom"/>
          </w:tcPr>
          <w:p>
            <w:pPr>
              <w:spacing w:after="0"/>
              <w:rPr>
                <w:sz w:val="24"/>
                <w:szCs w:val="24"/>
                <w:color w:val="auto"/>
              </w:rPr>
            </w:pPr>
          </w:p>
        </w:tc>
        <w:tc>
          <w:tcPr>
            <w:tcW w:w="14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w w:val="98"/>
              </w:rPr>
              <w:t>OTHER INFORMATION</w:t>
            </w:r>
          </w:p>
        </w:tc>
        <w:tc>
          <w:tcPr>
            <w:tcW w:w="7160" w:type="dxa"/>
            <w:vAlign w:val="bottom"/>
            <w:gridSpan w:val="11"/>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0000FF"/>
              </w:rPr>
              <w:t>Item 1.</w:t>
            </w:r>
          </w:p>
        </w:tc>
        <w:tc>
          <w:tcPr>
            <w:tcW w:w="940" w:type="dxa"/>
            <w:vAlign w:val="bottom"/>
            <w:gridSpan w:val="3"/>
          </w:tcPr>
          <w:p>
            <w:pPr>
              <w:spacing w:after="0"/>
              <w:rPr>
                <w:sz w:val="24"/>
                <w:szCs w:val="24"/>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Legal Proceedings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41"/>
        </w:trPr>
        <w:tc>
          <w:tcPr>
            <w:tcW w:w="5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1A.</w:t>
            </w:r>
          </w:p>
        </w:tc>
        <w:tc>
          <w:tcPr>
            <w:tcW w:w="840" w:type="dxa"/>
            <w:vAlign w:val="bottom"/>
            <w:gridSpan w:val="2"/>
          </w:tcPr>
          <w:p>
            <w:pPr>
              <w:spacing w:after="0"/>
              <w:rPr>
                <w:sz w:val="24"/>
                <w:szCs w:val="24"/>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w:t>
            </w: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2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41"/>
        </w:trPr>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840" w:type="dxa"/>
            <w:vAlign w:val="bottom"/>
            <w:tcBorders>
              <w:bottom w:val="single" w:sz="8" w:color="0000FF"/>
            </w:tcBorders>
            <w:gridSpan w:val="2"/>
          </w:tcPr>
          <w:p>
            <w:pPr>
              <w:spacing w:after="0"/>
              <w:rPr>
                <w:sz w:val="24"/>
                <w:szCs w:val="24"/>
                <w:color w:val="auto"/>
              </w:rPr>
            </w:pPr>
          </w:p>
        </w:tc>
        <w:tc>
          <w:tcPr>
            <w:tcW w:w="3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5220" w:type="dxa"/>
            <w:vAlign w:val="bottom"/>
            <w:gridSpan w:val="8"/>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71</w:t>
            </w:r>
          </w:p>
        </w:tc>
      </w:tr>
      <w:tr>
        <w:trPr>
          <w:trHeight w:val="341"/>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0000FF"/>
              </w:rPr>
              <w:t>Item 3.</w:t>
            </w:r>
          </w:p>
        </w:tc>
        <w:tc>
          <w:tcPr>
            <w:tcW w:w="940" w:type="dxa"/>
            <w:vAlign w:val="bottom"/>
            <w:gridSpan w:val="3"/>
          </w:tcPr>
          <w:p>
            <w:pPr>
              <w:spacing w:after="0"/>
              <w:rPr>
                <w:sz w:val="24"/>
                <w:szCs w:val="24"/>
                <w:color w:val="auto"/>
              </w:rPr>
            </w:pPr>
          </w:p>
        </w:tc>
        <w:tc>
          <w:tcPr>
            <w:tcW w:w="8640" w:type="dxa"/>
            <w:vAlign w:val="bottom"/>
            <w:gridSpan w:val="18"/>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w:t>
            </w:r>
          </w:p>
        </w:tc>
      </w:tr>
      <w:tr>
        <w:trPr>
          <w:trHeight w:val="341"/>
        </w:trPr>
        <w:tc>
          <w:tcPr>
            <w:tcW w:w="4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4.</w:t>
            </w:r>
          </w:p>
        </w:tc>
        <w:tc>
          <w:tcPr>
            <w:tcW w:w="940" w:type="dxa"/>
            <w:vAlign w:val="bottom"/>
            <w:gridSpan w:val="3"/>
          </w:tcPr>
          <w:p>
            <w:pPr>
              <w:spacing w:after="0"/>
              <w:rPr>
                <w:sz w:val="24"/>
                <w:szCs w:val="24"/>
                <w:color w:val="auto"/>
              </w:rPr>
            </w:pPr>
          </w:p>
        </w:tc>
        <w:tc>
          <w:tcPr>
            <w:tcW w:w="182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6820" w:type="dxa"/>
            <w:vAlign w:val="bottom"/>
            <w:gridSpan w:val="9"/>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w:t>
            </w:r>
          </w:p>
        </w:tc>
      </w:tr>
      <w:tr>
        <w:trPr>
          <w:trHeight w:val="341"/>
        </w:trPr>
        <w:tc>
          <w:tcPr>
            <w:tcW w:w="4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5.</w:t>
            </w:r>
          </w:p>
        </w:tc>
        <w:tc>
          <w:tcPr>
            <w:tcW w:w="940" w:type="dxa"/>
            <w:vAlign w:val="bottom"/>
            <w:gridSpan w:val="3"/>
          </w:tcPr>
          <w:p>
            <w:pPr>
              <w:spacing w:after="0"/>
              <w:rPr>
                <w:sz w:val="24"/>
                <w:szCs w:val="24"/>
                <w:color w:val="auto"/>
              </w:rPr>
            </w:pPr>
          </w:p>
        </w:tc>
        <w:tc>
          <w:tcPr>
            <w:tcW w:w="1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260" w:type="dxa"/>
            <w:vAlign w:val="bottom"/>
            <w:gridSpan w:val="12"/>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w:t>
            </w:r>
          </w:p>
        </w:tc>
      </w:tr>
      <w:tr>
        <w:trPr>
          <w:trHeight w:val="341"/>
        </w:trPr>
        <w:tc>
          <w:tcPr>
            <w:tcW w:w="4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4"/>
                <w:szCs w:val="14"/>
                <w:color w:val="0000FF"/>
              </w:rPr>
              <w:t>Item 6.</w:t>
            </w:r>
          </w:p>
        </w:tc>
        <w:tc>
          <w:tcPr>
            <w:tcW w:w="940" w:type="dxa"/>
            <w:vAlign w:val="bottom"/>
            <w:gridSpan w:val="3"/>
          </w:tcPr>
          <w:p>
            <w:pPr>
              <w:spacing w:after="0"/>
              <w:rPr>
                <w:sz w:val="24"/>
                <w:szCs w:val="24"/>
                <w:color w:val="auto"/>
              </w:rPr>
            </w:pPr>
          </w:p>
        </w:tc>
        <w:tc>
          <w:tcPr>
            <w:tcW w:w="10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7600" w:type="dxa"/>
            <w:vAlign w:val="bottom"/>
            <w:gridSpan w:val="14"/>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72</w:t>
            </w:r>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780" w:type="dxa"/>
            <w:vAlign w:val="bottom"/>
            <w:gridSpan w:val="15"/>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41"/>
        </w:trPr>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6"/>
              </w:rPr>
              <w:t>SIGNATURES</w:t>
            </w:r>
          </w:p>
        </w:tc>
        <w:tc>
          <w:tcPr>
            <w:tcW w:w="7780" w:type="dxa"/>
            <w:vAlign w:val="bottom"/>
            <w:gridSpan w:val="15"/>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0000FF"/>
              </w:rPr>
              <w:t>73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920" w:type="dxa"/>
            <w:vAlign w:val="bottom"/>
            <w:gridSpan w:val="4"/>
          </w:tcPr>
          <w:p>
            <w:pPr>
              <w:jc w:val="center"/>
              <w:ind w:right="4340"/>
              <w:spacing w:after="0"/>
              <w:rPr>
                <w:sz w:val="20"/>
                <w:szCs w:val="20"/>
                <w:color w:val="auto"/>
              </w:rPr>
            </w:pPr>
            <w:r>
              <w:rPr>
                <w:rFonts w:ascii="Times New Roman" w:cs="Times New Roman" w:eastAsia="Times New Roman" w:hAnsi="Times New Roman"/>
                <w:sz w:val="14"/>
                <w:szCs w:val="14"/>
                <w:b w:val="1"/>
                <w:bCs w:val="1"/>
                <w:color w:val="auto"/>
                <w:w w:val="97"/>
              </w:rPr>
              <w:t>PART I</w:t>
            </w:r>
          </w:p>
        </w:tc>
      </w:tr>
      <w:tr>
        <w:trPr>
          <w:trHeight w:val="530"/>
        </w:trPr>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tc>
        <w:tc>
          <w:tcPr>
            <w:tcW w:w="5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43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Index to Condensed Consolidated Financial Statements</w:t>
            </w:r>
          </w:p>
        </w:tc>
        <w:tc>
          <w:tcPr>
            <w:tcW w:w="5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99"/>
        </w:trPr>
        <w:tc>
          <w:tcPr>
            <w:tcW w:w="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20" w:type="dxa"/>
            <w:vAlign w:val="bottom"/>
            <w:gridSpan w:val="3"/>
          </w:tcPr>
          <w:p>
            <w:pPr>
              <w:ind w:left="440"/>
              <w:spacing w:after="0"/>
              <w:rPr>
                <w:sz w:val="20"/>
                <w:szCs w:val="20"/>
                <w:color w:val="auto"/>
              </w:rPr>
            </w:pPr>
            <w:r>
              <w:rPr>
                <w:rFonts w:ascii="Times New Roman" w:cs="Times New Roman" w:eastAsia="Times New Roman" w:hAnsi="Times New Roman"/>
                <w:sz w:val="11"/>
                <w:szCs w:val="11"/>
                <w:b w:val="1"/>
                <w:bCs w:val="1"/>
                <w:color w:val="auto"/>
              </w:rPr>
              <w:t>PAGE</w:t>
            </w:r>
          </w:p>
        </w:tc>
      </w:tr>
      <w:tr>
        <w:trPr>
          <w:trHeight w:val="153"/>
        </w:trPr>
        <w:tc>
          <w:tcPr>
            <w:tcW w:w="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700" w:type="dxa"/>
            <w:vAlign w:val="bottom"/>
          </w:tcPr>
          <w:p>
            <w:pPr>
              <w:spacing w:after="0"/>
              <w:rPr>
                <w:sz w:val="13"/>
                <w:szCs w:val="13"/>
                <w:color w:val="auto"/>
              </w:rPr>
            </w:pPr>
          </w:p>
        </w:tc>
        <w:tc>
          <w:tcPr>
            <w:tcW w:w="12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0" w:type="dxa"/>
            <w:vAlign w:val="bottom"/>
          </w:tcPr>
          <w:p>
            <w:pPr>
              <w:spacing w:after="0"/>
              <w:rPr>
                <w:sz w:val="13"/>
                <w:szCs w:val="13"/>
                <w:color w:val="auto"/>
              </w:rPr>
            </w:pPr>
          </w:p>
        </w:tc>
      </w:tr>
      <w:tr>
        <w:trPr>
          <w:trHeight w:val="313"/>
        </w:trPr>
        <w:tc>
          <w:tcPr>
            <w:tcW w:w="40" w:type="dxa"/>
            <w:vAlign w:val="bottom"/>
          </w:tcPr>
          <w:p>
            <w:pPr>
              <w:spacing w:after="0"/>
              <w:rPr>
                <w:sz w:val="24"/>
                <w:szCs w:val="24"/>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Condensed Consolidated Statements of Financial Condition (Unaudited)</w:t>
            </w: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3</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40" w:type="dxa"/>
            <w:vAlign w:val="bottom"/>
          </w:tcPr>
          <w:p>
            <w:pPr>
              <w:spacing w:after="0"/>
              <w:rPr>
                <w:sz w:val="24"/>
                <w:szCs w:val="24"/>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Condensed Consolidated Statements of Comprehensive Income (Unaudited)</w:t>
            </w: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5</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88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40" w:type="dxa"/>
            <w:vAlign w:val="bottom"/>
          </w:tcPr>
          <w:p>
            <w:pPr>
              <w:spacing w:after="0"/>
              <w:rPr>
                <w:sz w:val="24"/>
                <w:szCs w:val="24"/>
                <w:color w:val="auto"/>
              </w:rPr>
            </w:pPr>
          </w:p>
        </w:tc>
        <w:tc>
          <w:tcPr>
            <w:tcW w:w="40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Equity (Unaudited)</w:t>
            </w:r>
          </w:p>
        </w:tc>
        <w:tc>
          <w:tcPr>
            <w:tcW w:w="300" w:type="dxa"/>
            <w:vAlign w:val="bottom"/>
            <w:gridSpan w:val="2"/>
          </w:tcPr>
          <w:p>
            <w:pPr>
              <w:spacing w:after="0"/>
              <w:rPr>
                <w:sz w:val="24"/>
                <w:szCs w:val="24"/>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6</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8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40" w:type="dxa"/>
            <w:vAlign w:val="bottom"/>
          </w:tcPr>
          <w:p>
            <w:pPr>
              <w:spacing w:after="0"/>
              <w:rPr>
                <w:sz w:val="24"/>
                <w:szCs w:val="24"/>
                <w:color w:val="auto"/>
              </w:rPr>
            </w:pPr>
          </w:p>
        </w:tc>
        <w:tc>
          <w:tcPr>
            <w:tcW w:w="3640" w:type="dxa"/>
            <w:vAlign w:val="bottom"/>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(Unaudited)</w:t>
            </w:r>
          </w:p>
        </w:tc>
        <w:tc>
          <w:tcPr>
            <w:tcW w:w="380" w:type="dxa"/>
            <w:vAlign w:val="bottom"/>
            <w:gridSpan w:val="2"/>
          </w:tcPr>
          <w:p>
            <w:pPr>
              <w:spacing w:after="0"/>
              <w:rPr>
                <w:sz w:val="24"/>
                <w:szCs w:val="24"/>
                <w:color w:val="auto"/>
              </w:rPr>
            </w:pPr>
          </w:p>
        </w:tc>
        <w:tc>
          <w:tcPr>
            <w:tcW w:w="300" w:type="dxa"/>
            <w:vAlign w:val="bottom"/>
            <w:gridSpan w:val="2"/>
          </w:tcPr>
          <w:p>
            <w:pPr>
              <w:spacing w:after="0"/>
              <w:rPr>
                <w:sz w:val="24"/>
                <w:szCs w:val="24"/>
                <w:color w:val="auto"/>
              </w:rPr>
            </w:pP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7</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18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41"/>
        </w:trPr>
        <w:tc>
          <w:tcPr>
            <w:tcW w:w="40" w:type="dxa"/>
            <w:vAlign w:val="bottom"/>
          </w:tcPr>
          <w:p>
            <w:pPr>
              <w:spacing w:after="0"/>
              <w:rPr>
                <w:sz w:val="24"/>
                <w:szCs w:val="24"/>
                <w:color w:val="auto"/>
              </w:rPr>
            </w:pPr>
          </w:p>
        </w:tc>
        <w:tc>
          <w:tcPr>
            <w:tcW w:w="432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 (Unaudited)</w:t>
            </w:r>
          </w:p>
        </w:tc>
        <w:tc>
          <w:tcPr>
            <w:tcW w:w="690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0000FF"/>
              </w:rPr>
              <w:t>9</w:t>
            </w:r>
          </w:p>
        </w:tc>
        <w:tc>
          <w:tcPr>
            <w:tcW w:w="20" w:type="dxa"/>
            <w:vAlign w:val="bottom"/>
          </w:tcPr>
          <w:p>
            <w:pPr>
              <w:spacing w:after="0"/>
              <w:rPr>
                <w:sz w:val="24"/>
                <w:szCs w:val="24"/>
                <w:color w:val="auto"/>
              </w:rPr>
            </w:pPr>
          </w:p>
        </w:tc>
      </w:tr>
      <w:tr>
        <w:trPr>
          <w:trHeight w:val="701"/>
        </w:trPr>
        <w:tc>
          <w:tcPr>
            <w:tcW w:w="40" w:type="dxa"/>
            <w:vAlign w:val="bottom"/>
          </w:tcPr>
          <w:p>
            <w:pPr>
              <w:spacing w:after="0"/>
              <w:rPr>
                <w:sz w:val="24"/>
                <w:szCs w:val="24"/>
                <w:color w:val="auto"/>
              </w:rPr>
            </w:pPr>
          </w:p>
        </w:tc>
        <w:tc>
          <w:tcPr>
            <w:tcW w:w="36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700" w:type="dxa"/>
            <w:vAlign w:val="bottom"/>
          </w:tcPr>
          <w:p>
            <w:pPr>
              <w:jc w:val="right"/>
              <w:ind w:right="4309"/>
              <w:spacing w:after="0"/>
              <w:rPr>
                <w:sz w:val="20"/>
                <w:szCs w:val="20"/>
                <w:color w:val="auto"/>
              </w:rPr>
            </w:pPr>
            <w:r>
              <w:rPr>
                <w:rFonts w:ascii="Times New Roman" w:cs="Times New Roman" w:eastAsia="Times New Roman" w:hAnsi="Times New Roman"/>
                <w:sz w:val="14"/>
                <w:szCs w:val="14"/>
                <w:color w:val="auto"/>
              </w:rPr>
              <w:t>2</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4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70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Financial Condition (Unaudited)</w:t>
      </w:r>
    </w:p>
    <w:p>
      <w:pPr>
        <w:spacing w:after="0" w:line="23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8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20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2"/>
                <w:szCs w:val="12"/>
                <w:color w:val="auto"/>
              </w:rPr>
            </w:pPr>
          </w:p>
        </w:tc>
        <w:tc>
          <w:tcPr>
            <w:tcW w:w="1040" w:type="dxa"/>
            <w:vAlign w:val="bottom"/>
          </w:tcPr>
          <w:p>
            <w:pPr>
              <w:jc w:val="right"/>
              <w:ind w:right="156"/>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86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160"/>
        </w:trPr>
        <w:tc>
          <w:tcPr>
            <w:tcW w:w="8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00" w:type="dxa"/>
            <w:vAlign w:val="bottom"/>
            <w:shd w:val="clear" w:color="auto" w:fill="CCEEFF"/>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399,585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820,436</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Cash restricted or segregated under regulations and other</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29,821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35,024</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borrowed</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1,782,982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1,722,440</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purchased under agreements to resell</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502,470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1,512,114</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Receivables from broker-dealers and clearing organizations ($22,801 and $— at fair value, as of March 31, 2024 and December 31, 2023, respectively)</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1,270,404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737,724</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Trading assets, at fair value:</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Financial instruments owned</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4,998,078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6,127,752</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Financial instruments owned and pledged</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1,449,054</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1,230,859</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Receivables from customers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118,680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106,245</w:t>
            </w:r>
          </w:p>
        </w:tc>
        <w:tc>
          <w:tcPr>
            <w:tcW w:w="0" w:type="dxa"/>
            <w:vAlign w:val="bottom"/>
          </w:tcPr>
          <w:p>
            <w:pPr>
              <w:spacing w:after="0"/>
              <w:rPr>
                <w:sz w:val="1"/>
                <w:szCs w:val="1"/>
                <w:color w:val="auto"/>
              </w:rPr>
            </w:pPr>
          </w:p>
        </w:tc>
      </w:tr>
      <w:tr>
        <w:trPr>
          <w:trHeight w:val="127"/>
        </w:trPr>
        <w:tc>
          <w:tcPr>
            <w:tcW w:w="862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auto"/>
              </w:rPr>
              <w:t>Property, equipment and capitalized software (net of accumulated depreciation of $336,866 and $367,779 as of March 31, 2024 and December 31, 2023,</w:t>
            </w: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97,436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100,365</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respectively)</w:t>
            </w: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212,689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229,499</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1,148,926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1,148,926</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Intangibles (net of accumulated amortization of $396,660 and $381,973 as of March 31, 2024 and December 31, 2023, respectively)</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257,520</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Deferred tax assets</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128,171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133,760</w:t>
            </w: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assets ($167,384 and $84,521, at fair value, as of March 31, 2024 and December 31, 2023, respectively)</w:t>
            </w: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408,586</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303,720</w:t>
            </w:r>
          </w:p>
        </w:tc>
        <w:tc>
          <w:tcPr>
            <w:tcW w:w="0" w:type="dxa"/>
            <w:vAlign w:val="bottom"/>
          </w:tcPr>
          <w:p>
            <w:pPr>
              <w:spacing w:after="0"/>
              <w:rPr>
                <w:sz w:val="1"/>
                <w:szCs w:val="1"/>
                <w:color w:val="auto"/>
              </w:rPr>
            </w:pPr>
          </w:p>
        </w:tc>
      </w:tr>
      <w:tr>
        <w:trPr>
          <w:trHeight w:val="163"/>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Total assets</w:t>
            </w: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12,789,715</w:t>
            </w:r>
          </w:p>
        </w:tc>
        <w:tc>
          <w:tcPr>
            <w:tcW w:w="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14,466,384</w:t>
            </w:r>
          </w:p>
        </w:tc>
        <w:tc>
          <w:tcPr>
            <w:tcW w:w="0" w:type="dxa"/>
            <w:vAlign w:val="bottom"/>
          </w:tcPr>
          <w:p>
            <w:pPr>
              <w:spacing w:after="0"/>
              <w:rPr>
                <w:sz w:val="1"/>
                <w:szCs w:val="1"/>
                <w:color w:val="auto"/>
              </w:rPr>
            </w:pPr>
          </w:p>
        </w:tc>
      </w:tr>
      <w:tr>
        <w:trPr>
          <w:trHeight w:val="20"/>
        </w:trPr>
        <w:tc>
          <w:tcPr>
            <w:tcW w:w="8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8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Liabilities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Short-term borrowings</w:t>
            </w:r>
          </w:p>
        </w:tc>
        <w:tc>
          <w:tcPr>
            <w:tcW w:w="200" w:type="dxa"/>
            <w:vAlign w:val="bottom"/>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138,202</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Securities loaned</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1,640,521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1,329,446</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Securities sold under agreements to repurchase</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836,433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1,795,994</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Payables to broker-dealers and clearing organizations ($90,271 and $7,661, at fair value, as of March 31, 2024 and December 31, 2023, respectively)</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472,895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1,167,712</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Payables to customers</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33,485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23,229</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Trading liabilities, at fair value:</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Financial instruments sold, not yet purchased</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5,694,997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6,071,352</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Tax receivable agreement obligations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196,254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216,480</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Accounts payable, accrued expenses and other liabilities</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365,711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451,293</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260,483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278,317</w:t>
            </w:r>
          </w:p>
        </w:tc>
        <w:tc>
          <w:tcPr>
            <w:tcW w:w="0" w:type="dxa"/>
            <w:vAlign w:val="bottom"/>
          </w:tcPr>
          <w:p>
            <w:pPr>
              <w:spacing w:after="0"/>
              <w:rPr>
                <w:sz w:val="1"/>
                <w:szCs w:val="1"/>
                <w:color w:val="auto"/>
              </w:rPr>
            </w:pPr>
          </w:p>
        </w:tc>
      </w:tr>
      <w:tr>
        <w:trPr>
          <w:trHeight w:val="168"/>
        </w:trPr>
        <w:tc>
          <w:tcPr>
            <w:tcW w:w="86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3"/>
                <w:szCs w:val="13"/>
                <w:color w:val="auto"/>
              </w:rPr>
              <w:t>Long-term borrowings</w:t>
            </w: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1,726,657</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1,727,205</w:t>
            </w:r>
          </w:p>
        </w:tc>
        <w:tc>
          <w:tcPr>
            <w:tcW w:w="0" w:type="dxa"/>
            <w:vAlign w:val="bottom"/>
          </w:tcPr>
          <w:p>
            <w:pPr>
              <w:spacing w:after="0"/>
              <w:rPr>
                <w:sz w:val="1"/>
                <w:szCs w:val="1"/>
                <w:color w:val="auto"/>
              </w:rPr>
            </w:pPr>
          </w:p>
        </w:tc>
      </w:tr>
      <w:tr>
        <w:trPr>
          <w:trHeight w:val="163"/>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Total liabilities</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11,365,638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13,061,028</w:t>
            </w:r>
          </w:p>
        </w:tc>
        <w:tc>
          <w:tcPr>
            <w:tcW w:w="0" w:type="dxa"/>
            <w:vAlign w:val="bottom"/>
          </w:tcPr>
          <w:p>
            <w:pPr>
              <w:spacing w:after="0"/>
              <w:rPr>
                <w:sz w:val="1"/>
                <w:szCs w:val="1"/>
                <w:color w:val="auto"/>
              </w:rPr>
            </w:pPr>
          </w:p>
        </w:tc>
      </w:tr>
      <w:tr>
        <w:trPr>
          <w:trHeight w:val="127"/>
        </w:trPr>
        <w:tc>
          <w:tcPr>
            <w:tcW w:w="8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 (Note 14)</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Virtu Financial Inc. Stockholders' equity</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62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auto"/>
              </w:rPr>
              <w:t>Class A common stock (par value $0.00001), Authorized — 1,000,000,000 and 1,000,000,000 shares, Issued — 136,550,996 and 134,901,037 shares, Outstanding</w:t>
            </w:r>
          </w:p>
        </w:tc>
        <w:tc>
          <w:tcPr>
            <w:tcW w:w="20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 88,783,569 and 89,092,686 shares at March 31, 2024 and December 31, 2023, respectively</w:t>
            </w:r>
          </w:p>
        </w:tc>
        <w:tc>
          <w:tcPr>
            <w:tcW w:w="20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w w:val="99"/>
              </w:rPr>
              <w:t>Class B common stock (par value $0.00001), Authorized — 175,000,000 and 175,000,000 shares, Issued and Outstanding — 0 and 0 shares at March 31, 2024 and</w:t>
            </w:r>
          </w:p>
        </w:tc>
        <w:tc>
          <w:tcPr>
            <w:tcW w:w="200" w:type="dxa"/>
            <w:vAlign w:val="bottom"/>
            <w:shd w:val="clear" w:color="auto" w:fill="CCEEFF"/>
          </w:tcPr>
          <w:p>
            <w:pPr>
              <w:spacing w:after="0"/>
              <w:rPr>
                <w:sz w:val="11"/>
                <w:szCs w:val="11"/>
                <w:color w:val="auto"/>
              </w:rPr>
            </w:pPr>
          </w:p>
        </w:tc>
        <w:tc>
          <w:tcPr>
            <w:tcW w:w="11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December 31, 2023, respectively</w:t>
            </w:r>
          </w:p>
        </w:tc>
        <w:tc>
          <w:tcPr>
            <w:tcW w:w="200" w:type="dxa"/>
            <w:vAlign w:val="bottom"/>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862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auto"/>
                <w:w w:val="98"/>
              </w:rPr>
              <w:t>Class C common stock (par value $0.00001), Authorized — 90,000,000 and 90,000,000 shares, Issued and Outstanding — 8,607,998 and 8,607,998 shares at March</w:t>
            </w:r>
          </w:p>
        </w:tc>
        <w:tc>
          <w:tcPr>
            <w:tcW w:w="200" w:type="dxa"/>
            <w:vAlign w:val="bottom"/>
          </w:tcPr>
          <w:p>
            <w:pPr>
              <w:spacing w:after="0"/>
              <w:rPr>
                <w:sz w:val="11"/>
                <w:szCs w:val="11"/>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31, 2024 and December 31, 2023, respectively</w:t>
            </w:r>
          </w:p>
        </w:tc>
        <w:tc>
          <w:tcPr>
            <w:tcW w:w="2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620" w:type="dxa"/>
            <w:vAlign w:val="bottom"/>
            <w:gridSpan w:val="2"/>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Class D common stock (par value $0.00001), Authorized — 175,000,000 and 175,000,000 shares, Issued and Outstanding — 60,091,740 and 60,091,740 shares at</w:t>
            </w:r>
          </w:p>
        </w:tc>
        <w:tc>
          <w:tcPr>
            <w:tcW w:w="20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0"/>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March 31, 2024 and December 31, 2023, respectively</w:t>
            </w:r>
          </w:p>
        </w:tc>
        <w:tc>
          <w:tcPr>
            <w:tcW w:w="20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Treasury stock, at cost, 47,767,427 and 45,808,351 shares at March 31, 2024 and December 31, 2023, respectively</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(1,202,188)</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(1,166,299)</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1,380,457</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1,351,574</w:t>
            </w:r>
          </w:p>
        </w:tc>
        <w:tc>
          <w:tcPr>
            <w:tcW w:w="0" w:type="dxa"/>
            <w:vAlign w:val="bottom"/>
          </w:tcPr>
          <w:p>
            <w:pPr>
              <w:spacing w:after="0"/>
              <w:rPr>
                <w:sz w:val="1"/>
                <w:szCs w:val="1"/>
                <w:color w:val="auto"/>
              </w:rPr>
            </w:pPr>
          </w:p>
        </w:tc>
      </w:tr>
      <w:tr>
        <w:trPr>
          <w:trHeight w:val="168"/>
        </w:trPr>
        <w:tc>
          <w:tcPr>
            <w:tcW w:w="862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auto"/>
              </w:rPr>
              <w:t>Retained earnings (accumulated deficit)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1,017,547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1,000,403</w:t>
            </w:r>
          </w:p>
        </w:tc>
        <w:tc>
          <w:tcPr>
            <w:tcW w:w="0" w:type="dxa"/>
            <w:vAlign w:val="bottom"/>
          </w:tcPr>
          <w:p>
            <w:pPr>
              <w:spacing w:after="0"/>
              <w:rPr>
                <w:sz w:val="1"/>
                <w:szCs w:val="1"/>
                <w:color w:val="auto"/>
              </w:rPr>
            </w:pPr>
          </w:p>
        </w:tc>
      </w:tr>
      <w:tr>
        <w:trPr>
          <w:trHeight w:val="172"/>
        </w:trPr>
        <w:tc>
          <w:tcPr>
            <w:tcW w:w="8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Accumulated other comprehensive income (loss)</w:t>
            </w: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15,904</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17,047</w:t>
            </w:r>
          </w:p>
        </w:tc>
        <w:tc>
          <w:tcPr>
            <w:tcW w:w="0" w:type="dxa"/>
            <w:vAlign w:val="bottom"/>
          </w:tcPr>
          <w:p>
            <w:pPr>
              <w:spacing w:after="0"/>
              <w:rPr>
                <w:sz w:val="1"/>
                <w:szCs w:val="1"/>
                <w:color w:val="auto"/>
              </w:rPr>
            </w:pPr>
          </w:p>
        </w:tc>
      </w:tr>
      <w:tr>
        <w:trPr>
          <w:trHeight w:val="156"/>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Virtu Financial Inc. stockholders' equity</w:t>
            </w: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1,211,722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1,202,727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Financial Condition (Unaudited)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 thousands, except share data)</w:t>
            </w:r>
          </w:p>
        </w:tc>
        <w:tc>
          <w:tcPr>
            <w:tcW w:w="6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140" w:type="dxa"/>
            <w:vAlign w:val="bottom"/>
          </w:tcPr>
          <w:p>
            <w:pPr>
              <w:spacing w:after="0"/>
              <w:rPr>
                <w:sz w:val="12"/>
                <w:szCs w:val="12"/>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0" w:type="dxa"/>
            <w:vAlign w:val="bottom"/>
          </w:tcPr>
          <w:p>
            <w:pPr>
              <w:spacing w:after="0"/>
              <w:rPr>
                <w:sz w:val="1"/>
                <w:szCs w:val="1"/>
                <w:color w:val="auto"/>
              </w:rPr>
            </w:pPr>
          </w:p>
        </w:tc>
      </w:tr>
      <w:tr>
        <w:trPr>
          <w:trHeight w:val="169"/>
        </w:trPr>
        <w:tc>
          <w:tcPr>
            <w:tcW w:w="80" w:type="dxa"/>
            <w:vAlign w:val="bottom"/>
          </w:tcPr>
          <w:p>
            <w:pPr>
              <w:spacing w:after="0"/>
              <w:rPr>
                <w:sz w:val="14"/>
                <w:szCs w:val="14"/>
                <w:color w:val="auto"/>
              </w:rPr>
            </w:pPr>
          </w:p>
        </w:tc>
        <w:tc>
          <w:tcPr>
            <w:tcW w:w="2380" w:type="dxa"/>
            <w:vAlign w:val="bottom"/>
            <w:tcBorders>
              <w:bottom w:val="single" w:sz="8" w:color="auto"/>
            </w:tcBorders>
            <w:vMerge w:val="continue"/>
          </w:tcPr>
          <w:p>
            <w:pPr>
              <w:spacing w:after="0"/>
              <w:rPr>
                <w:sz w:val="14"/>
                <w:szCs w:val="14"/>
                <w:color w:val="auto"/>
              </w:rPr>
            </w:pPr>
          </w:p>
        </w:tc>
        <w:tc>
          <w:tcPr>
            <w:tcW w:w="61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Noncontrolling interest</w:t>
            </w:r>
          </w:p>
        </w:tc>
        <w:tc>
          <w:tcPr>
            <w:tcW w:w="6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212,355</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202,629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equity</w:t>
            </w:r>
          </w:p>
        </w:tc>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1,424,077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1,405,356</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80" w:type="dxa"/>
            <w:vAlign w:val="bottom"/>
          </w:tcPr>
          <w:p>
            <w:pPr>
              <w:spacing w:after="0"/>
              <w:rPr>
                <w:sz w:val="13"/>
                <w:szCs w:val="13"/>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liabilities and equity</w:t>
            </w:r>
          </w:p>
        </w:tc>
        <w:tc>
          <w:tcPr>
            <w:tcW w:w="6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7"/>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12,789,715</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14,466,384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440" w:type="dxa"/>
            <w:vAlign w:val="bottom"/>
            <w:gridSpan w:val="3"/>
          </w:tcPr>
          <w:p>
            <w:pPr>
              <w:jc w:val="center"/>
              <w:ind w:right="27"/>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 (Unaudited).</w:t>
            </w: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5"/>
        </w:trPr>
        <w:tc>
          <w:tcPr>
            <w:tcW w:w="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140" w:type="dxa"/>
            <w:vAlign w:val="bottom"/>
          </w:tcPr>
          <w:p>
            <w:pPr>
              <w:jc w:val="right"/>
              <w:ind w:right="2849"/>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9A9A9A"/>
            </w:tcBorders>
          </w:tcPr>
          <w:p>
            <w:pPr>
              <w:spacing w:after="0"/>
              <w:rPr>
                <w:sz w:val="7"/>
                <w:szCs w:val="7"/>
                <w:color w:val="auto"/>
              </w:rPr>
            </w:pPr>
          </w:p>
        </w:tc>
        <w:tc>
          <w:tcPr>
            <w:tcW w:w="2380" w:type="dxa"/>
            <w:vAlign w:val="bottom"/>
            <w:tcBorders>
              <w:bottom w:val="single" w:sz="8" w:color="9A9A9A"/>
            </w:tcBorders>
          </w:tcPr>
          <w:p>
            <w:pPr>
              <w:spacing w:after="0"/>
              <w:rPr>
                <w:sz w:val="7"/>
                <w:szCs w:val="7"/>
                <w:color w:val="auto"/>
              </w:rPr>
            </w:pPr>
          </w:p>
        </w:tc>
        <w:tc>
          <w:tcPr>
            <w:tcW w:w="61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Comprehensive Income (Unaudited)</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58"/>
        </w:trPr>
        <w:tc>
          <w:tcPr>
            <w:tcW w:w="6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4"/>
          </w:tcPr>
          <w:p>
            <w:pPr>
              <w:jc w:val="right"/>
              <w:ind w:right="296"/>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69"/>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data)</w:t>
            </w:r>
          </w:p>
        </w:tc>
        <w:tc>
          <w:tcPr>
            <w:tcW w:w="220" w:type="dxa"/>
            <w:vAlign w:val="bottom"/>
          </w:tcPr>
          <w:p>
            <w:pPr>
              <w:spacing w:after="0"/>
              <w:rPr>
                <w:sz w:val="14"/>
                <w:szCs w:val="14"/>
                <w:color w:val="auto"/>
              </w:rPr>
            </w:pPr>
          </w:p>
        </w:tc>
        <w:tc>
          <w:tcPr>
            <w:tcW w:w="86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35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62"/>
        </w:trPr>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Revenues:</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Trading income, net</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408,095</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412,511</w:t>
            </w: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Interest and dividends income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105,992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82,244</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Commissions, net and technology services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121,444</w:t>
            </w: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Other, net</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10,141</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4,181</w:t>
            </w:r>
          </w:p>
        </w:tc>
      </w:tr>
      <w:tr>
        <w:trPr>
          <w:trHeight w:val="158"/>
        </w:trPr>
        <w:tc>
          <w:tcPr>
            <w:tcW w:w="61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auto"/>
              </w:rPr>
              <w:t>Total revenue</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642,839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620,380</w:t>
            </w:r>
          </w:p>
        </w:tc>
      </w:tr>
      <w:tr>
        <w:trPr>
          <w:trHeight w:val="172"/>
        </w:trPr>
        <w:tc>
          <w:tcPr>
            <w:tcW w:w="6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9"/>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Operating Expenses: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Brokerage, exchange, clearance fees and payments for order flow, net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139,799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145,523</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Communication and data processing</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58,182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56,812</w:t>
            </w: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Employee compensation and payroll taxes</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100,823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103,437</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Interest and dividends expense</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126,028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97,601</w:t>
            </w: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Operations and administrative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24,299</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15,348</w:t>
            </w: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Amortization of purchased intangibles and acquired capitalized software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16,020</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Termination of office leases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Debt issue cost related to debt refinancing, prepayment and commitment fees</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Transaction advisory fees and expenses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Financing interest expense on long-term borrowings</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23,232</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24,288</w:t>
            </w:r>
          </w:p>
        </w:tc>
      </w:tr>
      <w:tr>
        <w:trPr>
          <w:trHeight w:val="158"/>
        </w:trPr>
        <w:tc>
          <w:tcPr>
            <w:tcW w:w="616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503,019</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485,615</w:t>
            </w:r>
          </w:p>
        </w:tc>
      </w:tr>
      <w:tr>
        <w:trPr>
          <w:trHeight w:val="163"/>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Income before income taxes and noncontrolling interest</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139,820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134,765</w:t>
            </w:r>
          </w:p>
        </w:tc>
      </w:tr>
      <w:tr>
        <w:trPr>
          <w:trHeight w:val="168"/>
        </w:trPr>
        <w:tc>
          <w:tcPr>
            <w:tcW w:w="616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28,512</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24,682</w:t>
            </w:r>
          </w:p>
        </w:tc>
      </w:tr>
      <w:tr>
        <w:trPr>
          <w:trHeight w:val="163"/>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111,308</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110,083</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Noncontrolling interest</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(52,202)</w:t>
            </w:r>
          </w:p>
        </w:tc>
      </w:tr>
      <w:tr>
        <w:trPr>
          <w:trHeight w:val="172"/>
        </w:trPr>
        <w:tc>
          <w:tcPr>
            <w:tcW w:w="6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spacing w:after="0"/>
              <w:rPr>
                <w:sz w:val="14"/>
                <w:szCs w:val="14"/>
                <w:color w:val="auto"/>
              </w:rPr>
            </w:pPr>
          </w:p>
        </w:tc>
      </w:tr>
      <w:tr>
        <w:trPr>
          <w:trHeight w:val="160"/>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 available for common stockholders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55,817</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57,881</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1"/>
        </w:trPr>
        <w:tc>
          <w:tcPr>
            <w:tcW w:w="6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168"/>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Earnings per share</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0.56</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0.56</w:t>
            </w:r>
          </w:p>
        </w:tc>
      </w:tr>
      <w:tr>
        <w:trPr>
          <w:trHeight w:val="172"/>
        </w:trPr>
        <w:tc>
          <w:tcPr>
            <w:tcW w:w="6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6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88,999,122</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97,795,957</w:t>
            </w:r>
          </w:p>
        </w:tc>
      </w:tr>
      <w:tr>
        <w:trPr>
          <w:trHeight w:val="168"/>
        </w:trPr>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88,999,122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97,813,691</w:t>
            </w:r>
          </w:p>
        </w:tc>
      </w:tr>
      <w:tr>
        <w:trPr>
          <w:trHeight w:val="172"/>
        </w:trPr>
        <w:tc>
          <w:tcPr>
            <w:tcW w:w="6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111,308</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110,083</w:t>
            </w:r>
          </w:p>
        </w:tc>
      </w:tr>
      <w:tr>
        <w:trPr>
          <w:trHeight w:val="172"/>
        </w:trPr>
        <w:tc>
          <w:tcPr>
            <w:tcW w:w="6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r>
      <w:tr>
        <w:trPr>
          <w:trHeight w:val="168"/>
        </w:trPr>
        <w:tc>
          <w:tcPr>
            <w:tcW w:w="616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Foreign exchange translation adjustment, net of taxes</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w:t>
            </w:r>
          </w:p>
        </w:tc>
      </w:tr>
      <w:tr>
        <w:trPr>
          <w:trHeight w:val="172"/>
        </w:trPr>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change in unrealized cash flow hedges gain (loss), net of taxes</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(13,168)</w:t>
            </w:r>
          </w:p>
        </w:tc>
      </w:tr>
      <w:tr>
        <w:trPr>
          <w:trHeight w:val="158"/>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income</w:t>
            </w: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109,329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98,563</w:t>
            </w:r>
          </w:p>
        </w:tc>
      </w:tr>
      <w:tr>
        <w:trPr>
          <w:trHeight w:val="170"/>
        </w:trPr>
        <w:tc>
          <w:tcPr>
            <w:tcW w:w="6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Less: Comprehensive income attributable to noncontrolling interest</w:t>
            </w:r>
          </w:p>
        </w:tc>
        <w:tc>
          <w:tcPr>
            <w:tcW w:w="22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(54,655)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(47,535)</w:t>
            </w:r>
          </w:p>
        </w:tc>
      </w:tr>
      <w:tr>
        <w:trPr>
          <w:trHeight w:val="163"/>
        </w:trPr>
        <w:tc>
          <w:tcPr>
            <w:tcW w:w="6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Comprehensive income attributable to common stockholders</w:t>
            </w:r>
          </w:p>
        </w:tc>
        <w:tc>
          <w:tcPr>
            <w:tcW w:w="22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54,674</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51,028</w:t>
            </w:r>
          </w:p>
        </w:tc>
      </w:tr>
      <w:tr>
        <w:trPr>
          <w:trHeight w:val="20"/>
        </w:trPr>
        <w:tc>
          <w:tcPr>
            <w:tcW w:w="6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 (Unaudited).</w:t>
      </w:r>
    </w:p>
    <w:p>
      <w:pPr>
        <w:spacing w:after="0" w:line="200" w:lineRule="exact"/>
        <w:rPr>
          <w:sz w:val="20"/>
          <w:szCs w:val="20"/>
          <w:color w:val="auto"/>
        </w:rPr>
      </w:pPr>
    </w:p>
    <w:p>
      <w:pPr>
        <w:spacing w:after="0" w:line="244"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6" w:name="page7"/>
    <w:bookmarkEnd w:id="6"/>
    <w:p>
      <w:pPr>
        <w:ind w:left="20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Changes in Equity (Unaudited)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Three Months Ended March 31, 2024 and 2023</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1940" w:type="dxa"/>
            <w:vAlign w:val="bottom"/>
          </w:tcPr>
          <w:p>
            <w:pPr>
              <w:spacing w:after="0"/>
              <w:rPr>
                <w:sz w:val="7"/>
                <w:szCs w:val="7"/>
                <w:color w:val="auto"/>
              </w:rPr>
            </w:pP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C Common Stock</w:t>
            </w:r>
          </w:p>
        </w:tc>
        <w:tc>
          <w:tcPr>
            <w:tcW w:w="1100" w:type="dxa"/>
            <w:vAlign w:val="bottom"/>
            <w:gridSpan w:val="3"/>
            <w:vMerge w:val="restart"/>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Class D Common Stock</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5"/>
            <w:vMerge w:val="restart"/>
          </w:tcPr>
          <w:p>
            <w:pPr>
              <w:ind w:left="300"/>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tcPr>
          <w:p>
            <w:pPr>
              <w:spacing w:after="0"/>
              <w:rPr>
                <w:sz w:val="7"/>
                <w:szCs w:val="7"/>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7"/>
                <w:szCs w:val="7"/>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80" w:type="dxa"/>
            <w:vAlign w:val="bottom"/>
          </w:tcPr>
          <w:p>
            <w:pPr>
              <w:spacing w:after="0"/>
              <w:rPr>
                <w:sz w:val="7"/>
                <w:szCs w:val="7"/>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7"/>
                <w:szCs w:val="7"/>
                <w:color w:val="auto"/>
              </w:rPr>
            </w:pP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Total Virtu</w:t>
            </w: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5"/>
            <w:vMerge w:val="continue"/>
          </w:tcPr>
          <w:p>
            <w:pPr>
              <w:spacing w:after="0"/>
              <w:rPr>
                <w:sz w:val="7"/>
                <w:szCs w:val="7"/>
                <w:color w:val="auto"/>
              </w:rPr>
            </w:pPr>
          </w:p>
        </w:tc>
        <w:tc>
          <w:tcPr>
            <w:tcW w:w="660" w:type="dxa"/>
            <w:vAlign w:val="bottom"/>
            <w:gridSpan w:val="3"/>
          </w:tcPr>
          <w:p>
            <w:pPr>
              <w:ind w:left="20"/>
              <w:spacing w:after="0" w:line="85" w:lineRule="exact"/>
              <w:rPr>
                <w:sz w:val="20"/>
                <w:szCs w:val="20"/>
                <w:color w:val="auto"/>
              </w:rPr>
            </w:pPr>
            <w:r>
              <w:rPr>
                <w:rFonts w:ascii="Times New Roman" w:cs="Times New Roman" w:eastAsia="Times New Roman" w:hAnsi="Times New Roman"/>
                <w:sz w:val="8"/>
                <w:szCs w:val="8"/>
                <w:b w:val="1"/>
                <w:bCs w:val="1"/>
                <w:color w:val="auto"/>
              </w:rPr>
              <w:t>Paid-in Capital</w:t>
            </w: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tcPr>
          <w:p>
            <w:pPr>
              <w:jc w:val="center"/>
              <w:ind w:right="160"/>
              <w:spacing w:after="0" w:line="55" w:lineRule="exact"/>
              <w:rPr>
                <w:sz w:val="20"/>
                <w:szCs w:val="20"/>
                <w:color w:val="auto"/>
              </w:rPr>
            </w:pPr>
            <w:r>
              <w:rPr>
                <w:rFonts w:ascii="Times New Roman" w:cs="Times New Roman" w:eastAsia="Times New Roman" w:hAnsi="Times New Roman"/>
                <w:sz w:val="6"/>
                <w:szCs w:val="6"/>
                <w:b w:val="1"/>
                <w:bCs w:val="1"/>
                <w:color w:val="auto"/>
              </w:rPr>
              <w:t>Earnings</w:t>
            </w:r>
          </w:p>
        </w:tc>
        <w:tc>
          <w:tcPr>
            <w:tcW w:w="80" w:type="dxa"/>
            <w:vAlign w:val="bottom"/>
          </w:tcPr>
          <w:p>
            <w:pPr>
              <w:spacing w:after="0"/>
              <w:rPr>
                <w:sz w:val="4"/>
                <w:szCs w:val="4"/>
                <w:color w:val="auto"/>
              </w:rPr>
            </w:pPr>
          </w:p>
        </w:tc>
        <w:tc>
          <w:tcPr>
            <w:tcW w:w="640" w:type="dxa"/>
            <w:vAlign w:val="bottom"/>
            <w:gridSpan w:val="2"/>
          </w:tcPr>
          <w:p>
            <w:pPr>
              <w:jc w:val="center"/>
              <w:ind w:right="140"/>
              <w:spacing w:after="0" w:line="55" w:lineRule="exact"/>
              <w:rPr>
                <w:sz w:val="20"/>
                <w:szCs w:val="20"/>
                <w:color w:val="auto"/>
              </w:rPr>
            </w:pPr>
            <w:r>
              <w:rPr>
                <w:rFonts w:ascii="Times New Roman" w:cs="Times New Roman" w:eastAsia="Times New Roman" w:hAnsi="Times New Roman"/>
                <w:sz w:val="6"/>
                <w:szCs w:val="6"/>
                <w:b w:val="1"/>
                <w:bCs w:val="1"/>
                <w:color w:val="auto"/>
              </w:rPr>
              <w:t>Other</w:t>
            </w:r>
          </w:p>
        </w:tc>
        <w:tc>
          <w:tcPr>
            <w:tcW w:w="60" w:type="dxa"/>
            <w:vAlign w:val="bottom"/>
          </w:tcPr>
          <w:p>
            <w:pPr>
              <w:spacing w:after="0"/>
              <w:rPr>
                <w:sz w:val="4"/>
                <w:szCs w:val="4"/>
                <w:color w:val="auto"/>
              </w:rPr>
            </w:pPr>
          </w:p>
        </w:tc>
        <w:tc>
          <w:tcPr>
            <w:tcW w:w="620" w:type="dxa"/>
            <w:vAlign w:val="bottom"/>
            <w:gridSpan w:val="2"/>
          </w:tcPr>
          <w:p>
            <w:pPr>
              <w:jc w:val="center"/>
              <w:ind w:right="120"/>
              <w:spacing w:after="0" w:line="55" w:lineRule="exact"/>
              <w:rPr>
                <w:sz w:val="20"/>
                <w:szCs w:val="20"/>
                <w:color w:val="auto"/>
              </w:rPr>
            </w:pPr>
            <w:r>
              <w:rPr>
                <w:rFonts w:ascii="Times New Roman" w:cs="Times New Roman" w:eastAsia="Times New Roman" w:hAnsi="Times New Roman"/>
                <w:sz w:val="6"/>
                <w:szCs w:val="6"/>
                <w:b w:val="1"/>
                <w:bCs w:val="1"/>
                <w:color w:val="auto"/>
              </w:rPr>
              <w:t>Financial Inc.</w:t>
            </w: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94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(in thousands, except share and interest data)</w:t>
            </w: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80" w:type="dxa"/>
            <w:vAlign w:val="bottom"/>
            <w:vMerge w:val="restart"/>
          </w:tcPr>
          <w:p>
            <w:pPr>
              <w:spacing w:after="0"/>
              <w:rPr>
                <w:sz w:val="7"/>
                <w:szCs w:val="7"/>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Amounts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680" w:type="dxa"/>
            <w:vAlign w:val="bottom"/>
            <w:gridSpan w:val="3"/>
          </w:tcPr>
          <w:p>
            <w:pPr>
              <w:jc w:val="center"/>
              <w:ind w:right="60"/>
              <w:spacing w:after="0" w:line="8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20" w:type="dxa"/>
            <w:vAlign w:val="bottom"/>
            <w:gridSpan w:val="3"/>
          </w:tcPr>
          <w:p>
            <w:pPr>
              <w:jc w:val="center"/>
              <w:ind w:right="80"/>
              <w:spacing w:after="0" w:line="8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7"/>
                <w:szCs w:val="7"/>
                <w:color w:val="auto"/>
              </w:rPr>
            </w:pPr>
          </w:p>
        </w:tc>
        <w:tc>
          <w:tcPr>
            <w:tcW w:w="620" w:type="dxa"/>
            <w:vAlign w:val="bottom"/>
            <w:gridSpan w:val="2"/>
          </w:tcPr>
          <w:p>
            <w:pPr>
              <w:jc w:val="center"/>
              <w:ind w:right="12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18"/>
        </w:trPr>
        <w:tc>
          <w:tcPr>
            <w:tcW w:w="194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Deficit)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Equity</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at December 31,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134,901,037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8,607,998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(45,808,351)</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(1,166,299)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1,351,574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1,000,403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17,047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1,202,727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202,629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1,405,356</w:t>
            </w:r>
          </w:p>
        </w:tc>
        <w:tc>
          <w:tcPr>
            <w:tcW w:w="0" w:type="dxa"/>
            <w:vAlign w:val="bottom"/>
          </w:tcPr>
          <w:p>
            <w:pPr>
              <w:spacing w:after="0"/>
              <w:rPr>
                <w:sz w:val="1"/>
                <w:szCs w:val="1"/>
                <w:color w:val="auto"/>
              </w:rPr>
            </w:pPr>
          </w:p>
        </w:tc>
      </w:tr>
      <w:tr>
        <w:trPr>
          <w:trHeight w:val="118"/>
        </w:trPr>
        <w:tc>
          <w:tcPr>
            <w:tcW w:w="19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2,596,226</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28,883</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28,883</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28,883</w:t>
            </w: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Treasury stock purchases</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(946,267)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(1,959,076)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(35,889)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(16,013)</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(51,902)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(51,902)</w:t>
            </w:r>
          </w:p>
        </w:tc>
        <w:tc>
          <w:tcPr>
            <w:tcW w:w="0" w:type="dxa"/>
            <w:vAlign w:val="bottom"/>
          </w:tcPr>
          <w:p>
            <w:pPr>
              <w:spacing w:after="0"/>
              <w:rPr>
                <w:sz w:val="1"/>
                <w:szCs w:val="1"/>
                <w:color w:val="auto"/>
              </w:rPr>
            </w:pPr>
          </w:p>
        </w:tc>
      </w:tr>
      <w:tr>
        <w:trPr>
          <w:trHeight w:val="118"/>
        </w:trPr>
        <w:tc>
          <w:tcPr>
            <w:tcW w:w="19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Net income</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55,817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55,817</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55,491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111,308</w:t>
            </w: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Foreign exchange translation adjustment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(2,037)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(2,037)</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(1,489)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(3,526)</w:t>
            </w:r>
          </w:p>
        </w:tc>
        <w:tc>
          <w:tcPr>
            <w:tcW w:w="0" w:type="dxa"/>
            <w:vAlign w:val="bottom"/>
          </w:tcPr>
          <w:p>
            <w:pPr>
              <w:spacing w:after="0"/>
              <w:rPr>
                <w:sz w:val="1"/>
                <w:szCs w:val="1"/>
                <w:color w:val="auto"/>
              </w:rPr>
            </w:pPr>
          </w:p>
        </w:tc>
      </w:tr>
      <w:tr>
        <w:trPr>
          <w:trHeight w:val="118"/>
        </w:trPr>
        <w:tc>
          <w:tcPr>
            <w:tcW w:w="19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Net change in unrealized cash flow hedges gains</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894</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894</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653</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1,547</w:t>
            </w:r>
          </w:p>
        </w:tc>
        <w:tc>
          <w:tcPr>
            <w:tcW w:w="0" w:type="dxa"/>
            <w:vAlign w:val="bottom"/>
          </w:tcPr>
          <w:p>
            <w:pPr>
              <w:spacing w:after="0"/>
              <w:rPr>
                <w:sz w:val="1"/>
                <w:szCs w:val="1"/>
                <w:color w:val="auto"/>
              </w:rPr>
            </w:pPr>
          </w:p>
        </w:tc>
      </w:tr>
      <w:tr>
        <w:trPr>
          <w:trHeight w:val="95"/>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Dividends ($0.24 per share of Class A common</w:t>
            </w: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1940" w:type="dxa"/>
            <w:vAlign w:val="bottom"/>
            <w:shd w:val="clear" w:color="auto" w:fill="CCEEFF"/>
          </w:tcPr>
          <w:p>
            <w:pPr>
              <w:ind w:left="100"/>
              <w:spacing w:after="0" w:line="85" w:lineRule="exact"/>
              <w:rPr>
                <w:sz w:val="20"/>
                <w:szCs w:val="20"/>
                <w:color w:val="auto"/>
              </w:rPr>
            </w:pPr>
            <w:r>
              <w:rPr>
                <w:rFonts w:ascii="Times New Roman" w:cs="Times New Roman" w:eastAsia="Times New Roman" w:hAnsi="Times New Roman"/>
                <w:sz w:val="8"/>
                <w:szCs w:val="8"/>
                <w:color w:val="auto"/>
              </w:rPr>
              <w:t>stock and participating Restricted Stock Unit and</w:t>
            </w: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shd w:val="clear" w:color="auto" w:fill="CCEEFF"/>
          </w:tcPr>
          <w:p>
            <w:pPr>
              <w:ind w:left="100"/>
              <w:spacing w:after="0" w:line="85" w:lineRule="exact"/>
              <w:rPr>
                <w:sz w:val="20"/>
                <w:szCs w:val="20"/>
                <w:color w:val="auto"/>
              </w:rPr>
            </w:pPr>
            <w:r>
              <w:rPr>
                <w:rFonts w:ascii="Times New Roman" w:cs="Times New Roman" w:eastAsia="Times New Roman" w:hAnsi="Times New Roman"/>
                <w:sz w:val="8"/>
                <w:szCs w:val="8"/>
                <w:color w:val="auto"/>
              </w:rPr>
              <w:t>Restricted Stock Awards) and distributions from</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74"/>
              </w:rPr>
              <w:t>—</w:t>
            </w:r>
          </w:p>
        </w:tc>
        <w:tc>
          <w:tcPr>
            <w:tcW w:w="60" w:type="dxa"/>
            <w:vAlign w:val="bottom"/>
            <w:vMerge w:val="restart"/>
            <w:shd w:val="clear" w:color="auto" w:fill="CCEEFF"/>
          </w:tcPr>
          <w:p>
            <w:pPr>
              <w:spacing w:after="0"/>
              <w:rPr>
                <w:sz w:val="7"/>
                <w:szCs w:val="7"/>
                <w:color w:val="auto"/>
              </w:rPr>
            </w:pPr>
          </w:p>
        </w:tc>
        <w:tc>
          <w:tcPr>
            <w:tcW w:w="560" w:type="dxa"/>
            <w:vAlign w:val="bottom"/>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460" w:type="dxa"/>
            <w:vAlign w:val="bottom"/>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(22,660)</w:t>
            </w: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(22,660)</w:t>
            </w: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(44,929)</w:t>
            </w:r>
          </w:p>
        </w:tc>
        <w:tc>
          <w:tcPr>
            <w:tcW w:w="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(67,589)</w:t>
            </w: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Virtu Financial to noncontrolling interest</w:t>
            </w: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0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940" w:type="dxa"/>
            <w:vAlign w:val="bottom"/>
          </w:tcPr>
          <w:p>
            <w:pPr>
              <w:spacing w:after="0"/>
              <w:rPr>
                <w:sz w:val="20"/>
                <w:szCs w:val="20"/>
                <w:color w:val="auto"/>
              </w:rPr>
            </w:pPr>
            <w:r>
              <w:rPr>
                <w:rFonts w:ascii="Times New Roman" w:cs="Times New Roman" w:eastAsia="Times New Roman" w:hAnsi="Times New Roman"/>
                <w:sz w:val="8"/>
                <w:szCs w:val="8"/>
                <w:color w:val="auto"/>
              </w:rPr>
              <w:t>Balance at March 31, 2024</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136,550,996</w:t>
            </w:r>
          </w:p>
        </w:tc>
        <w:tc>
          <w:tcPr>
            <w:tcW w:w="6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8"/>
                <w:szCs w:val="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8,607,998</w:t>
            </w:r>
          </w:p>
        </w:tc>
        <w:tc>
          <w:tcPr>
            <w:tcW w:w="6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tcPr>
          <w:p>
            <w:pPr>
              <w:spacing w:after="0"/>
              <w:rPr>
                <w:sz w:val="8"/>
                <w:szCs w:val="8"/>
                <w:color w:val="auto"/>
              </w:rPr>
            </w:pPr>
          </w:p>
        </w:tc>
        <w:tc>
          <w:tcPr>
            <w:tcW w:w="460" w:type="dxa"/>
            <w:vAlign w:val="bottom"/>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tcPr>
          <w:p>
            <w:pPr>
              <w:spacing w:after="0"/>
              <w:rPr>
                <w:sz w:val="8"/>
                <w:szCs w:val="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(47,767,427)</w:t>
            </w:r>
          </w:p>
        </w:tc>
        <w:tc>
          <w:tcPr>
            <w:tcW w:w="8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(1,202,188)</w:t>
            </w:r>
          </w:p>
        </w:tc>
        <w:tc>
          <w:tcPr>
            <w:tcW w:w="60" w:type="dxa"/>
            <w:vAlign w:val="bottom"/>
          </w:tcPr>
          <w:p>
            <w:pPr>
              <w:spacing w:after="0"/>
              <w:rPr>
                <w:sz w:val="8"/>
                <w:szCs w:val="8"/>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1,380,457</w:t>
            </w:r>
          </w:p>
        </w:tc>
        <w:tc>
          <w:tcPr>
            <w:tcW w:w="60" w:type="dxa"/>
            <w:vAlign w:val="bottom"/>
          </w:tcPr>
          <w:p>
            <w:pPr>
              <w:spacing w:after="0"/>
              <w:rPr>
                <w:sz w:val="8"/>
                <w:szCs w:val="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1,017,547</w:t>
            </w:r>
          </w:p>
        </w:tc>
        <w:tc>
          <w:tcPr>
            <w:tcW w:w="60" w:type="dxa"/>
            <w:vAlign w:val="bottom"/>
          </w:tcPr>
          <w:p>
            <w:pPr>
              <w:spacing w:after="0"/>
              <w:rPr>
                <w:sz w:val="8"/>
                <w:szCs w:val="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15,904</w:t>
            </w:r>
          </w:p>
        </w:tc>
        <w:tc>
          <w:tcPr>
            <w:tcW w:w="6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1,211,722</w:t>
            </w:r>
          </w:p>
        </w:tc>
        <w:tc>
          <w:tcPr>
            <w:tcW w:w="60" w:type="dxa"/>
            <w:vAlign w:val="bottom"/>
          </w:tcPr>
          <w:p>
            <w:pPr>
              <w:spacing w:after="0"/>
              <w:rPr>
                <w:sz w:val="8"/>
                <w:szCs w:val="8"/>
                <w:color w:val="auto"/>
              </w:rPr>
            </w:pPr>
          </w:p>
        </w:tc>
        <w:tc>
          <w:tcPr>
            <w:tcW w:w="120" w:type="dxa"/>
            <w:vAlign w:val="bottom"/>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212,355</w:t>
            </w:r>
          </w:p>
        </w:tc>
        <w:tc>
          <w:tcPr>
            <w:tcW w:w="60" w:type="dxa"/>
            <w:vAlign w:val="bottom"/>
          </w:tcPr>
          <w:p>
            <w:pPr>
              <w:spacing w:after="0"/>
              <w:rPr>
                <w:sz w:val="8"/>
                <w:szCs w:val="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1,424,077</w:t>
            </w:r>
          </w:p>
        </w:tc>
        <w:tc>
          <w:tcPr>
            <w:tcW w:w="0" w:type="dxa"/>
            <w:vAlign w:val="bottom"/>
          </w:tcPr>
          <w:p>
            <w:pPr>
              <w:spacing w:after="0"/>
              <w:rPr>
                <w:sz w:val="1"/>
                <w:szCs w:val="1"/>
                <w:color w:val="auto"/>
              </w:rPr>
            </w:pPr>
          </w:p>
        </w:tc>
      </w:tr>
      <w:tr>
        <w:trPr>
          <w:trHeight w:val="326"/>
        </w:trPr>
        <w:tc>
          <w:tcPr>
            <w:tcW w:w="1940" w:type="dxa"/>
            <w:vAlign w:val="bottom"/>
          </w:tcPr>
          <w:p>
            <w:pPr>
              <w:spacing w:after="0"/>
              <w:rPr>
                <w:sz w:val="24"/>
                <w:szCs w:val="24"/>
                <w:color w:val="auto"/>
              </w:rPr>
            </w:pP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A Common Stock</w:t>
            </w:r>
          </w:p>
        </w:tc>
        <w:tc>
          <w:tcPr>
            <w:tcW w:w="1300" w:type="dxa"/>
            <w:vAlign w:val="bottom"/>
            <w:gridSpan w:val="5"/>
            <w:vMerge w:val="restart"/>
          </w:tcPr>
          <w:p>
            <w:pPr>
              <w:ind w:left="180"/>
              <w:spacing w:after="0"/>
              <w:rPr>
                <w:sz w:val="20"/>
                <w:szCs w:val="20"/>
                <w:color w:val="auto"/>
              </w:rPr>
            </w:pPr>
            <w:r>
              <w:rPr>
                <w:rFonts w:ascii="Times New Roman" w:cs="Times New Roman" w:eastAsia="Times New Roman" w:hAnsi="Times New Roman"/>
                <w:sz w:val="8"/>
                <w:szCs w:val="8"/>
                <w:b w:val="1"/>
                <w:bCs w:val="1"/>
                <w:color w:val="auto"/>
              </w:rPr>
              <w:t>Class C Common Stock</w:t>
            </w:r>
          </w:p>
        </w:tc>
        <w:tc>
          <w:tcPr>
            <w:tcW w:w="1100" w:type="dxa"/>
            <w:vAlign w:val="bottom"/>
            <w:gridSpan w:val="3"/>
            <w:vMerge w:val="restart"/>
          </w:tcPr>
          <w:p>
            <w:pPr>
              <w:jc w:val="right"/>
              <w:ind w:right="18"/>
              <w:spacing w:after="0"/>
              <w:rPr>
                <w:sz w:val="20"/>
                <w:szCs w:val="20"/>
                <w:color w:val="auto"/>
              </w:rPr>
            </w:pPr>
            <w:r>
              <w:rPr>
                <w:rFonts w:ascii="Times New Roman" w:cs="Times New Roman" w:eastAsia="Times New Roman" w:hAnsi="Times New Roman"/>
                <w:sz w:val="8"/>
                <w:szCs w:val="8"/>
                <w:b w:val="1"/>
                <w:bCs w:val="1"/>
                <w:color w:val="auto"/>
              </w:rPr>
              <w:t>Class D Common Stock</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gridSpan w:val="5"/>
            <w:vMerge w:val="restart"/>
          </w:tcPr>
          <w:p>
            <w:pPr>
              <w:ind w:left="300"/>
              <w:spacing w:after="0"/>
              <w:rPr>
                <w:sz w:val="20"/>
                <w:szCs w:val="20"/>
                <w:color w:val="auto"/>
              </w:rPr>
            </w:pPr>
            <w:r>
              <w:rPr>
                <w:rFonts w:ascii="Times New Roman" w:cs="Times New Roman" w:eastAsia="Times New Roman" w:hAnsi="Times New Roman"/>
                <w:sz w:val="8"/>
                <w:szCs w:val="8"/>
                <w:b w:val="1"/>
                <w:bCs w:val="1"/>
                <w:color w:val="auto"/>
              </w:rPr>
              <w:t>Treasury Stock</w:t>
            </w:r>
          </w:p>
        </w:tc>
        <w:tc>
          <w:tcPr>
            <w:tcW w:w="80" w:type="dxa"/>
            <w:vAlign w:val="bottom"/>
          </w:tcPr>
          <w:p>
            <w:pPr>
              <w:spacing w:after="0"/>
              <w:rPr>
                <w:sz w:val="24"/>
                <w:szCs w:val="24"/>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24"/>
                <w:szCs w:val="24"/>
                <w:color w:val="auto"/>
              </w:rPr>
            </w:pPr>
          </w:p>
        </w:tc>
        <w:tc>
          <w:tcPr>
            <w:tcW w:w="5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8"/>
                <w:szCs w:val="8"/>
                <w:b w:val="1"/>
                <w:bCs w:val="1"/>
                <w:color w:val="auto"/>
              </w:rPr>
              <w:t>Retained</w:t>
            </w:r>
          </w:p>
        </w:tc>
        <w:tc>
          <w:tcPr>
            <w:tcW w:w="80" w:type="dxa"/>
            <w:vAlign w:val="bottom"/>
          </w:tcPr>
          <w:p>
            <w:pPr>
              <w:spacing w:after="0"/>
              <w:rPr>
                <w:sz w:val="24"/>
                <w:szCs w:val="24"/>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24"/>
                <w:szCs w:val="24"/>
                <w:color w:val="auto"/>
              </w:rPr>
            </w:pPr>
          </w:p>
        </w:tc>
        <w:tc>
          <w:tcPr>
            <w:tcW w:w="6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8"/>
                <w:szCs w:val="8"/>
                <w:b w:val="1"/>
                <w:bCs w:val="1"/>
                <w:color w:val="auto"/>
              </w:rPr>
              <w:t>Total Virtu</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940" w:type="dxa"/>
            <w:vAlign w:val="bottom"/>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300" w:type="dxa"/>
            <w:vAlign w:val="bottom"/>
            <w:gridSpan w:val="5"/>
            <w:vMerge w:val="continue"/>
          </w:tcPr>
          <w:p>
            <w:pPr>
              <w:spacing w:after="0"/>
              <w:rPr>
                <w:sz w:val="7"/>
                <w:szCs w:val="7"/>
                <w:color w:val="auto"/>
              </w:rPr>
            </w:pPr>
          </w:p>
        </w:tc>
        <w:tc>
          <w:tcPr>
            <w:tcW w:w="11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gridSpan w:val="5"/>
            <w:vMerge w:val="continue"/>
          </w:tcPr>
          <w:p>
            <w:pPr>
              <w:spacing w:after="0"/>
              <w:rPr>
                <w:sz w:val="7"/>
                <w:szCs w:val="7"/>
                <w:color w:val="auto"/>
              </w:rPr>
            </w:pPr>
          </w:p>
        </w:tc>
        <w:tc>
          <w:tcPr>
            <w:tcW w:w="660" w:type="dxa"/>
            <w:vAlign w:val="bottom"/>
            <w:gridSpan w:val="3"/>
          </w:tcPr>
          <w:p>
            <w:pPr>
              <w:ind w:left="20"/>
              <w:spacing w:after="0" w:line="85" w:lineRule="exact"/>
              <w:rPr>
                <w:sz w:val="20"/>
                <w:szCs w:val="20"/>
                <w:color w:val="auto"/>
              </w:rPr>
            </w:pPr>
            <w:r>
              <w:rPr>
                <w:rFonts w:ascii="Times New Roman" w:cs="Times New Roman" w:eastAsia="Times New Roman" w:hAnsi="Times New Roman"/>
                <w:sz w:val="8"/>
                <w:szCs w:val="8"/>
                <w:b w:val="1"/>
                <w:bCs w:val="1"/>
                <w:color w:val="auto"/>
              </w:rPr>
              <w:t>Paid-in Capital</w:t>
            </w:r>
          </w:p>
        </w:tc>
        <w:tc>
          <w:tcPr>
            <w:tcW w:w="1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9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gridSpan w:val="2"/>
          </w:tcPr>
          <w:p>
            <w:pPr>
              <w:jc w:val="center"/>
              <w:ind w:right="160"/>
              <w:spacing w:after="0" w:line="55" w:lineRule="exact"/>
              <w:rPr>
                <w:sz w:val="20"/>
                <w:szCs w:val="20"/>
                <w:color w:val="auto"/>
              </w:rPr>
            </w:pPr>
            <w:r>
              <w:rPr>
                <w:rFonts w:ascii="Times New Roman" w:cs="Times New Roman" w:eastAsia="Times New Roman" w:hAnsi="Times New Roman"/>
                <w:sz w:val="6"/>
                <w:szCs w:val="6"/>
                <w:b w:val="1"/>
                <w:bCs w:val="1"/>
                <w:color w:val="auto"/>
              </w:rPr>
              <w:t>Earnings</w:t>
            </w:r>
          </w:p>
        </w:tc>
        <w:tc>
          <w:tcPr>
            <w:tcW w:w="80" w:type="dxa"/>
            <w:vAlign w:val="bottom"/>
          </w:tcPr>
          <w:p>
            <w:pPr>
              <w:spacing w:after="0"/>
              <w:rPr>
                <w:sz w:val="4"/>
                <w:szCs w:val="4"/>
                <w:color w:val="auto"/>
              </w:rPr>
            </w:pPr>
          </w:p>
        </w:tc>
        <w:tc>
          <w:tcPr>
            <w:tcW w:w="640" w:type="dxa"/>
            <w:vAlign w:val="bottom"/>
            <w:gridSpan w:val="2"/>
          </w:tcPr>
          <w:p>
            <w:pPr>
              <w:jc w:val="center"/>
              <w:ind w:right="140"/>
              <w:spacing w:after="0" w:line="55" w:lineRule="exact"/>
              <w:rPr>
                <w:sz w:val="20"/>
                <w:szCs w:val="20"/>
                <w:color w:val="auto"/>
              </w:rPr>
            </w:pPr>
            <w:r>
              <w:rPr>
                <w:rFonts w:ascii="Times New Roman" w:cs="Times New Roman" w:eastAsia="Times New Roman" w:hAnsi="Times New Roman"/>
                <w:sz w:val="6"/>
                <w:szCs w:val="6"/>
                <w:b w:val="1"/>
                <w:bCs w:val="1"/>
                <w:color w:val="auto"/>
              </w:rPr>
              <w:t>Other</w:t>
            </w:r>
          </w:p>
        </w:tc>
        <w:tc>
          <w:tcPr>
            <w:tcW w:w="60" w:type="dxa"/>
            <w:vAlign w:val="bottom"/>
          </w:tcPr>
          <w:p>
            <w:pPr>
              <w:spacing w:after="0"/>
              <w:rPr>
                <w:sz w:val="4"/>
                <w:szCs w:val="4"/>
                <w:color w:val="auto"/>
              </w:rPr>
            </w:pPr>
          </w:p>
        </w:tc>
        <w:tc>
          <w:tcPr>
            <w:tcW w:w="620" w:type="dxa"/>
            <w:vAlign w:val="bottom"/>
            <w:gridSpan w:val="2"/>
          </w:tcPr>
          <w:p>
            <w:pPr>
              <w:jc w:val="center"/>
              <w:ind w:right="120"/>
              <w:spacing w:after="0" w:line="55" w:lineRule="exact"/>
              <w:rPr>
                <w:sz w:val="20"/>
                <w:szCs w:val="20"/>
                <w:color w:val="auto"/>
              </w:rPr>
            </w:pPr>
            <w:r>
              <w:rPr>
                <w:rFonts w:ascii="Times New Roman" w:cs="Times New Roman" w:eastAsia="Times New Roman" w:hAnsi="Times New Roman"/>
                <w:sz w:val="6"/>
                <w:szCs w:val="6"/>
                <w:b w:val="1"/>
                <w:bCs w:val="1"/>
                <w:color w:val="auto"/>
              </w:rPr>
              <w:t>Financial Inc.</w:t>
            </w:r>
          </w:p>
        </w:tc>
        <w:tc>
          <w:tcPr>
            <w:tcW w:w="7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Noncontrolling</w:t>
            </w:r>
          </w:p>
        </w:tc>
        <w:tc>
          <w:tcPr>
            <w:tcW w:w="60" w:type="dxa"/>
            <w:vAlign w:val="bottom"/>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194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rPr>
              <w:t>(in thousands, except share and interest data)</w:t>
            </w: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98"/>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80" w:type="dxa"/>
            <w:vAlign w:val="bottom"/>
            <w:vMerge w:val="restart"/>
          </w:tcPr>
          <w:p>
            <w:pPr>
              <w:spacing w:after="0"/>
              <w:rPr>
                <w:sz w:val="7"/>
                <w:szCs w:val="7"/>
                <w:color w:val="auto"/>
              </w:rPr>
            </w:pPr>
          </w:p>
        </w:tc>
        <w:tc>
          <w:tcPr>
            <w:tcW w:w="580" w:type="dxa"/>
            <w:vAlign w:val="bottom"/>
            <w:vMerge w:val="restart"/>
          </w:tcPr>
          <w:p>
            <w:pPr>
              <w:jc w:val="right"/>
              <w:ind w:right="138"/>
              <w:spacing w:after="0"/>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vMerge w:val="restart"/>
          </w:tcPr>
          <w:p>
            <w:pPr>
              <w:spacing w:after="0"/>
              <w:rPr>
                <w:sz w:val="7"/>
                <w:szCs w:val="7"/>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rPr>
              <w:t>Amounts</w:t>
            </w: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Amounts</w:t>
            </w:r>
          </w:p>
        </w:tc>
        <w:tc>
          <w:tcPr>
            <w:tcW w:w="60" w:type="dxa"/>
            <w:vAlign w:val="bottom"/>
            <w:vMerge w:val="restart"/>
          </w:tcPr>
          <w:p>
            <w:pPr>
              <w:spacing w:after="0"/>
              <w:rPr>
                <w:sz w:val="7"/>
                <w:szCs w:val="7"/>
                <w:color w:val="auto"/>
              </w:rPr>
            </w:pPr>
          </w:p>
        </w:tc>
        <w:tc>
          <w:tcPr>
            <w:tcW w:w="680" w:type="dxa"/>
            <w:vAlign w:val="bottom"/>
            <w:gridSpan w:val="3"/>
          </w:tcPr>
          <w:p>
            <w:pPr>
              <w:jc w:val="center"/>
              <w:ind w:right="60"/>
              <w:spacing w:after="0" w:line="85" w:lineRule="exact"/>
              <w:rPr>
                <w:sz w:val="20"/>
                <w:szCs w:val="20"/>
                <w:color w:val="auto"/>
              </w:rPr>
            </w:pPr>
            <w:r>
              <w:rPr>
                <w:rFonts w:ascii="Times New Roman" w:cs="Times New Roman" w:eastAsia="Times New Roman" w:hAnsi="Times New Roman"/>
                <w:sz w:val="8"/>
                <w:szCs w:val="8"/>
                <w:b w:val="1"/>
                <w:bCs w:val="1"/>
                <w:color w:val="auto"/>
              </w:rPr>
              <w:t>(Accumulated</w:t>
            </w:r>
          </w:p>
        </w:tc>
        <w:tc>
          <w:tcPr>
            <w:tcW w:w="720" w:type="dxa"/>
            <w:vAlign w:val="bottom"/>
            <w:gridSpan w:val="3"/>
          </w:tcPr>
          <w:p>
            <w:pPr>
              <w:jc w:val="center"/>
              <w:ind w:right="80"/>
              <w:spacing w:after="0" w:line="85" w:lineRule="exact"/>
              <w:rPr>
                <w:sz w:val="20"/>
                <w:szCs w:val="20"/>
                <w:color w:val="auto"/>
              </w:rPr>
            </w:pPr>
            <w:r>
              <w:rPr>
                <w:rFonts w:ascii="Times New Roman" w:cs="Times New Roman" w:eastAsia="Times New Roman" w:hAnsi="Times New Roman"/>
                <w:sz w:val="8"/>
                <w:szCs w:val="8"/>
                <w:b w:val="1"/>
                <w:bCs w:val="1"/>
                <w:color w:val="auto"/>
              </w:rPr>
              <w:t>Comprehensive</w:t>
            </w:r>
          </w:p>
        </w:tc>
        <w:tc>
          <w:tcPr>
            <w:tcW w:w="60" w:type="dxa"/>
            <w:vAlign w:val="bottom"/>
          </w:tcPr>
          <w:p>
            <w:pPr>
              <w:spacing w:after="0"/>
              <w:rPr>
                <w:sz w:val="7"/>
                <w:szCs w:val="7"/>
                <w:color w:val="auto"/>
              </w:rPr>
            </w:pPr>
          </w:p>
        </w:tc>
        <w:tc>
          <w:tcPr>
            <w:tcW w:w="620" w:type="dxa"/>
            <w:vAlign w:val="bottom"/>
            <w:gridSpan w:val="2"/>
          </w:tcPr>
          <w:p>
            <w:pPr>
              <w:jc w:val="center"/>
              <w:ind w:right="120"/>
              <w:spacing w:after="0" w:line="85" w:lineRule="exact"/>
              <w:rPr>
                <w:sz w:val="20"/>
                <w:szCs w:val="20"/>
                <w:color w:val="auto"/>
              </w:rPr>
            </w:pPr>
            <w:r>
              <w:rPr>
                <w:rFonts w:ascii="Times New Roman" w:cs="Times New Roman" w:eastAsia="Times New Roman" w:hAnsi="Times New Roman"/>
                <w:sz w:val="8"/>
                <w:szCs w:val="8"/>
                <w:b w:val="1"/>
                <w:bCs w:val="1"/>
                <w:color w:val="auto"/>
              </w:rPr>
              <w:t>Stockholders'</w:t>
            </w:r>
          </w:p>
        </w:tc>
        <w:tc>
          <w:tcPr>
            <w:tcW w:w="7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Total Equity</w:t>
            </w:r>
          </w:p>
        </w:tc>
        <w:tc>
          <w:tcPr>
            <w:tcW w:w="0" w:type="dxa"/>
            <w:vAlign w:val="bottom"/>
          </w:tcPr>
          <w:p>
            <w:pPr>
              <w:spacing w:after="0"/>
              <w:rPr>
                <w:sz w:val="1"/>
                <w:szCs w:val="1"/>
                <w:color w:val="auto"/>
              </w:rPr>
            </w:pPr>
          </w:p>
        </w:tc>
      </w:tr>
      <w:tr>
        <w:trPr>
          <w:trHeight w:val="118"/>
        </w:trPr>
        <w:tc>
          <w:tcPr>
            <w:tcW w:w="194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Deficit)</w:t>
            </w: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8"/>
                <w:szCs w:val="8"/>
                <w:b w:val="1"/>
                <w:bCs w:val="1"/>
                <w:color w:val="auto"/>
              </w:rPr>
              <w:t>Income (loss)</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8"/>
                <w:szCs w:val="8"/>
                <w:b w:val="1"/>
                <w:bCs w:val="1"/>
                <w:color w:val="auto"/>
              </w:rPr>
              <w:t>Equity</w:t>
            </w:r>
          </w:p>
        </w:tc>
        <w:tc>
          <w:tcPr>
            <w:tcW w:w="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8"/>
                <w:szCs w:val="8"/>
                <w:b w:val="1"/>
                <w:bCs w:val="1"/>
                <w:color w:val="auto"/>
              </w:rPr>
              <w:t>Interest</w:t>
            </w: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at December 31, 2022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133,071,754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9,030,066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(34,522,290)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(954,637)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1,292,613</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972,317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31,604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1,341,899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309,528</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1,651,427</w:t>
            </w:r>
          </w:p>
        </w:tc>
        <w:tc>
          <w:tcPr>
            <w:tcW w:w="0" w:type="dxa"/>
            <w:vAlign w:val="bottom"/>
          </w:tcPr>
          <w:p>
            <w:pPr>
              <w:spacing w:after="0"/>
              <w:rPr>
                <w:sz w:val="1"/>
                <w:szCs w:val="1"/>
                <w:color w:val="auto"/>
              </w:rPr>
            </w:pPr>
          </w:p>
        </w:tc>
      </w:tr>
      <w:tr>
        <w:trPr>
          <w:trHeight w:val="118"/>
        </w:trPr>
        <w:tc>
          <w:tcPr>
            <w:tcW w:w="19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Share based compensation</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2,393,550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31,030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31,030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31,030</w:t>
            </w: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Repurchase of Class C common stock</w:t>
            </w: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(21,498)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(424)</w:t>
            </w:r>
          </w:p>
        </w:tc>
        <w:tc>
          <w:tcPr>
            <w:tcW w:w="0" w:type="dxa"/>
            <w:vAlign w:val="bottom"/>
          </w:tcPr>
          <w:p>
            <w:pPr>
              <w:spacing w:after="0"/>
              <w:rPr>
                <w:sz w:val="1"/>
                <w:szCs w:val="1"/>
                <w:color w:val="auto"/>
              </w:rPr>
            </w:pPr>
          </w:p>
        </w:tc>
      </w:tr>
      <w:tr>
        <w:trPr>
          <w:trHeight w:val="118"/>
        </w:trPr>
        <w:tc>
          <w:tcPr>
            <w:tcW w:w="19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Treasury stock purchases</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(902,947)</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(3,932,499)</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(75,568)</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(17,650)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(93,218)</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(93,218)</w:t>
            </w: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income</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57,881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57,881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52,202</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110,083</w:t>
            </w:r>
          </w:p>
        </w:tc>
        <w:tc>
          <w:tcPr>
            <w:tcW w:w="0" w:type="dxa"/>
            <w:vAlign w:val="bottom"/>
          </w:tcPr>
          <w:p>
            <w:pPr>
              <w:spacing w:after="0"/>
              <w:rPr>
                <w:sz w:val="1"/>
                <w:szCs w:val="1"/>
                <w:color w:val="auto"/>
              </w:rPr>
            </w:pPr>
          </w:p>
        </w:tc>
      </w:tr>
      <w:tr>
        <w:trPr>
          <w:trHeight w:val="118"/>
        </w:trPr>
        <w:tc>
          <w:tcPr>
            <w:tcW w:w="19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Foreign exchange translation adjustment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10"/>
                <w:szCs w:val="10"/>
                <w:color w:val="auto"/>
              </w:rPr>
            </w:pPr>
          </w:p>
        </w:tc>
        <w:tc>
          <w:tcPr>
            <w:tcW w:w="20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10"/>
                <w:szCs w:val="10"/>
                <w:color w:val="auto"/>
              </w:rPr>
            </w:pPr>
          </w:p>
        </w:tc>
        <w:tc>
          <w:tcPr>
            <w:tcW w:w="520" w:type="dxa"/>
            <w:vAlign w:val="bottom"/>
            <w:gridSpan w:val="2"/>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10"/>
                <w:szCs w:val="10"/>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980</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980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8"/>
                <w:szCs w:val="8"/>
                <w:color w:val="auto"/>
              </w:rPr>
              <w:t>668</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1,648</w:t>
            </w:r>
          </w:p>
        </w:tc>
        <w:tc>
          <w:tcPr>
            <w:tcW w:w="0" w:type="dxa"/>
            <w:vAlign w:val="bottom"/>
          </w:tcPr>
          <w:p>
            <w:pPr>
              <w:spacing w:after="0"/>
              <w:rPr>
                <w:sz w:val="1"/>
                <w:szCs w:val="1"/>
                <w:color w:val="auto"/>
              </w:rPr>
            </w:pPr>
          </w:p>
        </w:tc>
      </w:tr>
      <w:tr>
        <w:trPr>
          <w:trHeight w:val="137"/>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Net change in unrealized cash flow hedges gains</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11"/>
                <w:szCs w:val="11"/>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(7,834)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(7,834)</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(5,334)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(13,168)</w:t>
            </w:r>
          </w:p>
        </w:tc>
        <w:tc>
          <w:tcPr>
            <w:tcW w:w="0" w:type="dxa"/>
            <w:vAlign w:val="bottom"/>
          </w:tcPr>
          <w:p>
            <w:pPr>
              <w:spacing w:after="0"/>
              <w:rPr>
                <w:sz w:val="1"/>
                <w:szCs w:val="1"/>
                <w:color w:val="auto"/>
              </w:rPr>
            </w:pPr>
          </w:p>
        </w:tc>
      </w:tr>
      <w:tr>
        <w:trPr>
          <w:trHeight w:val="86"/>
        </w:trPr>
        <w:tc>
          <w:tcPr>
            <w:tcW w:w="1940" w:type="dxa"/>
            <w:vAlign w:val="bottom"/>
          </w:tcPr>
          <w:p>
            <w:pPr>
              <w:ind w:left="100"/>
              <w:spacing w:after="0" w:line="86" w:lineRule="exact"/>
              <w:rPr>
                <w:sz w:val="20"/>
                <w:szCs w:val="20"/>
                <w:color w:val="auto"/>
              </w:rPr>
            </w:pPr>
            <w:r>
              <w:rPr>
                <w:rFonts w:ascii="Times New Roman" w:cs="Times New Roman" w:eastAsia="Times New Roman" w:hAnsi="Times New Roman"/>
                <w:sz w:val="8"/>
                <w:szCs w:val="8"/>
                <w:color w:val="auto"/>
              </w:rPr>
              <w:t>Dividends ($0.24 per share of Class A common</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tcPr>
          <w:p>
            <w:pPr>
              <w:ind w:left="100"/>
              <w:spacing w:after="0" w:line="85" w:lineRule="exact"/>
              <w:rPr>
                <w:sz w:val="20"/>
                <w:szCs w:val="20"/>
                <w:color w:val="auto"/>
              </w:rPr>
            </w:pPr>
            <w:r>
              <w:rPr>
                <w:rFonts w:ascii="Times New Roman" w:cs="Times New Roman" w:eastAsia="Times New Roman" w:hAnsi="Times New Roman"/>
                <w:sz w:val="8"/>
                <w:szCs w:val="8"/>
                <w:color w:val="auto"/>
              </w:rPr>
              <w:t>stock and participating Restricted Stock Units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tcPr>
          <w:p>
            <w:pPr>
              <w:ind w:left="100"/>
              <w:spacing w:after="0" w:line="85" w:lineRule="exact"/>
              <w:rPr>
                <w:sz w:val="20"/>
                <w:szCs w:val="20"/>
                <w:color w:val="auto"/>
              </w:rPr>
            </w:pPr>
            <w:r>
              <w:rPr>
                <w:rFonts w:ascii="Times New Roman" w:cs="Times New Roman" w:eastAsia="Times New Roman" w:hAnsi="Times New Roman"/>
                <w:sz w:val="8"/>
                <w:szCs w:val="8"/>
                <w:color w:val="auto"/>
              </w:rPr>
              <w:t>Restricted Stock Awards) and distributions from</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tcPr>
          <w:p>
            <w:pPr>
              <w:spacing w:after="0"/>
              <w:rPr>
                <w:sz w:val="7"/>
                <w:szCs w:val="7"/>
                <w:color w:val="auto"/>
              </w:rPr>
            </w:pPr>
          </w:p>
        </w:tc>
        <w:tc>
          <w:tcPr>
            <w:tcW w:w="2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7"/>
                <w:szCs w:val="7"/>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(24,696)</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(24,696)</w:t>
            </w: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(27,308)</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(52,004)</w:t>
            </w:r>
          </w:p>
        </w:tc>
        <w:tc>
          <w:tcPr>
            <w:tcW w:w="0" w:type="dxa"/>
            <w:vAlign w:val="bottom"/>
          </w:tcPr>
          <w:p>
            <w:pPr>
              <w:spacing w:after="0"/>
              <w:rPr>
                <w:sz w:val="1"/>
                <w:szCs w:val="1"/>
                <w:color w:val="auto"/>
              </w:rPr>
            </w:pPr>
          </w:p>
        </w:tc>
      </w:tr>
      <w:tr>
        <w:trPr>
          <w:trHeight w:val="117"/>
        </w:trPr>
        <w:tc>
          <w:tcPr>
            <w:tcW w:w="1940" w:type="dxa"/>
            <w:vAlign w:val="bottom"/>
          </w:tcPr>
          <w:p>
            <w:pPr>
              <w:ind w:left="100"/>
              <w:spacing w:after="0"/>
              <w:rPr>
                <w:sz w:val="20"/>
                <w:szCs w:val="20"/>
                <w:color w:val="auto"/>
              </w:rPr>
            </w:pPr>
            <w:r>
              <w:rPr>
                <w:rFonts w:ascii="Times New Roman" w:cs="Times New Roman" w:eastAsia="Times New Roman" w:hAnsi="Times New Roman"/>
                <w:sz w:val="8"/>
                <w:szCs w:val="8"/>
                <w:color w:val="auto"/>
              </w:rPr>
              <w:t>Virtu Financial to noncontrolling interest</w:t>
            </w:r>
          </w:p>
        </w:tc>
        <w:tc>
          <w:tcPr>
            <w:tcW w:w="64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Issuance of common stock in connection with</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152,037</w:t>
            </w:r>
          </w:p>
        </w:tc>
        <w:tc>
          <w:tcPr>
            <w:tcW w:w="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460" w:type="dxa"/>
            <w:vAlign w:val="bottom"/>
            <w:shd w:val="clear" w:color="auto" w:fill="CCEEFF"/>
          </w:tcPr>
          <w:p>
            <w:pPr>
              <w:spacing w:after="0"/>
              <w:rPr>
                <w:sz w:val="8"/>
                <w:szCs w:val="8"/>
                <w:color w:val="auto"/>
              </w:rPr>
            </w:pPr>
          </w:p>
        </w:tc>
        <w:tc>
          <w:tcPr>
            <w:tcW w:w="2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4"/>
              </w:rPr>
              <w:t>—</w:t>
            </w:r>
          </w:p>
        </w:tc>
        <w:tc>
          <w:tcPr>
            <w:tcW w:w="6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2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6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CEEFF"/>
          </w:tcPr>
          <w:p>
            <w:pPr>
              <w:spacing w:after="0"/>
              <w:rPr>
                <w:sz w:val="8"/>
                <w:szCs w:val="8"/>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CEEFF"/>
          </w:tcPr>
          <w:p>
            <w:pPr>
              <w:spacing w:after="0"/>
              <w:rPr>
                <w:sz w:val="8"/>
                <w:szCs w:val="8"/>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26"/>
        </w:trPr>
        <w:tc>
          <w:tcPr>
            <w:tcW w:w="1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8"/>
                <w:szCs w:val="8"/>
                <w:color w:val="auto"/>
              </w:rPr>
              <w:t>employee exchanges</w:t>
            </w:r>
          </w:p>
        </w:tc>
        <w:tc>
          <w:tcPr>
            <w:tcW w:w="580" w:type="dxa"/>
            <w:vAlign w:val="bottom"/>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4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gridSpan w:val="2"/>
            <w:vMerge w:val="continue"/>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4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940" w:type="dxa"/>
            <w:vAlign w:val="bottom"/>
          </w:tcPr>
          <w:p>
            <w:pPr>
              <w:ind w:left="100"/>
              <w:spacing w:after="0" w:line="86" w:lineRule="exact"/>
              <w:rPr>
                <w:sz w:val="20"/>
                <w:szCs w:val="20"/>
                <w:color w:val="auto"/>
              </w:rPr>
            </w:pPr>
            <w:r>
              <w:rPr>
                <w:rFonts w:ascii="Times New Roman" w:cs="Times New Roman" w:eastAsia="Times New Roman" w:hAnsi="Times New Roman"/>
                <w:sz w:val="8"/>
                <w:szCs w:val="8"/>
                <w:color w:val="auto"/>
              </w:rPr>
              <w:t>Repurchase of Virtu Financial Units and</w:t>
            </w: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1940" w:type="dxa"/>
            <w:vAlign w:val="bottom"/>
          </w:tcPr>
          <w:p>
            <w:pPr>
              <w:ind w:left="100"/>
              <w:spacing w:after="0" w:line="85" w:lineRule="exact"/>
              <w:rPr>
                <w:sz w:val="20"/>
                <w:szCs w:val="20"/>
                <w:color w:val="auto"/>
              </w:rPr>
            </w:pPr>
            <w:r>
              <w:rPr>
                <w:rFonts w:ascii="Times New Roman" w:cs="Times New Roman" w:eastAsia="Times New Roman" w:hAnsi="Times New Roman"/>
                <w:sz w:val="8"/>
                <w:szCs w:val="8"/>
                <w:color w:val="auto"/>
              </w:rPr>
              <w:t>corresponding number of Class C common stock</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(152,037)</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vMerge w:val="restart"/>
          </w:tcPr>
          <w:p>
            <w:pPr>
              <w:jc w:val="right"/>
              <w:ind w:right="18"/>
              <w:spacing w:after="0"/>
              <w:rPr>
                <w:sz w:val="20"/>
                <w:szCs w:val="20"/>
                <w:color w:val="auto"/>
              </w:rPr>
            </w:pPr>
            <w:r>
              <w:rPr>
                <w:rFonts w:ascii="Times New Roman" w:cs="Times New Roman" w:eastAsia="Times New Roman" w:hAnsi="Times New Roman"/>
                <w:sz w:val="8"/>
                <w:szCs w:val="8"/>
                <w:color w:val="auto"/>
                <w:w w:val="74"/>
              </w:rPr>
              <w:t>—</w:t>
            </w:r>
          </w:p>
        </w:tc>
        <w:tc>
          <w:tcPr>
            <w:tcW w:w="60" w:type="dxa"/>
            <w:vAlign w:val="bottom"/>
            <w:vMerge w:val="restart"/>
          </w:tcPr>
          <w:p>
            <w:pPr>
              <w:spacing w:after="0"/>
              <w:rPr>
                <w:sz w:val="7"/>
                <w:szCs w:val="7"/>
                <w:color w:val="auto"/>
              </w:rPr>
            </w:pPr>
          </w:p>
        </w:tc>
        <w:tc>
          <w:tcPr>
            <w:tcW w:w="560" w:type="dxa"/>
            <w:vAlign w:val="bottom"/>
            <w:vMerge w:val="restart"/>
          </w:tcPr>
          <w:p>
            <w:pPr>
              <w:ind w:left="44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vMerge w:val="restart"/>
          </w:tcPr>
          <w:p>
            <w:pPr>
              <w:ind w:left="34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vMerge w:val="restart"/>
          </w:tcPr>
          <w:p>
            <w:pPr>
              <w:spacing w:after="0"/>
              <w:rPr>
                <w:sz w:val="7"/>
                <w:szCs w:val="7"/>
                <w:color w:val="auto"/>
              </w:rPr>
            </w:pPr>
          </w:p>
        </w:tc>
        <w:tc>
          <w:tcPr>
            <w:tcW w:w="60" w:type="dxa"/>
            <w:vAlign w:val="bottom"/>
          </w:tcPr>
          <w:p>
            <w:pPr>
              <w:spacing w:after="0"/>
              <w:rPr>
                <w:sz w:val="7"/>
                <w:szCs w:val="7"/>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117"/>
        </w:trPr>
        <w:tc>
          <w:tcPr>
            <w:tcW w:w="19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8"/>
                <w:szCs w:val="8"/>
                <w:color w:val="auto"/>
              </w:rPr>
              <w:t>in connection with employee exchanges</w:t>
            </w: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60" w:type="dxa"/>
            <w:vAlign w:val="bottom"/>
            <w:tcBorders>
              <w:bottom w:val="single" w:sz="8" w:color="CCEEFF"/>
            </w:tcBorders>
            <w:vMerge w:val="continue"/>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8"/>
                <w:szCs w:val="8"/>
                <w:color w:val="auto"/>
              </w:rPr>
              <w:t>Balance at March 31, 2023</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134,714,394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8,856,531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60,091,740</w:t>
            </w: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8"/>
              <w:spacing w:after="0"/>
              <w:rPr>
                <w:sz w:val="20"/>
                <w:szCs w:val="20"/>
                <w:color w:val="auto"/>
              </w:rPr>
            </w:pPr>
            <w:r>
              <w:rPr>
                <w:rFonts w:ascii="Times New Roman" w:cs="Times New Roman" w:eastAsia="Times New Roman" w:hAnsi="Times New Roman"/>
                <w:sz w:val="8"/>
                <w:szCs w:val="8"/>
                <w:color w:val="auto"/>
                <w:w w:val="98"/>
              </w:rPr>
              <w:t>$</w:t>
            </w:r>
          </w:p>
        </w:tc>
        <w:tc>
          <w:tcPr>
            <w:tcW w:w="1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rPr>
              <w:t>1</w:t>
            </w: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(38,454,789)</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(1,030,205)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1,323,219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987,852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24,750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1,305,618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8"/>
                <w:szCs w:val="8"/>
                <w:color w:val="auto"/>
                <w:w w:val="9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329,756</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rPr>
              <w:t>1,635,374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 (Unaudited).</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400" w:top="125"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276" w:lineRule="exact"/>
        <w:rPr>
          <w:sz w:val="20"/>
          <w:szCs w:val="20"/>
          <w:color w:val="auto"/>
        </w:rPr>
      </w:pPr>
    </w:p>
    <w:tbl>
      <w:tblPr>
        <w:tblLayout w:type="fixed"/>
        <w:tblInd w:w="840" w:type="dxa"/>
        <w:tblCellMar>
          <w:top w:w="0" w:type="dxa"/>
          <w:left w:w="0" w:type="dxa"/>
          <w:bottom w:w="0" w:type="dxa"/>
          <w:right w:w="0" w:type="dxa"/>
        </w:tblCellMar>
      </w:tblPr>
      <w:tr>
        <w:trPr>
          <w:trHeight w:val="158"/>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94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7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53"/>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111,308</w:t>
            </w:r>
          </w:p>
        </w:tc>
        <w:tc>
          <w:tcPr>
            <w:tcW w:w="8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110,083</w:t>
            </w:r>
          </w:p>
        </w:tc>
      </w:tr>
      <w:tr>
        <w:trPr>
          <w:trHeight w:val="176"/>
        </w:trPr>
        <w:tc>
          <w:tcPr>
            <w:tcW w:w="7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3"/>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Adjustments to reconcile net income to net cash used by operating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16,076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15,348</w:t>
            </w:r>
          </w:p>
        </w:tc>
      </w:tr>
      <w:tr>
        <w:trPr>
          <w:trHeight w:val="153"/>
        </w:trPr>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14,687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16,020</w:t>
            </w:r>
          </w:p>
        </w:tc>
      </w:tr>
      <w:tr>
        <w:trPr>
          <w:trHeight w:val="165"/>
        </w:trPr>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Debt issue cost related to debt refinancing and prepayment</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306</w:t>
            </w:r>
          </w:p>
        </w:tc>
      </w:tr>
      <w:tr>
        <w:trPr>
          <w:trHeight w:val="153"/>
        </w:trPr>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Amortization of debt issuance costs and deferred financing fees</w:t>
            </w: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1,664</w:t>
            </w:r>
          </w:p>
        </w:tc>
      </w:tr>
      <w:tr>
        <w:trPr>
          <w:trHeight w:val="165"/>
        </w:trPr>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r>
      <w:tr>
        <w:trPr>
          <w:trHeight w:val="153"/>
        </w:trPr>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Share-based compensation</w:t>
            </w: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15,033</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15,583</w:t>
            </w:r>
          </w:p>
        </w:tc>
      </w:tr>
      <w:tr>
        <w:trPr>
          <w:trHeight w:val="165"/>
        </w:trPr>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Deferred taxes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5,390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7,800</w:t>
            </w:r>
          </w:p>
        </w:tc>
      </w:tr>
      <w:tr>
        <w:trPr>
          <w:trHeight w:val="153"/>
        </w:trPr>
        <w:tc>
          <w:tcPr>
            <w:tcW w:w="7140" w:type="dxa"/>
            <w:vAlign w:val="bottom"/>
            <w:gridSpan w:val="2"/>
          </w:tcPr>
          <w:p>
            <w:pPr>
              <w:ind w:left="180"/>
              <w:spacing w:after="0"/>
              <w:rPr>
                <w:sz w:val="20"/>
                <w:szCs w:val="20"/>
                <w:color w:val="auto"/>
              </w:rPr>
            </w:pPr>
            <w:r>
              <w:rPr>
                <w:rFonts w:ascii="Times New Roman" w:cs="Times New Roman" w:eastAsia="Times New Roman" w:hAnsi="Times New Roman"/>
                <w:sz w:val="11"/>
                <w:szCs w:val="11"/>
                <w:color w:val="auto"/>
              </w:rPr>
              <w:t>Other</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(15,118)</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(4,030)</w:t>
            </w:r>
          </w:p>
        </w:tc>
      </w:tr>
      <w:tr>
        <w:trPr>
          <w:trHeight w:val="165"/>
        </w:trPr>
        <w:tc>
          <w:tcPr>
            <w:tcW w:w="7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Securities borrowed</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(60,542)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(270,347)</w:t>
            </w:r>
          </w:p>
        </w:tc>
      </w:tr>
      <w:tr>
        <w:trPr>
          <w:trHeight w:val="165"/>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1,009,644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(376,365)</w:t>
            </w:r>
          </w:p>
        </w:tc>
      </w:tr>
      <w:tr>
        <w:trPr>
          <w:trHeight w:val="153"/>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(526,927)</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(66,035)</w:t>
            </w:r>
          </w:p>
        </w:tc>
      </w:tr>
      <w:tr>
        <w:trPr>
          <w:trHeight w:val="165"/>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Trading assets, at fair value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911,479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(807,784)</w:t>
            </w:r>
          </w:p>
        </w:tc>
      </w:tr>
      <w:tr>
        <w:trPr>
          <w:trHeight w:val="153"/>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Receivables from customers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(28,375)</w:t>
            </w:r>
          </w:p>
        </w:tc>
      </w:tr>
      <w:tr>
        <w:trPr>
          <w:trHeight w:val="165"/>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16,810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813</w:t>
            </w:r>
          </w:p>
        </w:tc>
      </w:tr>
      <w:tr>
        <w:trPr>
          <w:trHeight w:val="153"/>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Other assets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(104,205)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16,955</w:t>
            </w:r>
          </w:p>
        </w:tc>
      </w:tr>
      <w:tr>
        <w:trPr>
          <w:trHeight w:val="165"/>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Securities loaned</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311,075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(32,896)</w:t>
            </w:r>
          </w:p>
        </w:tc>
      </w:tr>
      <w:tr>
        <w:trPr>
          <w:trHeight w:val="153"/>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(959,561)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379,758</w:t>
            </w:r>
          </w:p>
        </w:tc>
      </w:tr>
      <w:tr>
        <w:trPr>
          <w:trHeight w:val="165"/>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(687,156)</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(15,091)</w:t>
            </w:r>
          </w:p>
        </w:tc>
      </w:tr>
      <w:tr>
        <w:trPr>
          <w:trHeight w:val="153"/>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Payables to customers</w:t>
            </w: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10,256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61,001</w:t>
            </w:r>
          </w:p>
        </w:tc>
      </w:tr>
      <w:tr>
        <w:trPr>
          <w:trHeight w:val="165"/>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Trading liabilities, at fair value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(376,355)</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917,807</w:t>
            </w:r>
          </w:p>
        </w:tc>
      </w:tr>
      <w:tr>
        <w:trPr>
          <w:trHeight w:val="153"/>
        </w:trPr>
        <w:tc>
          <w:tcPr>
            <w:tcW w:w="714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(17,834)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(1,948)</w:t>
            </w:r>
          </w:p>
        </w:tc>
      </w:tr>
      <w:tr>
        <w:trPr>
          <w:trHeight w:val="165"/>
        </w:trPr>
        <w:tc>
          <w:tcPr>
            <w:tcW w:w="71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(58,776)</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(88,745)</w:t>
            </w:r>
          </w:p>
        </w:tc>
      </w:tr>
      <w:tr>
        <w:trPr>
          <w:trHeight w:val="144"/>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Net cash used in operating activities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(395,414)</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(148,382)</w:t>
            </w:r>
          </w:p>
        </w:tc>
      </w:tr>
      <w:tr>
        <w:trPr>
          <w:trHeight w:val="176"/>
        </w:trPr>
        <w:tc>
          <w:tcPr>
            <w:tcW w:w="7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Development of capitalized software</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(23,383)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(20,638)</w:t>
            </w:r>
          </w:p>
        </w:tc>
      </w:tr>
      <w:tr>
        <w:trPr>
          <w:trHeight w:val="153"/>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Acquisition of property and equipment</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(2,815)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(13,795)</w:t>
            </w:r>
          </w:p>
        </w:tc>
      </w:tr>
      <w:tr>
        <w:trPr>
          <w:trHeight w:val="165"/>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investing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(1,278)</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(1,350)</w:t>
            </w:r>
          </w:p>
        </w:tc>
      </w:tr>
      <w:tr>
        <w:trPr>
          <w:trHeight w:val="144"/>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2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(27,476)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(35,783)</w:t>
            </w:r>
          </w:p>
        </w:tc>
      </w:tr>
      <w:tr>
        <w:trPr>
          <w:trHeight w:val="176"/>
        </w:trPr>
        <w:tc>
          <w:tcPr>
            <w:tcW w:w="7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Dividends to stockholders and distributions from Virtu Financial to noncontrolling interest</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(67,589)</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(52,004)</w:t>
            </w:r>
          </w:p>
        </w:tc>
      </w:tr>
      <w:tr>
        <w:trPr>
          <w:trHeight w:val="153"/>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Repurchase of Class C common stock</w:t>
            </w:r>
          </w:p>
        </w:tc>
        <w:tc>
          <w:tcPr>
            <w:tcW w:w="260" w:type="dxa"/>
            <w:vAlign w:val="bottom"/>
          </w:tcPr>
          <w:p>
            <w:pPr>
              <w:spacing w:after="0"/>
              <w:rPr>
                <w:sz w:val="13"/>
                <w:szCs w:val="13"/>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w:t>
            </w:r>
          </w:p>
        </w:tc>
      </w:tr>
      <w:tr>
        <w:trPr>
          <w:trHeight w:val="165"/>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Purchase of treasury stock</w:t>
            </w: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(51,823)</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(93,218)</w:t>
            </w:r>
          </w:p>
        </w:tc>
      </w:tr>
      <w:tr>
        <w:trPr>
          <w:trHeight w:val="153"/>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Short-term borrowings, net</w:t>
            </w: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140,000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121,055</w:t>
            </w:r>
          </w:p>
        </w:tc>
      </w:tr>
      <w:tr>
        <w:trPr>
          <w:trHeight w:val="165"/>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Repayment of long-term borrowings</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(18,000)</w:t>
            </w:r>
          </w:p>
        </w:tc>
      </w:tr>
      <w:tr>
        <w:trPr>
          <w:trHeight w:val="153"/>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Payment of tax receivable agreement obligations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(20,226)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Debt issuance costs</w:t>
            </w: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(3,953)</w:t>
            </w:r>
          </w:p>
        </w:tc>
      </w:tr>
      <w:tr>
        <w:trPr>
          <w:trHeight w:val="144"/>
        </w:trPr>
        <w:tc>
          <w:tcPr>
            <w:tcW w:w="714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Net cash provided by (used in) financing activities</w:t>
            </w:r>
          </w:p>
        </w:tc>
        <w:tc>
          <w:tcPr>
            <w:tcW w:w="2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362</w:t>
            </w:r>
          </w:p>
        </w:tc>
        <w:tc>
          <w:tcPr>
            <w:tcW w:w="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(46,544)</w:t>
            </w:r>
          </w:p>
        </w:tc>
      </w:tr>
      <w:tr>
        <w:trPr>
          <w:trHeight w:val="176"/>
        </w:trPr>
        <w:tc>
          <w:tcPr>
            <w:tcW w:w="7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(3,526)</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1,648</w:t>
            </w:r>
          </w:p>
        </w:tc>
      </w:tr>
      <w:tr>
        <w:trPr>
          <w:trHeight w:val="176"/>
        </w:trPr>
        <w:tc>
          <w:tcPr>
            <w:tcW w:w="7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2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(426,054)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(229,061)</w:t>
            </w:r>
          </w:p>
        </w:tc>
      </w:tr>
      <w:tr>
        <w:trPr>
          <w:trHeight w:val="159"/>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or segregated cash, beginning of period</w:t>
            </w:r>
          </w:p>
        </w:tc>
        <w:tc>
          <w:tcPr>
            <w:tcW w:w="26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855,460</w:t>
            </w:r>
          </w:p>
        </w:tc>
        <w:tc>
          <w:tcPr>
            <w:tcW w:w="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1,038,242</w:t>
            </w:r>
          </w:p>
        </w:tc>
      </w:tr>
      <w:tr>
        <w:trPr>
          <w:trHeight w:val="156"/>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cash equivalents, and restricted or segregated cash, end of period</w:t>
            </w: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429,406</w:t>
            </w:r>
          </w:p>
        </w:tc>
        <w:tc>
          <w:tcPr>
            <w:tcW w:w="80" w:type="dxa"/>
            <w:vAlign w:val="bottom"/>
          </w:tcPr>
          <w:p>
            <w:pPr>
              <w:spacing w:after="0"/>
              <w:rPr>
                <w:sz w:val="13"/>
                <w:szCs w:val="13"/>
                <w:color w:val="auto"/>
              </w:rPr>
            </w:pP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809,181</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7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5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Supplementary disclosure of cash flow information</w:t>
            </w: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4"/>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Cash paid for interest</w:t>
            </w: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142,200</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96,572</w:t>
            </w:r>
          </w:p>
        </w:tc>
      </w:tr>
      <w:tr>
        <w:trPr>
          <w:trHeight w:val="153"/>
        </w:trPr>
        <w:tc>
          <w:tcPr>
            <w:tcW w:w="7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Cash paid for taxes</w:t>
            </w:r>
          </w:p>
        </w:tc>
        <w:tc>
          <w:tcPr>
            <w:tcW w:w="260" w:type="dxa"/>
            <w:vAlign w:val="bottom"/>
          </w:tcPr>
          <w:p>
            <w:pPr>
              <w:spacing w:after="0"/>
              <w:rPr>
                <w:sz w:val="13"/>
                <w:szCs w:val="13"/>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6,609</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3,471</w:t>
            </w:r>
          </w:p>
        </w:tc>
      </w:tr>
      <w:tr>
        <w:trPr>
          <w:trHeight w:val="176"/>
        </w:trPr>
        <w:tc>
          <w:tcPr>
            <w:tcW w:w="7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bl>
    <w:p>
      <w:pPr>
        <w:spacing w:after="0" w:line="200" w:lineRule="exact"/>
        <w:rPr>
          <w:sz w:val="20"/>
          <w:szCs w:val="20"/>
          <w:color w:val="auto"/>
        </w:rPr>
      </w:pPr>
    </w:p>
    <w:p>
      <w:pPr>
        <w:spacing w:after="0" w:line="32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60"/>
          </w:cols>
          <w:pgMar w:left="300" w:top="125" w:right="11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3"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 (Unaudited)</w:t>
      </w:r>
    </w:p>
    <w:p>
      <w:pPr>
        <w:spacing w:after="0" w:line="276" w:lineRule="exact"/>
        <w:rPr>
          <w:sz w:val="20"/>
          <w:szCs w:val="20"/>
          <w:color w:val="auto"/>
        </w:rPr>
      </w:pPr>
    </w:p>
    <w:tbl>
      <w:tblPr>
        <w:tblLayout w:type="fixed"/>
        <w:tblInd w:w="840" w:type="dxa"/>
        <w:tblCellMar>
          <w:top w:w="0" w:type="dxa"/>
          <w:left w:w="0" w:type="dxa"/>
          <w:bottom w:w="0" w:type="dxa"/>
          <w:right w:w="0" w:type="dxa"/>
        </w:tblCellMar>
      </w:tblPr>
      <w:tr>
        <w:trPr>
          <w:trHeight w:val="158"/>
        </w:trPr>
        <w:tc>
          <w:tcPr>
            <w:tcW w:w="7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80" w:type="dxa"/>
            <w:vAlign w:val="bottom"/>
            <w:tcBorders>
              <w:bottom w:val="single" w:sz="8" w:color="auto"/>
            </w:tcBorders>
            <w:gridSpan w:val="3"/>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20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200" w:type="dxa"/>
            <w:vAlign w:val="bottom"/>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7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activities</w:t>
            </w:r>
          </w:p>
        </w:tc>
        <w:tc>
          <w:tcPr>
            <w:tcW w:w="10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r>
      <w:tr>
        <w:trPr>
          <w:trHeight w:val="164"/>
        </w:trPr>
        <w:tc>
          <w:tcPr>
            <w:tcW w:w="7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Share-based and accrued incentive compensation to developers relating to capitalized software</w:t>
            </w: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4,101</w:t>
            </w:r>
          </w:p>
        </w:tc>
        <w:tc>
          <w:tcPr>
            <w:tcW w:w="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4,732</w:t>
            </w:r>
          </w:p>
        </w:tc>
      </w:tr>
    </w:tbl>
    <w:p>
      <w:pPr>
        <w:spacing w:after="0" w:line="18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4"/>
          <w:szCs w:val="14"/>
          <w:color w:val="auto"/>
        </w:rPr>
        <w:t>See accompanying Notes to the Condensed Consolidated Financial Statements (Unaudited).</w:t>
      </w:r>
    </w:p>
    <w:p>
      <w:pPr>
        <w:spacing w:after="0" w:line="200" w:lineRule="exact"/>
        <w:rPr>
          <w:sz w:val="20"/>
          <w:szCs w:val="20"/>
          <w:color w:val="auto"/>
        </w:rPr>
      </w:pPr>
    </w:p>
    <w:p>
      <w:pPr>
        <w:spacing w:after="0" w:line="276"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460"/>
          </w:cols>
          <w:pgMar w:left="300" w:top="125" w:right="11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Virtu Financial, Inc. and Subsidiaries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(dollars in thousands, except shares and per share amounts, unless otherwise noted)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Basis of Presentation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Organization</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accompanying Condensed Consolidated Financial Statements include the accounts and operations of Virtu Financial, Inc. (“VFI” or, collectively with its wholly owned or controlled subsidiaries, “Virtu” or the “Company”). VFI is a Delaware corporation whose primary asset is its ownership interest in Virtu Financial LLC (“Virtu Financial”). As of March 31, 2024, VFI owned approximately 57.8% of the membership interests of Virtu Financial. VFI is the sole managing member of Virtu Financial and operates and controls all of the businesses and affairs of Virtu Financial and its subsidiaries (the “Group”).</w:t>
      </w:r>
    </w:p>
    <w:p>
      <w:pPr>
        <w:spacing w:after="0" w:line="162" w:lineRule="exact"/>
        <w:rPr>
          <w:sz w:val="20"/>
          <w:szCs w:val="20"/>
          <w:color w:val="auto"/>
        </w:rPr>
      </w:pPr>
    </w:p>
    <w:p>
      <w:pPr>
        <w:ind w:right="200" w:firstLine="509"/>
        <w:spacing w:after="0" w:line="259" w:lineRule="auto"/>
        <w:rPr>
          <w:sz w:val="20"/>
          <w:szCs w:val="20"/>
          <w:color w:val="auto"/>
        </w:rPr>
      </w:pPr>
      <w:r>
        <w:rPr>
          <w:rFonts w:ascii="Times New Roman" w:cs="Times New Roman" w:eastAsia="Times New Roman" w:hAnsi="Times New Roman"/>
          <w:sz w:val="14"/>
          <w:szCs w:val="14"/>
          <w:color w:val="auto"/>
        </w:rPr>
        <w:t>The Company is a leading financial firm that leverages cutting edge technology to deliver liquidity to the global markets and innovative, transparent trading solutions to its clients. The Company provides deep liquidity in over 25,000 financial instruments, on over 235 venues, in 36 countries worldwide to help create more efficient markets. Leveraging its global market structure expertise and scaled, multi-asset infrastructure, the Company provides its clients with a robust product suite including offerings in execution, liquidity sourcing, analytics and broker-neutral, multi-dealer platforms in workflow technology. The Company’s product offerings allow its clients to trade on hundreds of venues in over 50 countries and across multiple asset classes, including global equities, Exchange-Traded Funds (“ETFs”), options, foreign exchange, futures, fixed income, cryptocurrencies, and other commodities. The Company’s integrated, multi-asset analytics platform provides a range of pre- and post-trade services, data products and compliance tools that its clients rely upon to invest, trade and manage risk across global markets.</w:t>
      </w:r>
    </w:p>
    <w:p>
      <w:pPr>
        <w:spacing w:after="0" w:line="167"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Company has completed two significant acquisitions that have expanded and complemented Virtu Financial's original electronic trading and marking making business. On July 20, 2017, the Company completed the all-cash acquisition of KCG Holdings, Inc. (“KCG”) (the “Acquisition of KCG”). On March 1, 2019 (the “ITG Closing Date”), the Company completed the acquisition of Investment Technology Group, Inc. and its subsidiaries (“ITG”) in an all-cash transaction (the “ITG Acquisition”).</w:t>
      </w:r>
    </w:p>
    <w:p>
      <w:pPr>
        <w:spacing w:after="0" w:line="157"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Virtu Financial’s principal United States (“U.S.”) subsidiary is Virtu Americas LLC (“VAL”), which is a U.S. broker-dealer. Other principal U.S. subsidiaries include Virtu Financial Global Markets LLC, a U.S. trading entity focused on futures and currencies; Virtu ITG Analytics LLC, a provider of pre- and post-trade analysis, fair value, and trade optimization services; and Virtu ITG Platforms LLC, a provider of workflow technology solutions and network connectivity services. Principal foreign subsidiaries include Virtu Financial Ireland Limited (“VFIL”) and Virtu Europe Trading Limited (“VETL”) (f/k/a Virtu ITG Europe Limited), each formed in Ireland; Virtu ITG UK Limited (“VIUK”), formed in the United Kingdom; Virtu Canada Corp (f/k/a Virtu ITG Canada Corp.), formed in Canada; Virtu Financial Asia Pty Ltd. and Virtu ITG Australia Limited, each formed in Australia; Virtu ITG Hong Kong Limited, formed in Hong Kong; and Virtu Financial Singapore Pte. Ltd. and Virtu ITG Singapore Pte. Ltd., each formed in Singapore, all of which are trading entities focused on asset classes in their respective geographic regions.</w:t>
      </w:r>
    </w:p>
    <w:p>
      <w:pPr>
        <w:spacing w:after="0" w:line="16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has two operating segments: (i) Market Making and (ii) Execution Services; and one non-operating segment: Corporate. See Note 20 “Geographic Information and Business Segments” for a further discussion of the Company’s segments.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Consolidation and Form of Presentation</w:t>
      </w:r>
    </w:p>
    <w:p>
      <w:pPr>
        <w:spacing w:after="0" w:line="191" w:lineRule="exact"/>
        <w:rPr>
          <w:sz w:val="20"/>
          <w:szCs w:val="20"/>
          <w:color w:val="auto"/>
        </w:rPr>
      </w:pPr>
    </w:p>
    <w:p>
      <w:pPr>
        <w:ind w:right="40" w:firstLine="509"/>
        <w:spacing w:after="0" w:line="242" w:lineRule="auto"/>
        <w:rPr>
          <w:sz w:val="20"/>
          <w:szCs w:val="20"/>
          <w:color w:val="auto"/>
        </w:rPr>
      </w:pPr>
      <w:r>
        <w:rPr>
          <w:rFonts w:ascii="Times New Roman" w:cs="Times New Roman" w:eastAsia="Times New Roman" w:hAnsi="Times New Roman"/>
          <w:sz w:val="14"/>
          <w:szCs w:val="14"/>
          <w:color w:val="auto"/>
        </w:rPr>
        <w:t>These Condensed Consolidated Financial Statements are presented in U.S. dollars, have been prepared pursuant to the rules and regulations of the U.S. Securities and Exchange Commission (“SEC”) regarding financial reporting with respect to Form 10-Q and accounting standards generally accepted in the United States of America (“U.S. GAAP”) promulgated by the Financial Accounting Standards Board (“FASB”) in the Accounting Standards Codification (“ASC” or the “Codification”), and reflect all adjustments that, in the opinion of management, are normal and recurring, and that are necessary for a fair statement of the results for the periods presented. Certain information and footnote disclosures normally included in financial statements prepared in accordance with U.S. GAAP have been condensed or omitted in accordance with SEC rules and regulations. The Condensed Consolidated Financial Statements of the Company include its equity interests in Virtu Financial and its subsidiaries. As sole managing member of Virtu Financial, the Company exerts control over the Group’s operations. The Company consolidates Virtu Financial and its subsidiaries’ financial statements and records the interests in Virtu Financial that</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the Company does not own as noncontrolling interests. All intercompany accounts and transactions have been eliminated in consolidation.</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25"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4"/>
          <w:szCs w:val="14"/>
          <w:color w:val="auto"/>
        </w:rPr>
        <w:t>For a detailed discussion of the Company's significant accounting policies, see Note 2 “Summary of Significant Accounting Policies” in our consolidated financial statements included in Part II, Item 8 of our Annual Report on Form 10-K for the year ended December 31, 2023.</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Pronouncements Recently Adopted</w:t>
      </w:r>
    </w:p>
    <w:p>
      <w:pPr>
        <w:spacing w:after="0" w:line="189"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Fair Value Measurement </w:t>
      </w:r>
      <w:r>
        <w:rPr>
          <w:rFonts w:ascii="Times New Roman" w:cs="Times New Roman" w:eastAsia="Times New Roman" w:hAnsi="Times New Roman"/>
          <w:sz w:val="14"/>
          <w:szCs w:val="14"/>
          <w:color w:val="auto"/>
        </w:rPr>
        <w:t>- In June 2022, the FASB issued ASU 2022-03,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Fair Value Measurement of Equity Securities Subject to Contractual Sale Restrictions (Topic 326)</w:t>
      </w:r>
      <w:r>
        <w:rPr>
          <w:rFonts w:ascii="Times New Roman" w:cs="Times New Roman" w:eastAsia="Times New Roman" w:hAnsi="Times New Roman"/>
          <w:sz w:val="14"/>
          <w:szCs w:val="14"/>
          <w:color w:val="auto"/>
        </w:rPr>
        <w:t>. The ASU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clarifies the impact of contractual sale restrictions on the fair value of an equity security. Additionally, this ASU requires disclosure of the nature and remaining duration of the sale restriction. The Company adopted this ASU on January 1, 2024, and it did not have a material impact on its Condensed Consolidated Financial Statements.</w:t>
      </w:r>
    </w:p>
    <w:p>
      <w:pPr>
        <w:spacing w:after="0" w:line="166"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Leases - Common Control Arrangements </w:t>
      </w:r>
      <w:r>
        <w:rPr>
          <w:rFonts w:ascii="Times New Roman" w:cs="Times New Roman" w:eastAsia="Times New Roman" w:hAnsi="Times New Roman"/>
          <w:sz w:val="14"/>
          <w:szCs w:val="14"/>
          <w:color w:val="auto"/>
        </w:rPr>
        <w:t>- In March 2023, the FASB issued ASU 2023-01,</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Leases—Common Control Arrangements (Topic 842)</w:t>
      </w:r>
      <w:r>
        <w:rPr>
          <w:rFonts w:ascii="Times New Roman" w:cs="Times New Roman" w:eastAsia="Times New Roman" w:hAnsi="Times New Roman"/>
          <w:sz w:val="14"/>
          <w:szCs w:val="14"/>
          <w:color w:val="auto"/>
        </w:rPr>
        <w:t>. This ASU provides updated guidance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accounting for common control leases and leasehold improvements. The Company adopted this ASU on January 1, 2024, and it did not have a material impact on its Condensed Consolidated Financial Statements.</w:t>
      </w:r>
    </w:p>
    <w:p>
      <w:pPr>
        <w:spacing w:after="0" w:line="155" w:lineRule="exact"/>
        <w:rPr>
          <w:sz w:val="20"/>
          <w:szCs w:val="20"/>
          <w:color w:val="auto"/>
        </w:rPr>
      </w:pPr>
    </w:p>
    <w:p>
      <w:pPr>
        <w:ind w:right="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Investments - Equity Method and Joint Ventures </w:t>
      </w:r>
      <w:r>
        <w:rPr>
          <w:rFonts w:ascii="Times New Roman" w:cs="Times New Roman" w:eastAsia="Times New Roman" w:hAnsi="Times New Roman"/>
          <w:sz w:val="14"/>
          <w:szCs w:val="14"/>
          <w:color w:val="auto"/>
        </w:rPr>
        <w:t>- In March 2023, the FASB issued ASU 2023-02,</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Investments—Equity Method and Joint Ventures (Topic 323)</w:t>
      </w:r>
      <w:r>
        <w:rPr>
          <w:rFonts w:ascii="Times New Roman" w:cs="Times New Roman" w:eastAsia="Times New Roman" w:hAnsi="Times New Roman"/>
          <w:sz w:val="14"/>
          <w:szCs w:val="14"/>
          <w:color w:val="auto"/>
        </w:rPr>
        <w:t>. This ASU provides updated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guidance for accounting for investments in tax credit structures. The Company adopted this ASU on January 1, 2024, and it did not have a material impact on its Condensed Consolidated Financial Statements.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Accounting Pronouncements Not Yet Adopted as of March 31, 2024</w:t>
      </w:r>
    </w:p>
    <w:p>
      <w:pPr>
        <w:spacing w:after="0" w:line="200" w:lineRule="exact"/>
        <w:rPr>
          <w:sz w:val="20"/>
          <w:szCs w:val="20"/>
          <w:color w:val="auto"/>
        </w:rPr>
      </w:pPr>
    </w:p>
    <w:p>
      <w:pPr>
        <w:ind w:right="4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Business Combinations—Joint Venture Formations </w:t>
      </w:r>
      <w:r>
        <w:rPr>
          <w:rFonts w:ascii="Times New Roman" w:cs="Times New Roman" w:eastAsia="Times New Roman" w:hAnsi="Times New Roman"/>
          <w:sz w:val="14"/>
          <w:szCs w:val="14"/>
          <w:color w:val="auto"/>
        </w:rPr>
        <w:t>- In August 2023, the FASB issued ASU 2023-05,</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Business Combinations—Joint Venture Formations (Subtopic 805-60)</w:t>
      </w:r>
      <w:r>
        <w:rPr>
          <w:rFonts w:ascii="Times New Roman" w:cs="Times New Roman" w:eastAsia="Times New Roman" w:hAnsi="Times New Roman"/>
          <w:sz w:val="14"/>
          <w:szCs w:val="14"/>
          <w:color w:val="auto"/>
        </w:rPr>
        <w:t>. This ASU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provides updated guidance on accounting for the formation of joint ventures. This ASU is effective prospectively for joint ventures formed on or after January 1, 2025. The Company does not expect it to have a material impact on its Condensed Consolidated Financial Statements.</w:t>
      </w:r>
    </w:p>
    <w:p>
      <w:pPr>
        <w:spacing w:after="0" w:line="144" w:lineRule="exact"/>
        <w:rPr>
          <w:sz w:val="20"/>
          <w:szCs w:val="20"/>
          <w:color w:val="auto"/>
        </w:rPr>
      </w:pPr>
    </w:p>
    <w:p>
      <w:pPr>
        <w:ind w:right="160" w:firstLine="509"/>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Segment Reporting </w:t>
      </w:r>
      <w:r>
        <w:rPr>
          <w:rFonts w:ascii="Times New Roman" w:cs="Times New Roman" w:eastAsia="Times New Roman" w:hAnsi="Times New Roman"/>
          <w:sz w:val="14"/>
          <w:szCs w:val="14"/>
          <w:color w:val="auto"/>
        </w:rPr>
        <w:t>- In November 2023, the FASB issued ASU 2023-07,</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Segment Reporting (Topic 280)</w:t>
      </w:r>
      <w:r>
        <w:rPr>
          <w:rFonts w:ascii="Times New Roman" w:cs="Times New Roman" w:eastAsia="Times New Roman" w:hAnsi="Times New Roman"/>
          <w:sz w:val="14"/>
          <w:szCs w:val="14"/>
          <w:color w:val="auto"/>
        </w:rPr>
        <w:t>. This ASU requires incremental disclosures related to a public entity’s reportable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segments. It aims to provide financial statement users with more disaggregated information, specifically, significant expenses for each reportable segment. This ASU is effective for fiscal years beginning after December 15, 2023 and for interim periods within fiscal years beginning after December 15, 2024. The Company does not expect it to have a material impact on its Condensed Consolidated Financial Statements and related disclosures.</w:t>
      </w:r>
    </w:p>
    <w:p>
      <w:pPr>
        <w:spacing w:after="0" w:line="162" w:lineRule="exact"/>
        <w:rPr>
          <w:sz w:val="20"/>
          <w:szCs w:val="20"/>
          <w:color w:val="auto"/>
        </w:rPr>
      </w:pPr>
    </w:p>
    <w:p>
      <w:pPr>
        <w:ind w:right="40" w:firstLine="509"/>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Intangibles—Goodwill and Other—Crypto Assets </w:t>
      </w:r>
      <w:r>
        <w:rPr>
          <w:rFonts w:ascii="Times New Roman" w:cs="Times New Roman" w:eastAsia="Times New Roman" w:hAnsi="Times New Roman"/>
          <w:sz w:val="14"/>
          <w:szCs w:val="14"/>
          <w:color w:val="auto"/>
        </w:rPr>
        <w:t>- In December 2023, the FASB issued ASU 2023-08,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Intangibles—Goodwill and Other—Crypto Assets (Subtopic 350-60)</w:t>
      </w:r>
      <w:r>
        <w:rPr>
          <w:rFonts w:ascii="Times New Roman" w:cs="Times New Roman" w:eastAsia="Times New Roman" w:hAnsi="Times New Roman"/>
          <w:sz w:val="14"/>
          <w:szCs w:val="14"/>
          <w:color w:val="auto"/>
        </w:rPr>
        <w:t>. This ASU</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requires measurement of in-scope crypto assets at fair value and provides updated guidance on presentation and disclosure requirements for crypto assets. This ASU is effective for periods beginning after December 15, 2024. The Company is currently evaluating the impact of this ASU on its Condensed Consolidated Financial Statements and related disclosures, and will adopt the disclosure requirements for the periods beginning after December 15, 2024.</w:t>
      </w:r>
    </w:p>
    <w:p>
      <w:pPr>
        <w:spacing w:after="0" w:line="17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Income Taxes </w:t>
      </w:r>
      <w:r>
        <w:rPr>
          <w:rFonts w:ascii="Times New Roman" w:cs="Times New Roman" w:eastAsia="Times New Roman" w:hAnsi="Times New Roman"/>
          <w:sz w:val="14"/>
          <w:szCs w:val="14"/>
          <w:color w:val="auto"/>
        </w:rPr>
        <w:t>- In December 2023, the FASB issued ASU 2023-09,</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i w:val="1"/>
          <w:iCs w:val="1"/>
          <w:color w:val="auto"/>
        </w:rPr>
        <w:t>Income Taxes (Topic 740)</w:t>
      </w:r>
      <w:r>
        <w:rPr>
          <w:rFonts w:ascii="Times New Roman" w:cs="Times New Roman" w:eastAsia="Times New Roman" w:hAnsi="Times New Roman"/>
          <w:sz w:val="14"/>
          <w:szCs w:val="14"/>
          <w:color w:val="auto"/>
        </w:rPr>
        <w:t>. This ASU requires disclosure of additional information on effective tax rate reconciliation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income taxes paid. This ASU is effective for periods beginning after December 15, 2024. The Company is currently evaluating the impact of this ASU but does not expect it to have a material impact on its Condensed Consolidated Financial Statements and related disclosures.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3. Earnings per Share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below table contains a reconciliation of Net income before income taxes and noncontrolling interest to Net income available for common stockholders:</w:t>
      </w:r>
    </w:p>
    <w:p>
      <w:pPr>
        <w:spacing w:after="0" w:line="36"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139,820</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134,765</w:t>
            </w:r>
          </w:p>
        </w:tc>
      </w:tr>
      <w:tr>
        <w:trPr>
          <w:trHeight w:val="153"/>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28,512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24,682</w:t>
            </w:r>
          </w:p>
        </w:tc>
      </w:tr>
      <w:tr>
        <w:trPr>
          <w:trHeight w:val="15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111,308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110,083</w:t>
            </w:r>
          </w:p>
        </w:tc>
      </w:tr>
      <w:tr>
        <w:trPr>
          <w:trHeight w:val="170"/>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59"/>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Noncontrolling interest</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(55,491)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(52,202)</w:t>
            </w:r>
          </w:p>
        </w:tc>
      </w:tr>
      <w:tr>
        <w:trPr>
          <w:trHeight w:val="170"/>
        </w:trPr>
        <w:tc>
          <w:tcPr>
            <w:tcW w:w="6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75"/>
        </w:trPr>
        <w:tc>
          <w:tcPr>
            <w:tcW w:w="6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 available for common stockholders</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55,817</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57,881</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calculation of basic and diluted earnings per share is presented below:</w:t>
      </w:r>
    </w:p>
    <w:p>
      <w:pPr>
        <w:spacing w:after="0" w:line="36" w:lineRule="exact"/>
        <w:rPr>
          <w:sz w:val="20"/>
          <w:szCs w:val="20"/>
          <w:color w:val="auto"/>
        </w:rPr>
      </w:pPr>
    </w:p>
    <w:tbl>
      <w:tblPr>
        <w:tblLayout w:type="fixed"/>
        <w:tblInd w:w="134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220" w:type="dxa"/>
            <w:vAlign w:val="bottom"/>
            <w:tcBorders>
              <w:bottom w:val="single" w:sz="8" w:color="auto"/>
            </w:tcBorders>
            <w:gridSpan w:val="4"/>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for share or per share data)</w:t>
            </w: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 earnings per share:</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5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income available for common stockholders</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55,817</w:t>
            </w:r>
          </w:p>
        </w:tc>
        <w:tc>
          <w:tcPr>
            <w:tcW w:w="100" w:type="dxa"/>
            <w:vAlign w:val="bottom"/>
          </w:tcPr>
          <w:p>
            <w:pPr>
              <w:spacing w:after="0"/>
              <w:rPr>
                <w:sz w:val="13"/>
                <w:szCs w:val="13"/>
                <w:color w:val="auto"/>
              </w:rPr>
            </w:pP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57,881</w:t>
            </w:r>
          </w:p>
        </w:tc>
      </w:tr>
      <w:tr>
        <w:trPr>
          <w:trHeight w:val="165"/>
        </w:trPr>
        <w:tc>
          <w:tcPr>
            <w:tcW w:w="6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Dividends and undistributed earnings allocated to participating securities</w:t>
            </w:r>
          </w:p>
        </w:tc>
        <w:tc>
          <w:tcPr>
            <w:tcW w:w="26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(3,073)</w:t>
            </w:r>
          </w:p>
        </w:tc>
        <w:tc>
          <w:tcPr>
            <w:tcW w:w="10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(2,677)</w:t>
            </w:r>
          </w:p>
        </w:tc>
      </w:tr>
      <w:tr>
        <w:trPr>
          <w:trHeight w:val="144"/>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income available for common stockholders, net of dividends and undistributed earnings allocated to participating securities</w:t>
            </w:r>
          </w:p>
        </w:tc>
        <w:tc>
          <w:tcPr>
            <w:tcW w:w="26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52,744</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55,204</w:t>
            </w:r>
          </w:p>
        </w:tc>
      </w:tr>
      <w:tr>
        <w:trPr>
          <w:trHeight w:val="176"/>
        </w:trPr>
        <w:tc>
          <w:tcPr>
            <w:tcW w:w="6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3"/>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Weighted average shares of common stock outstanding:</w:t>
            </w: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61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Class A</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88,999,122</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97,795,957</w:t>
            </w:r>
          </w:p>
        </w:tc>
      </w:tr>
      <w:tr>
        <w:trPr>
          <w:trHeight w:val="170"/>
        </w:trPr>
        <w:tc>
          <w:tcPr>
            <w:tcW w:w="60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r>
      <w:tr>
        <w:trPr>
          <w:trHeight w:val="169"/>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 earnings per share</w:t>
            </w: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0.59</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0.56</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tbl>
      <w:tblPr>
        <w:tblLayout w:type="fixed"/>
        <w:tblInd w:w="1380" w:type="dxa"/>
        <w:tblCellMar>
          <w:top w:w="0" w:type="dxa"/>
          <w:left w:w="0" w:type="dxa"/>
          <w:bottom w:w="0" w:type="dxa"/>
          <w:right w:w="0" w:type="dxa"/>
        </w:tblCellMar>
      </w:tblPr>
      <w:tr>
        <w:trPr>
          <w:trHeight w:val="158"/>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 except for share or per share data)</w:t>
            </w:r>
          </w:p>
        </w:tc>
        <w:tc>
          <w:tcPr>
            <w:tcW w:w="260" w:type="dxa"/>
            <w:vAlign w:val="bottom"/>
          </w:tcPr>
          <w:p>
            <w:pPr>
              <w:spacing w:after="0"/>
              <w:rPr>
                <w:sz w:val="13"/>
                <w:szCs w:val="13"/>
                <w:color w:val="auto"/>
              </w:rPr>
            </w:pPr>
          </w:p>
        </w:tc>
        <w:tc>
          <w:tcPr>
            <w:tcW w:w="88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6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Diluted earnings per share:</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r>
      <w:tr>
        <w:trPr>
          <w:trHeight w:val="153"/>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available for common stockholders, net of dividends and undistributed earnings allocated to participating securities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52,744</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55,204</w:t>
            </w:r>
          </w:p>
        </w:tc>
      </w:tr>
      <w:tr>
        <w:trPr>
          <w:trHeight w:val="176"/>
        </w:trPr>
        <w:tc>
          <w:tcPr>
            <w:tcW w:w="6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153"/>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 average shares of common stock outstanding:</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65"/>
        </w:trPr>
        <w:tc>
          <w:tcPr>
            <w:tcW w:w="61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Class A</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53"/>
        </w:trPr>
        <w:tc>
          <w:tcPr>
            <w:tcW w:w="612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Issued and outstanding</w:t>
            </w:r>
          </w:p>
        </w:tc>
        <w:tc>
          <w:tcPr>
            <w:tcW w:w="260" w:type="dxa"/>
            <w:vAlign w:val="bottom"/>
          </w:tcPr>
          <w:p>
            <w:pPr>
              <w:spacing w:after="0"/>
              <w:rPr>
                <w:sz w:val="13"/>
                <w:szCs w:val="13"/>
                <w:color w:val="auto"/>
              </w:rPr>
            </w:pP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88,999,122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97,795,957</w:t>
            </w:r>
          </w:p>
        </w:tc>
      </w:tr>
      <w:tr>
        <w:trPr>
          <w:trHeight w:val="159"/>
        </w:trPr>
        <w:tc>
          <w:tcPr>
            <w:tcW w:w="61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Issuable pursuant to Amended and Restated 2015 Management Incentive Plan</w:t>
            </w:r>
          </w:p>
        </w:tc>
        <w:tc>
          <w:tcPr>
            <w:tcW w:w="26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17,734</w:t>
            </w:r>
          </w:p>
        </w:tc>
      </w:tr>
      <w:tr>
        <w:trPr>
          <w:trHeight w:val="150"/>
        </w:trPr>
        <w:tc>
          <w:tcPr>
            <w:tcW w:w="6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88,999,122</w:t>
            </w: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97,813,691</w:t>
            </w:r>
          </w:p>
        </w:tc>
      </w:tr>
      <w:tr>
        <w:trPr>
          <w:trHeight w:val="176"/>
        </w:trPr>
        <w:tc>
          <w:tcPr>
            <w:tcW w:w="6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r>
      <w:tr>
        <w:trPr>
          <w:trHeight w:val="144"/>
        </w:trPr>
        <w:tc>
          <w:tcPr>
            <w:tcW w:w="61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Diluted earnings per share (1)</w:t>
            </w:r>
          </w:p>
        </w:tc>
        <w:tc>
          <w:tcPr>
            <w:tcW w:w="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0.59</w:t>
            </w:r>
          </w:p>
        </w:tc>
        <w:tc>
          <w:tcPr>
            <w:tcW w:w="10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0.56</w:t>
            </w:r>
          </w:p>
        </w:tc>
      </w:tr>
      <w:tr>
        <w:trPr>
          <w:trHeight w:val="20"/>
        </w:trPr>
        <w:tc>
          <w:tcPr>
            <w:tcW w:w="6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7"/>
        </w:trPr>
        <w:tc>
          <w:tcPr>
            <w:tcW w:w="6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bl>
    <w:p>
      <w:pPr>
        <w:ind w:left="1380" w:right="279" w:firstLine="2"/>
        <w:spacing w:after="0" w:line="233" w:lineRule="auto"/>
        <w:tabs>
          <w:tab w:leader="none" w:pos="1540" w:val="left"/>
        </w:tabs>
        <w:numPr>
          <w:ilvl w:val="0"/>
          <w:numId w:val="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Excluded from the computation of diluted Earnings per share were 45,814 unexercised stock options for the three months ended March 31, 2024 because inclusion of the options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1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color w:val="auto"/>
        </w:rPr>
        <w:t>4. Tax Receivable Agreements</w:t>
      </w:r>
    </w:p>
    <w:p>
      <w:pPr>
        <w:spacing w:after="0" w:line="191" w:lineRule="exact"/>
        <w:rPr>
          <w:sz w:val="20"/>
          <w:szCs w:val="20"/>
          <w:color w:val="auto"/>
        </w:rPr>
      </w:pPr>
    </w:p>
    <w:p>
      <w:pPr>
        <w:ind w:right="180" w:firstLine="509"/>
        <w:spacing w:after="0" w:line="271" w:lineRule="auto"/>
        <w:rPr>
          <w:sz w:val="20"/>
          <w:szCs w:val="20"/>
          <w:color w:val="auto"/>
        </w:rPr>
      </w:pPr>
      <w:r>
        <w:rPr>
          <w:rFonts w:ascii="Times New Roman" w:cs="Times New Roman" w:eastAsia="Times New Roman" w:hAnsi="Times New Roman"/>
          <w:sz w:val="14"/>
          <w:szCs w:val="14"/>
          <w:color w:val="auto"/>
        </w:rPr>
        <w:t>For a detailed discussion of the Company's tax receivable agreements, see Note 4 “Tax Receivable Agreements” in our consolidated financial statements included in Part II, Item 8 of our Annual Report on Form 10-K for the year ended December 31, 2023.</w:t>
      </w:r>
    </w:p>
    <w:p>
      <w:pPr>
        <w:spacing w:after="0" w:line="15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For the purposes of the tax receivable agreements discussed above, the cash savings realized by the Company are computed by comparing the actual income tax liability of the Company to the amount of such taxes the Company would have been required to pay had there been (i) no increase to the tax basis of the assets of Virtu Financial as a result of the purchase or exchange of Virtu Financial Units, (ii) no tax benefit from the tax basis in the intangible assets of Virtu Financial on the date of the IPO and (iii) no tax benefit as a result of the Net Operating Losses (“NOLs”) and other tax attributes of Virtu Financial. Subsequent adjustments of the tax receivable agreements obligations due to certain events (e.g., changes to the expected realization of NOLs or changes in tax rates) will be recognized within income before taxes and noncontrolling interests in the Condensed Consolidated Statements of Comprehensive Income.</w:t>
      </w:r>
    </w:p>
    <w:p>
      <w:pPr>
        <w:spacing w:after="0" w:line="164"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Company made its first payment of $7.0 million in February 2017, and subsequent payments of $12.4 million in September 2018, $13.3 million in March 2020, $16.5 million in April 2021, $21.3 million in March 2022, $23.3 million in April 2023, and $20.2 million in March 2024. Tax receivable payments are expected to range from approximately $0.1 million to $22.0 million per year over the next 15 years.</w:t>
      </w:r>
    </w:p>
    <w:p>
      <w:pPr>
        <w:spacing w:after="0" w:line="15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4"/>
          <w:szCs w:val="14"/>
          <w:color w:val="auto"/>
        </w:rPr>
        <w:t>At March 31, 2024 and December 31, 2023, the Company’s remaining deferred tax assets that relate to the matters described above were approximately $130.2 million and $135.7 million, respectively, and the Company’s liabilities over the next 15 years pursuant to the tax receivable agreements were approximately $196.3 million and $216.5 million for March 31, 2024 and December 31, 2023, respectively. The amounts recorded as of March 31, 2024 and December 31, 2023 are based on best estimates available at the respective dates and may be subject to change after the filing of the Company’s U.S. federal and state income tax returns for the years in which tax savings were realized.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202"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has two operating segments: (i) Market Making; and (ii) Execution Services; and one non-operating segment: Corporate. As of March 31, 2024 and December 31, 2023, the Company’s total amount of goodwill recorded was $1,148.9 million. No goodwill impairment was recognized during the three months ended March 31, 2024 and 2023.</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details of goodwill by segment as of March 31, 2024 and December 31, 2023:</w:t>
      </w:r>
    </w:p>
    <w:p>
      <w:pPr>
        <w:spacing w:after="0" w:line="36" w:lineRule="exact"/>
        <w:rPr>
          <w:sz w:val="20"/>
          <w:szCs w:val="20"/>
          <w:color w:val="auto"/>
        </w:rPr>
      </w:pPr>
    </w:p>
    <w:tbl>
      <w:tblPr>
        <w:tblLayout w:type="fixed"/>
        <w:tblInd w:w="280" w:type="dxa"/>
        <w:tblCellMar>
          <w:top w:w="0" w:type="dxa"/>
          <w:left w:w="0" w:type="dxa"/>
          <w:bottom w:w="0" w:type="dxa"/>
          <w:right w:w="0" w:type="dxa"/>
        </w:tblCellMar>
      </w:tblPr>
      <w:tr>
        <w:trPr>
          <w:trHeight w:val="158"/>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84"/>
        </w:trPr>
        <w:tc>
          <w:tcPr>
            <w:tcW w:w="5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Balance as of period-end</w:t>
            </w: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755,292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393,634</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23"/>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1,148,926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jc w:val="both"/>
        <w:ind w:right="220" w:firstLine="509"/>
        <w:spacing w:after="0" w:line="287" w:lineRule="auto"/>
        <w:rPr>
          <w:sz w:val="20"/>
          <w:szCs w:val="20"/>
          <w:color w:val="auto"/>
        </w:rPr>
      </w:pPr>
      <w:r>
        <w:rPr>
          <w:rFonts w:ascii="Times New Roman" w:cs="Times New Roman" w:eastAsia="Times New Roman" w:hAnsi="Times New Roman"/>
          <w:sz w:val="14"/>
          <w:szCs w:val="14"/>
          <w:color w:val="auto"/>
        </w:rPr>
        <w:t>As of March 31, 2024 and December 31, 2023, the Company's total amount of intangible assets recorded was $242.8 million and $257.5 million, respectively. Acquired intangible assets consisted of the following as of March 31, 2024 and December 31, 2023:</w:t>
      </w:r>
    </w:p>
    <w:p>
      <w:pPr>
        <w:spacing w:after="0" w:line="67" w:lineRule="exact"/>
        <w:rPr>
          <w:sz w:val="20"/>
          <w:szCs w:val="20"/>
          <w:color w:val="auto"/>
        </w:rPr>
      </w:pPr>
    </w:p>
    <w:tbl>
      <w:tblPr>
        <w:tblLayout w:type="fixed"/>
        <w:tblInd w:w="26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As of March 31, 2024</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180" w:type="dxa"/>
            <w:vAlign w:val="bottom"/>
          </w:tcPr>
          <w:p>
            <w:pPr>
              <w:spacing w:after="0"/>
              <w:rPr>
                <w:sz w:val="9"/>
                <w:szCs w:val="9"/>
                <w:color w:val="auto"/>
              </w:rPr>
            </w:pPr>
          </w:p>
        </w:tc>
        <w:tc>
          <w:tcPr>
            <w:tcW w:w="1200" w:type="dxa"/>
            <w:vAlign w:val="bottom"/>
            <w:gridSpan w:val="2"/>
          </w:tcPr>
          <w:p>
            <w:pPr>
              <w:jc w:val="center"/>
              <w:ind w:right="30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118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Useful Lives</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40" w:type="dxa"/>
            <w:vAlign w:val="bottom"/>
            <w:gridSpan w:val="2"/>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Customer relationships</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486,600</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(249,791)</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236,809</w:t>
            </w: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0"/>
              </w:rPr>
              <w:t>10</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Borders>
              <w:top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12</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Technology</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136,000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(136,000)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color w:val="auto"/>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Favorable occupancy leases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5,895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(5,369)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526</w:t>
            </w:r>
          </w:p>
        </w:tc>
        <w:tc>
          <w:tcPr>
            <w:tcW w:w="54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15</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Exchange memberships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Trade name</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ETF issuer relationships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ETF buyer relationships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w:t>
            </w:r>
          </w:p>
        </w:tc>
        <w:tc>
          <w:tcPr>
            <w:tcW w:w="4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tcPr>
          <w:p>
            <w:pPr>
              <w:spacing w:after="0"/>
              <w:rPr>
                <w:sz w:val="13"/>
                <w:szCs w:val="13"/>
                <w:color w:val="auto"/>
              </w:rPr>
            </w:pP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639,493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(396,660)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242,833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812" w:right="399" w:bottom="1440" w:gutter="0" w:footer="0" w:header="0"/>
        </w:sectPr>
      </w:pPr>
    </w:p>
    <w:bookmarkStart w:id="13" w:name="page14"/>
    <w:bookmarkEnd w:id="13"/>
    <w:tbl>
      <w:tblPr>
        <w:tblLayout w:type="fixed"/>
        <w:tblInd w:w="260" w:type="dxa"/>
        <w:tblCellMar>
          <w:top w:w="0" w:type="dxa"/>
          <w:left w:w="0" w:type="dxa"/>
          <w:bottom w:w="0" w:type="dxa"/>
          <w:right w:w="0" w:type="dxa"/>
        </w:tblCellMar>
      </w:tblPr>
      <w:tr>
        <w:trPr>
          <w:trHeight w:val="158"/>
        </w:trPr>
        <w:tc>
          <w:tcPr>
            <w:tcW w:w="4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4"/>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As of December 31, 2023</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50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Gross Carrying Amount</w:t>
            </w:r>
          </w:p>
        </w:tc>
        <w:tc>
          <w:tcPr>
            <w:tcW w:w="200" w:type="dxa"/>
            <w:vAlign w:val="bottom"/>
          </w:tcPr>
          <w:p>
            <w:pPr>
              <w:spacing w:after="0"/>
              <w:rPr>
                <w:sz w:val="9"/>
                <w:szCs w:val="9"/>
                <w:color w:val="auto"/>
              </w:rPr>
            </w:pPr>
          </w:p>
        </w:tc>
        <w:tc>
          <w:tcPr>
            <w:tcW w:w="1180" w:type="dxa"/>
            <w:vAlign w:val="bottom"/>
            <w:gridSpan w:val="2"/>
          </w:tcPr>
          <w:p>
            <w:pPr>
              <w:ind w:left="100"/>
              <w:spacing w:after="0" w:line="108"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118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Net Carrying Amount</w:t>
            </w: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Useful Lives</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5040" w:type="dxa"/>
            <w:vAlign w:val="bottom"/>
            <w:gridSpan w:val="2"/>
            <w:vMerge w:val="continue"/>
          </w:tcPr>
          <w:p>
            <w:pPr>
              <w:spacing w:after="0"/>
              <w:rPr>
                <w:sz w:val="13"/>
                <w:szCs w:val="13"/>
                <w:color w:val="auto"/>
              </w:rPr>
            </w:pPr>
          </w:p>
        </w:tc>
        <w:tc>
          <w:tcPr>
            <w:tcW w:w="13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Customer relationships</w:t>
            </w:r>
          </w:p>
        </w:tc>
        <w:tc>
          <w:tcPr>
            <w:tcW w:w="8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486,600</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(237,829)</w:t>
            </w:r>
          </w:p>
        </w:tc>
        <w:tc>
          <w:tcPr>
            <w:tcW w:w="1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248,771</w:t>
            </w: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w w:val="90"/>
              </w:rPr>
              <w:t>10</w:t>
            </w: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Borders>
              <w:top w:val="single" w:sz="8" w:color="auto"/>
            </w:tcBorders>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12</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Technology</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136,000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(133,467)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2,533</w:t>
            </w:r>
          </w:p>
        </w:tc>
        <w:tc>
          <w:tcPr>
            <w:tcW w:w="540" w:type="dxa"/>
            <w:vAlign w:val="bottom"/>
            <w:gridSpan w:val="2"/>
          </w:tcPr>
          <w:p>
            <w:pPr>
              <w:jc w:val="center"/>
              <w:ind w:left="183"/>
              <w:spacing w:after="0"/>
              <w:rPr>
                <w:sz w:val="20"/>
                <w:szCs w:val="20"/>
                <w:color w:val="auto"/>
              </w:rPr>
            </w:pPr>
            <w:r>
              <w:rPr>
                <w:rFonts w:ascii="Times New Roman" w:cs="Times New Roman" w:eastAsia="Times New Roman" w:hAnsi="Times New Roman"/>
                <w:sz w:val="11"/>
                <w:szCs w:val="11"/>
                <w:color w:val="auto"/>
              </w:rPr>
              <w:t>1</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tcPr>
          <w:p>
            <w:pPr>
              <w:jc w:val="center"/>
              <w:ind w:right="63"/>
              <w:spacing w:after="0"/>
              <w:rPr>
                <w:sz w:val="20"/>
                <w:szCs w:val="20"/>
                <w:color w:val="auto"/>
              </w:rPr>
            </w:pPr>
            <w:r>
              <w:rPr>
                <w:rFonts w:ascii="Times New Roman" w:cs="Times New Roman" w:eastAsia="Times New Roman" w:hAnsi="Times New Roman"/>
                <w:sz w:val="11"/>
                <w:szCs w:val="11"/>
                <w:color w:val="auto"/>
              </w:rPr>
              <w:t>6</w:t>
            </w: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Favorable occupancy leases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5,895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(5,177)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718</w:t>
            </w:r>
          </w:p>
        </w:tc>
        <w:tc>
          <w:tcPr>
            <w:tcW w:w="540" w:type="dxa"/>
            <w:vAlign w:val="bottom"/>
            <w:gridSpan w:val="2"/>
            <w:shd w:val="clear" w:color="auto" w:fill="CCEEFF"/>
          </w:tcPr>
          <w:p>
            <w:pPr>
              <w:jc w:val="center"/>
              <w:ind w:left="183"/>
              <w:spacing w:after="0"/>
              <w:rPr>
                <w:sz w:val="20"/>
                <w:szCs w:val="20"/>
                <w:color w:val="auto"/>
              </w:rPr>
            </w:pPr>
            <w:r>
              <w:rPr>
                <w:rFonts w:ascii="Times New Roman" w:cs="Times New Roman" w:eastAsia="Times New Roman" w:hAnsi="Times New Roman"/>
                <w:sz w:val="11"/>
                <w:szCs w:val="11"/>
                <w:color w:val="auto"/>
              </w:rPr>
              <w:t>3</w:t>
            </w: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2"/>
              </w:rPr>
              <w:t>to</w:t>
            </w:r>
          </w:p>
        </w:tc>
        <w:tc>
          <w:tcPr>
            <w:tcW w:w="420" w:type="dxa"/>
            <w:vAlign w:val="bottom"/>
            <w:shd w:val="clear" w:color="auto" w:fill="CCEEFF"/>
          </w:tcPr>
          <w:p>
            <w:pPr>
              <w:jc w:val="center"/>
              <w:ind w:right="63"/>
              <w:spacing w:after="0"/>
              <w:rPr>
                <w:sz w:val="20"/>
                <w:szCs w:val="20"/>
                <w:color w:val="auto"/>
              </w:rPr>
            </w:pPr>
            <w:r>
              <w:rPr>
                <w:rFonts w:ascii="Times New Roman" w:cs="Times New Roman" w:eastAsia="Times New Roman" w:hAnsi="Times New Roman"/>
                <w:sz w:val="11"/>
                <w:szCs w:val="11"/>
                <w:color w:val="auto"/>
                <w:w w:val="90"/>
              </w:rPr>
              <w:t>15</w:t>
            </w: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Exchange memberships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3,998</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Trade name</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3</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ETF issuer relationships</w:t>
            </w:r>
          </w:p>
        </w:tc>
        <w:tc>
          <w:tcPr>
            <w:tcW w:w="460" w:type="dxa"/>
            <w:vAlign w:val="bottom"/>
          </w:tcPr>
          <w:p>
            <w:pPr>
              <w:spacing w:after="0"/>
              <w:rPr>
                <w:sz w:val="13"/>
                <w:szCs w:val="13"/>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ETF buyer relationships</w:t>
            </w: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9</w:t>
            </w:r>
          </w:p>
        </w:tc>
        <w:tc>
          <w:tcPr>
            <w:tcW w:w="4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Other</w:t>
            </w:r>
          </w:p>
        </w:tc>
        <w:tc>
          <w:tcPr>
            <w:tcW w:w="460" w:type="dxa"/>
            <w:vAlign w:val="bottom"/>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Indefinite</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9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639,493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(381,973)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257,520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76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Amortization expense relating to finite-lived intangible assets was approximately $14.7 million and $16.0 million for the three months ended March 31, 2024 and 2023, respectively. This is included in Amortization of purchased intangibles and acquired capitalized software in the accompanying Condensed Consolidated Statements of Comprehensive Income.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expects to record amortization expense as follows over the next five subsequent years:</w:t>
      </w:r>
    </w:p>
    <w:p>
      <w:pPr>
        <w:spacing w:after="0" w:line="227" w:lineRule="exact"/>
        <w:rPr>
          <w:sz w:val="20"/>
          <w:szCs w:val="20"/>
          <w:color w:val="auto"/>
        </w:rPr>
      </w:pPr>
    </w:p>
    <w:tbl>
      <w:tblPr>
        <w:tblLayout w:type="fixed"/>
        <w:tblInd w:w="3420" w:type="dxa"/>
        <w:tblCellMar>
          <w:top w:w="0" w:type="dxa"/>
          <w:left w:w="0" w:type="dxa"/>
          <w:bottom w:w="0" w:type="dxa"/>
          <w:right w:w="0" w:type="dxa"/>
        </w:tblCellMar>
      </w:tblPr>
      <w:tr>
        <w:trPr>
          <w:trHeight w:val="158"/>
        </w:trPr>
        <w:tc>
          <w:tcPr>
            <w:tcW w:w="166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76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9"/>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Remainder of 2024</w:t>
            </w:r>
          </w:p>
        </w:tc>
        <w:tc>
          <w:tcPr>
            <w:tcW w:w="17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36,158</w:t>
            </w:r>
          </w:p>
        </w:tc>
      </w:tr>
      <w:tr>
        <w:trPr>
          <w:trHeight w:val="153"/>
        </w:trPr>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2025</w:t>
            </w:r>
          </w:p>
        </w:tc>
        <w:tc>
          <w:tcPr>
            <w:tcW w:w="176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47,879</w:t>
            </w:r>
          </w:p>
        </w:tc>
      </w:tr>
      <w:tr>
        <w:trPr>
          <w:trHeight w:val="165"/>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2026</w:t>
            </w:r>
          </w:p>
        </w:tc>
        <w:tc>
          <w:tcPr>
            <w:tcW w:w="17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47,879</w:t>
            </w:r>
          </w:p>
        </w:tc>
      </w:tr>
      <w:tr>
        <w:trPr>
          <w:trHeight w:val="153"/>
        </w:trPr>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2027</w:t>
            </w:r>
          </w:p>
        </w:tc>
        <w:tc>
          <w:tcPr>
            <w:tcW w:w="176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47,879</w:t>
            </w:r>
          </w:p>
        </w:tc>
      </w:tr>
      <w:tr>
        <w:trPr>
          <w:trHeight w:val="165"/>
        </w:trPr>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2028</w:t>
            </w:r>
          </w:p>
        </w:tc>
        <w:tc>
          <w:tcPr>
            <w:tcW w:w="176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47,879</w:t>
            </w:r>
          </w:p>
        </w:tc>
      </w:tr>
      <w:tr>
        <w:trPr>
          <w:trHeight w:val="147"/>
        </w:trPr>
        <w:tc>
          <w:tcPr>
            <w:tcW w:w="1660" w:type="dxa"/>
            <w:vAlign w:val="bottom"/>
          </w:tcPr>
          <w:p>
            <w:pPr>
              <w:spacing w:after="0"/>
              <w:rPr>
                <w:sz w:val="20"/>
                <w:szCs w:val="20"/>
                <w:color w:val="auto"/>
              </w:rPr>
            </w:pPr>
            <w:r>
              <w:rPr>
                <w:rFonts w:ascii="Times New Roman" w:cs="Times New Roman" w:eastAsia="Times New Roman" w:hAnsi="Times New Roman"/>
                <w:sz w:val="11"/>
                <w:szCs w:val="11"/>
                <w:color w:val="auto"/>
              </w:rPr>
              <w:t>2029</w:t>
            </w:r>
          </w:p>
        </w:tc>
        <w:tc>
          <w:tcPr>
            <w:tcW w:w="1760" w:type="dxa"/>
            <w:vAlign w:val="bottom"/>
          </w:tcPr>
          <w:p>
            <w:pPr>
              <w:spacing w:after="0"/>
              <w:rPr>
                <w:sz w:val="12"/>
                <w:szCs w:val="12"/>
                <w:color w:val="auto"/>
              </w:rPr>
            </w:pPr>
          </w:p>
        </w:tc>
        <w:tc>
          <w:tcPr>
            <w:tcW w:w="13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9,590</w:t>
            </w:r>
          </w:p>
        </w:tc>
      </w:tr>
    </w:tbl>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757" w:right="4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6. Receivables from/Payables to Broker-Dealers and Clearing Organizations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is a summary of receivables from and payables to brokers-dealers and clearing organizations at March 31, 2024 and December 31, 2023:</w:t>
      </w:r>
    </w:p>
    <w:p>
      <w:pPr>
        <w:spacing w:after="0" w:line="206" w:lineRule="exact"/>
        <w:rPr>
          <w:sz w:val="20"/>
          <w:szCs w:val="20"/>
          <w:color w:val="auto"/>
        </w:rPr>
      </w:pPr>
    </w:p>
    <w:tbl>
      <w:tblPr>
        <w:tblLayout w:type="fixed"/>
        <w:tblInd w:w="280" w:type="dxa"/>
        <w:tblCellMar>
          <w:top w:w="0" w:type="dxa"/>
          <w:left w:w="0" w:type="dxa"/>
          <w:bottom w:w="0" w:type="dxa"/>
          <w:right w:w="0" w:type="dxa"/>
        </w:tblCellMar>
      </w:tblPr>
      <w:tr>
        <w:trPr>
          <w:trHeight w:val="158"/>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60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60" w:type="dxa"/>
            <w:vAlign w:val="bottom"/>
          </w:tcPr>
          <w:p>
            <w:pPr>
              <w:spacing w:after="0"/>
              <w:rPr>
                <w:sz w:val="13"/>
                <w:szCs w:val="13"/>
                <w:color w:val="auto"/>
              </w:rPr>
            </w:pPr>
          </w:p>
        </w:tc>
        <w:tc>
          <w:tcPr>
            <w:tcW w:w="1540" w:type="dxa"/>
            <w:vAlign w:val="bottom"/>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6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Due from prime brokers</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410,153</w:t>
            </w:r>
          </w:p>
        </w:tc>
        <w:tc>
          <w:tcPr>
            <w:tcW w:w="10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208,639</w:t>
            </w:r>
          </w:p>
        </w:tc>
      </w:tr>
      <w:tr>
        <w:trPr>
          <w:trHeight w:val="165"/>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Deposits with clearing organizations</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214,545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182,008</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equity with futures commission merchants</w:t>
            </w:r>
          </w:p>
        </w:tc>
        <w:tc>
          <w:tcPr>
            <w:tcW w:w="30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174,447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166,808</w:t>
            </w:r>
          </w:p>
        </w:tc>
      </w:tr>
      <w:tr>
        <w:trPr>
          <w:trHeight w:val="165"/>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Unsettled trades with clearing organizations</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238,272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1,096</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failed to deliver</w:t>
            </w:r>
          </w:p>
        </w:tc>
        <w:tc>
          <w:tcPr>
            <w:tcW w:w="30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203,287</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148,822</w:t>
            </w:r>
          </w:p>
        </w:tc>
      </w:tr>
      <w:tr>
        <w:trPr>
          <w:trHeight w:val="15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Commissions and fees</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29,700</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30,351</w:t>
            </w:r>
          </w:p>
        </w:tc>
      </w:tr>
      <w:tr>
        <w:trPr>
          <w:trHeight w:val="156"/>
        </w:trPr>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receivables from broker-dealers and clearing organizations</w:t>
            </w: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1,270,404</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737,724</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1"/>
        </w:trPr>
        <w:tc>
          <w:tcPr>
            <w:tcW w:w="6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r>
      <w:tr>
        <w:trPr>
          <w:trHeight w:val="154"/>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3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4"/>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Due to prime brokers</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405,151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780,310</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equity with futures commission merchants (1)</w:t>
            </w:r>
          </w:p>
        </w:tc>
        <w:tc>
          <w:tcPr>
            <w:tcW w:w="30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(35,420)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(36,059)</w:t>
            </w:r>
          </w:p>
        </w:tc>
      </w:tr>
      <w:tr>
        <w:trPr>
          <w:trHeight w:val="165"/>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Unsettled trades with clearing organizations</w:t>
            </w:r>
          </w:p>
        </w:tc>
        <w:tc>
          <w:tcPr>
            <w:tcW w:w="3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313,875</w:t>
            </w:r>
          </w:p>
        </w:tc>
      </w:tr>
      <w:tr>
        <w:trPr>
          <w:trHeight w:val="153"/>
        </w:trPr>
        <w:tc>
          <w:tcPr>
            <w:tcW w:w="70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Securities failed to receive</w:t>
            </w:r>
          </w:p>
        </w:tc>
        <w:tc>
          <w:tcPr>
            <w:tcW w:w="300" w:type="dxa"/>
            <w:vAlign w:val="bottom"/>
          </w:tcPr>
          <w:p>
            <w:pPr>
              <w:spacing w:after="0"/>
              <w:rPr>
                <w:sz w:val="13"/>
                <w:szCs w:val="13"/>
                <w:color w:val="auto"/>
              </w:rPr>
            </w:pPr>
          </w:p>
        </w:tc>
        <w:tc>
          <w:tcPr>
            <w:tcW w:w="15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97,328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104,702</w:t>
            </w:r>
          </w:p>
        </w:tc>
      </w:tr>
      <w:tr>
        <w:trPr>
          <w:trHeight w:val="159"/>
        </w:trPr>
        <w:tc>
          <w:tcPr>
            <w:tcW w:w="7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Commissions and fees</w:t>
            </w:r>
          </w:p>
        </w:tc>
        <w:tc>
          <w:tcPr>
            <w:tcW w:w="30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5,282</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5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4,884</w:t>
            </w:r>
          </w:p>
        </w:tc>
      </w:tr>
      <w:tr>
        <w:trPr>
          <w:trHeight w:val="156"/>
        </w:trPr>
        <w:tc>
          <w:tcPr>
            <w:tcW w:w="70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payables to broker-dealers and clearing organizations</w:t>
            </w: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5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472,895</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1,167,712</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left="260" w:right="120" w:hanging="255"/>
        <w:spacing w:after="0" w:line="295" w:lineRule="auto"/>
        <w:tabs>
          <w:tab w:leader="none" w:pos="220" w:val="left"/>
        </w:tabs>
        <w:numPr>
          <w:ilvl w:val="0"/>
          <w:numId w:val="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presents its balances, including outstanding principal balances on all broker credit facilities, on a net-by-counterparty basis within receivables from and payables to broker-dealers and clearing organizations when the criteria for offsetting are met</w:t>
      </w:r>
      <w:r>
        <w:rPr>
          <w:rFonts w:ascii="Times New Roman" w:cs="Times New Roman" w:eastAsia="Times New Roman" w:hAnsi="Times New Roman"/>
          <w:sz w:val="14"/>
          <w:szCs w:val="14"/>
          <w:color w:val="auto"/>
        </w:rPr>
        <w:t>.</w:t>
      </w:r>
    </w:p>
    <w:p>
      <w:pPr>
        <w:spacing w:after="0" w:line="148"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Included as a deduction from “Due from prime brokers” and “Net equity with futures commission merchants” is the outstanding principal balance on all of the Company’s prime brokerage credit facilities (described in Note 8 “Borrowings”) of approximately $170.7 million and $175.3 million as of March 31, 2024 and December 31, 2023, respectively. The loan proceeds from the credit facilities are available only to meet the initial margin requirements associated with the Company’s ordinary course futures and other trading positions, which are held in the Company’s trading accounts with an affiliate of the respective financial institutions. The credit facilities are fully collateralized by the Company’s trading accounts and deposit accounts with these financial institutions. “Securities failed to deliver” and “Securities failed to receive” include amounts with a clearing organization and other broker-dealers.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Collateralized Transactions</w:t>
      </w:r>
    </w:p>
    <w:p>
      <w:pPr>
        <w:spacing w:after="0" w:line="202"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March 31, 2024 and December 31, 2023, substantially all of the securities received as collateral have been repledged.</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of the collateralized transactions at March 31, 2024 and December 31, 2023 are summarized as follows:</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7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20" w:type="dxa"/>
            <w:vAlign w:val="bottom"/>
          </w:tcPr>
          <w:p>
            <w:pPr>
              <w:spacing w:after="0"/>
              <w:rPr>
                <w:sz w:val="13"/>
                <w:szCs w:val="13"/>
                <w:color w:val="auto"/>
              </w:rPr>
            </w:pPr>
          </w:p>
        </w:tc>
        <w:tc>
          <w:tcPr>
            <w:tcW w:w="14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Securities received as collateral:</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r>
      <w:tr>
        <w:trPr>
          <w:trHeight w:val="153"/>
        </w:trPr>
        <w:tc>
          <w:tcPr>
            <w:tcW w:w="760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Securities borrowed</w:t>
            </w: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1,739,045</w:t>
            </w:r>
          </w:p>
        </w:tc>
        <w:tc>
          <w:tcPr>
            <w:tcW w:w="100" w:type="dxa"/>
            <w:vAlign w:val="bottom"/>
          </w:tcPr>
          <w:p>
            <w:pPr>
              <w:spacing w:after="0"/>
              <w:rPr>
                <w:sz w:val="13"/>
                <w:szCs w:val="13"/>
                <w:color w:val="auto"/>
              </w:rPr>
            </w:pPr>
          </w:p>
        </w:tc>
        <w:tc>
          <w:tcPr>
            <w:tcW w:w="22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1,665,860</w:t>
            </w:r>
          </w:p>
        </w:tc>
      </w:tr>
      <w:tr>
        <w:trPr>
          <w:trHeight w:val="159"/>
        </w:trPr>
        <w:tc>
          <w:tcPr>
            <w:tcW w:w="76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26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502,470</w:t>
            </w:r>
          </w:p>
        </w:tc>
        <w:tc>
          <w:tcPr>
            <w:tcW w:w="10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1,512,114</w:t>
            </w:r>
          </w:p>
        </w:tc>
      </w:tr>
      <w:tr>
        <w:trPr>
          <w:trHeight w:val="150"/>
        </w:trPr>
        <w:tc>
          <w:tcPr>
            <w:tcW w:w="7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2,241,515</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3,177,974</w:t>
            </w:r>
          </w:p>
        </w:tc>
      </w:tr>
      <w:tr>
        <w:trPr>
          <w:trHeight w:val="20"/>
        </w:trPr>
        <w:tc>
          <w:tcPr>
            <w:tcW w:w="7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 the normal course of business, the Company pledges qualified securities with clearing organizations to satisfy daily margin and clearing fund requirements.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Financial instruments owned and pledged, where the counterparty has the right to repledge, at March 31, 2024 and December 31, 2023 consisted of the following:</w:t>
      </w:r>
    </w:p>
    <w:p>
      <w:pPr>
        <w:spacing w:after="0" w:line="227"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76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60" w:type="dxa"/>
            <w:vAlign w:val="bottom"/>
          </w:tcPr>
          <w:p>
            <w:pPr>
              <w:spacing w:after="0"/>
              <w:rPr>
                <w:sz w:val="13"/>
                <w:szCs w:val="13"/>
                <w:color w:val="auto"/>
              </w:rPr>
            </w:pPr>
          </w:p>
        </w:tc>
        <w:tc>
          <w:tcPr>
            <w:tcW w:w="148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20" w:type="dxa"/>
            <w:vAlign w:val="bottom"/>
          </w:tcPr>
          <w:p>
            <w:pPr>
              <w:spacing w:after="0"/>
              <w:rPr>
                <w:sz w:val="13"/>
                <w:szCs w:val="13"/>
                <w:color w:val="auto"/>
              </w:rPr>
            </w:pPr>
          </w:p>
        </w:tc>
        <w:tc>
          <w:tcPr>
            <w:tcW w:w="142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75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Equities</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1,441,851</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1,222,559</w:t>
            </w:r>
          </w:p>
        </w:tc>
      </w:tr>
      <w:tr>
        <w:trPr>
          <w:trHeight w:val="153"/>
        </w:trPr>
        <w:tc>
          <w:tcPr>
            <w:tcW w:w="76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Exchange traded notes</w:t>
            </w:r>
          </w:p>
        </w:tc>
        <w:tc>
          <w:tcPr>
            <w:tcW w:w="2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7,203</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8,300</w:t>
            </w:r>
          </w:p>
        </w:tc>
      </w:tr>
      <w:tr>
        <w:trPr>
          <w:trHeight w:val="175"/>
        </w:trPr>
        <w:tc>
          <w:tcPr>
            <w:tcW w:w="7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1,449,054</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1,230,859</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12"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color w:val="auto"/>
        </w:rPr>
        <w:t>8. Borrowings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Borrowings, net</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summarizes the Company's short-term borrowing balances outstanding, net of related debt issuance costs, with each described in further detail below.</w:t>
      </w:r>
    </w:p>
    <w:p>
      <w:pPr>
        <w:spacing w:after="0" w:line="36" w:lineRule="exact"/>
        <w:rPr>
          <w:sz w:val="20"/>
          <w:szCs w:val="20"/>
          <w:color w:val="auto"/>
        </w:rPr>
      </w:pPr>
    </w:p>
    <w:tbl>
      <w:tblPr>
        <w:tblLayout w:type="fixed"/>
        <w:tblInd w:w="860" w:type="dxa"/>
        <w:tblCellMar>
          <w:top w:w="0" w:type="dxa"/>
          <w:left w:w="0" w:type="dxa"/>
          <w:bottom w:w="0" w:type="dxa"/>
          <w:right w:w="0" w:type="dxa"/>
        </w:tblCellMar>
      </w:tblPr>
      <w:tr>
        <w:trPr>
          <w:trHeight w:val="158"/>
        </w:trPr>
        <w:tc>
          <w:tcPr>
            <w:tcW w:w="4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15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80" w:type="dxa"/>
            <w:vAlign w:val="bottom"/>
          </w:tcPr>
          <w:p>
            <w:pPr>
              <w:spacing w:after="0"/>
              <w:rPr>
                <w:sz w:val="13"/>
                <w:szCs w:val="13"/>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2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Short-term Borrowings, net</w:t>
            </w:r>
          </w:p>
        </w:tc>
      </w:tr>
      <w:tr>
        <w:trPr>
          <w:trHeight w:val="155"/>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(1,798)</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138,202</w:t>
            </w:r>
          </w:p>
        </w:tc>
      </w:tr>
      <w:tr>
        <w:trPr>
          <w:trHeight w:val="144"/>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(1,798)</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138,202</w:t>
            </w: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4"/>
        </w:trPr>
        <w:tc>
          <w:tcPr>
            <w:tcW w:w="4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15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80" w:type="dxa"/>
            <w:vAlign w:val="bottom"/>
          </w:tcPr>
          <w:p>
            <w:pPr>
              <w:spacing w:after="0"/>
              <w:rPr>
                <w:sz w:val="13"/>
                <w:szCs w:val="13"/>
                <w:color w:val="auto"/>
              </w:rPr>
            </w:pPr>
          </w:p>
        </w:tc>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20" w:type="dxa"/>
            <w:vAlign w:val="bottom"/>
          </w:tcPr>
          <w:p>
            <w:pPr>
              <w:spacing w:after="0"/>
              <w:rPr>
                <w:sz w:val="13"/>
                <w:szCs w:val="13"/>
                <w:color w:val="auto"/>
              </w:rPr>
            </w:pPr>
          </w:p>
        </w:tc>
        <w:tc>
          <w:tcPr>
            <w:tcW w:w="152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Short-term Borrowings, net</w:t>
            </w:r>
          </w:p>
        </w:tc>
      </w:tr>
      <w:tr>
        <w:trPr>
          <w:trHeight w:val="155"/>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4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4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Broker-Dealer Credit Facilities</w:t>
      </w:r>
    </w:p>
    <w:p>
      <w:pPr>
        <w:spacing w:after="0" w:line="20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4"/>
          <w:szCs w:val="14"/>
          <w:color w:val="auto"/>
        </w:rPr>
        <w:t>The Company is a party to two secured credit facilities with a financial institution to finance overnight securities positions purchased as part of its ordinary course U.S. broker-dealer market making activities. One of the facilities (the “Uncommitted Facility”) is provided on an uncommitted basis with an aggregate borrowing limit of $400 million, and is collateralized by VAL's trading and deposit account maintained at the financial institution. The second credit facility (the “Committed Facility”) with the same financial institution has a borrowing limit of $650 million. The Committed Facility consists of two borrowing bases: Borrowing Base A Loan is to be used to finance the purchase and settlement of securities; Borrowing Base B Loan is to be used to fund margin deposit with the National Securities Clearing Corporation. Borrowing Base A Loans are available up to $650 million and bear interest at the adjusted Secured Overnight Financing Rate (“SOFR”) or base rate plus 1.25% per annum. Borrowing Base B Loans are subject to a sublimit of $300 million and bear interest at the adjusted SOFR or base rate plus 2.50% per annum. A commitment fee of 0.50% per annum on the average daily unused portion of this facility is payable quarterly in arrears.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On May 25, 2022, Virtu Financial Singapore Pte. Ltd. entered into a revolving credit facility with a financial institution (the "Overdraft Facility") to provide a source of short-term financing.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facility has an aggregate borrowing limit of $10 million, and bears interest at the adjusted SOFR or base rate plus 3.5% per annum.</w:t>
      </w:r>
    </w:p>
    <w:p>
      <w:pPr>
        <w:spacing w:after="0" w:line="185"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following summarizes the Company’s broker-dealer credit facilities' carrying values, net of unamortized debt issuance costs, where applicable. These balances are included within Short-term borrowings on the Condensed Consolidated Statements of Financial Condition.</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At March 31, 2024</w:t>
            </w:r>
          </w:p>
        </w:tc>
        <w:tc>
          <w:tcPr>
            <w:tcW w:w="5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Financing Available</w:t>
            </w:r>
          </w:p>
        </w:tc>
        <w:tc>
          <w:tcPr>
            <w:tcW w:w="120" w:type="dxa"/>
            <w:vAlign w:val="bottom"/>
          </w:tcPr>
          <w:p>
            <w:pPr>
              <w:spacing w:after="0"/>
              <w:rPr>
                <w:sz w:val="13"/>
                <w:szCs w:val="13"/>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Borrowings, net</w:t>
            </w:r>
          </w:p>
        </w:tc>
      </w:tr>
      <w:tr>
        <w:trPr>
          <w:trHeight w:val="155"/>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Uncommitted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6.50%</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80,000</w:t>
            </w:r>
          </w:p>
        </w:tc>
        <w:tc>
          <w:tcPr>
            <w:tcW w:w="100" w:type="dxa"/>
            <w:vAlign w:val="bottom"/>
          </w:tcPr>
          <w:p>
            <w:pPr>
              <w:spacing w:after="0"/>
              <w:rPr>
                <w:sz w:val="13"/>
                <w:szCs w:val="13"/>
                <w:color w:val="auto"/>
              </w:rPr>
            </w:pPr>
          </w:p>
        </w:tc>
        <w:tc>
          <w:tcPr>
            <w:tcW w:w="560" w:type="dxa"/>
            <w:vAlign w:val="bottom"/>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(1,798)</w:t>
            </w:r>
          </w:p>
        </w:tc>
        <w:tc>
          <w:tcPr>
            <w:tcW w:w="1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78,202</w:t>
            </w: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Committed facility (1)</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50,000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50,000</w:t>
            </w: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Overdraft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8.84%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60" w:type="dxa"/>
            <w:vAlign w:val="bottom"/>
            <w:gridSpan w:val="2"/>
          </w:tcPr>
          <w:p>
            <w:pPr>
              <w:ind w:left="70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10,000</w:t>
            </w:r>
          </w:p>
        </w:tc>
      </w:tr>
      <w:tr>
        <w:trPr>
          <w:trHeight w:val="156"/>
        </w:trPr>
        <w:tc>
          <w:tcPr>
            <w:tcW w:w="36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1,060,000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(1,798)</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138,202</w:t>
            </w:r>
          </w:p>
        </w:tc>
      </w:tr>
    </w:tbl>
    <w:p>
      <w:pPr>
        <w:ind w:left="20"/>
        <w:spacing w:after="0"/>
        <w:rPr>
          <w:sz w:val="20"/>
          <w:szCs w:val="20"/>
          <w:color w:val="auto"/>
        </w:rPr>
      </w:pPr>
      <w:r>
        <w:rPr>
          <w:rFonts w:ascii="Times New Roman" w:cs="Times New Roman" w:eastAsia="Times New Roman" w:hAnsi="Times New Roman"/>
          <w:sz w:val="10"/>
          <w:szCs w:val="10"/>
          <w:color w:val="auto"/>
        </w:rPr>
        <w:t>(1) Interest rate for Borrowing Base A Loan and Borrowing Base B Loan under the Committed Facility was 6.75% and 9.00%, respectively. There was no balance outstanding under Borrowing Base B Loan as of March 31, 2024.</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03" w:right="319" w:bottom="1440" w:gutter="0" w:footer="0" w:header="0"/>
        </w:sectPr>
      </w:pPr>
    </w:p>
    <w:bookmarkStart w:id="16" w:name="page17"/>
    <w:bookmarkEnd w:id="16"/>
    <w:tbl>
      <w:tblPr>
        <w:tblLayout w:type="fixed"/>
        <w:tblInd w:w="20" w:type="dxa"/>
        <w:tblCellMar>
          <w:top w:w="0" w:type="dxa"/>
          <w:left w:w="0" w:type="dxa"/>
          <w:bottom w:w="0" w:type="dxa"/>
          <w:right w:w="0" w:type="dxa"/>
        </w:tblCellMar>
      </w:tblPr>
      <w:tr>
        <w:trPr>
          <w:trHeight w:val="158"/>
        </w:trPr>
        <w:tc>
          <w:tcPr>
            <w:tcW w:w="3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At December 31, 2023</w:t>
            </w:r>
          </w:p>
        </w:tc>
        <w:tc>
          <w:tcPr>
            <w:tcW w:w="6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r>
      <w:tr>
        <w:trPr>
          <w:trHeight w:val="154"/>
        </w:trPr>
        <w:tc>
          <w:tcPr>
            <w:tcW w:w="3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4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Financing Available</w:t>
            </w:r>
          </w:p>
        </w:tc>
        <w:tc>
          <w:tcPr>
            <w:tcW w:w="12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Borrowing Outstanding</w:t>
            </w:r>
          </w:p>
        </w:tc>
        <w:tc>
          <w:tcPr>
            <w:tcW w:w="152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Deferred Debt Issuance Cost</w:t>
            </w: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Outstanding Borrowings, net</w:t>
            </w:r>
          </w:p>
        </w:tc>
      </w:tr>
      <w:tr>
        <w:trPr>
          <w:trHeight w:val="155"/>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Uncommitted facility (1)</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6.50%</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3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Committed facility</w:t>
            </w: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CEEFF"/>
          </w:tcPr>
          <w:p>
            <w:pPr>
              <w:spacing w:after="0"/>
              <w:rPr>
                <w:sz w:val="14"/>
                <w:szCs w:val="14"/>
                <w:color w:val="auto"/>
              </w:rPr>
            </w:pPr>
          </w:p>
        </w:tc>
        <w:tc>
          <w:tcPr>
            <w:tcW w:w="8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CEEFF"/>
          </w:tcPr>
          <w:p>
            <w:pPr>
              <w:spacing w:after="0"/>
              <w:rPr>
                <w:sz w:val="14"/>
                <w:szCs w:val="1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3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Overdraft facility</w:t>
            </w:r>
          </w:p>
        </w:tc>
        <w:tc>
          <w:tcPr>
            <w:tcW w:w="14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8.88%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spacing w:after="0"/>
              <w:rPr>
                <w:sz w:val="13"/>
                <w:szCs w:val="13"/>
                <w:color w:val="auto"/>
              </w:rPr>
            </w:pPr>
          </w:p>
        </w:tc>
        <w:tc>
          <w:tcPr>
            <w:tcW w:w="860" w:type="dxa"/>
            <w:vAlign w:val="bottom"/>
            <w:gridSpan w:val="2"/>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3"/>
                <w:szCs w:val="1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1,060,000</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1"/>
                <w:szCs w:val="1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7620</wp:posOffset>
            </wp:positionV>
            <wp:extent cx="382016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20160" cy="698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(1) $2.3 million of deferred debt issuance costs are included within Other assets on the Consolidated Statement of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3338195</wp:posOffset>
            </wp:positionH>
            <wp:positionV relativeFrom="paragraph">
              <wp:posOffset>-64135</wp:posOffset>
            </wp:positionV>
            <wp:extent cx="382016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20160" cy="6985"/>
                    </a:xfrm>
                    <a:prstGeom prst="rect">
                      <a:avLst/>
                    </a:prstGeom>
                    <a:noFill/>
                  </pic:spPr>
                </pic:pic>
              </a:graphicData>
            </a:graphic>
          </wp:anchor>
        </w:drawing>
      </w:r>
    </w:p>
    <w:p>
      <w:pPr>
        <w:spacing w:after="0" w:line="267"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following summarizes interest expense for the broker-dealer facilities. Interest expense is included within Interest and dividends expense in the accompanying Condensed Consolidated Statements of Comprehensive Income.</w:t>
      </w:r>
    </w:p>
    <w:p>
      <w:pPr>
        <w:spacing w:after="0" w:line="173" w:lineRule="exact"/>
        <w:rPr>
          <w:sz w:val="20"/>
          <w:szCs w:val="20"/>
          <w:color w:val="auto"/>
        </w:rPr>
      </w:pPr>
    </w:p>
    <w:tbl>
      <w:tblPr>
        <w:tblLayout w:type="fixed"/>
        <w:tblInd w:w="3000" w:type="dxa"/>
        <w:tblCellMar>
          <w:top w:w="0" w:type="dxa"/>
          <w:left w:w="0" w:type="dxa"/>
          <w:bottom w:w="0" w:type="dxa"/>
          <w:right w:w="0" w:type="dxa"/>
        </w:tblCellMar>
      </w:tblPr>
      <w:tr>
        <w:trPr>
          <w:trHeight w:val="158"/>
        </w:trPr>
        <w:tc>
          <w:tcPr>
            <w:tcW w:w="2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24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3"/>
                <w:szCs w:val="13"/>
                <w:color w:val="auto"/>
              </w:rPr>
            </w:pPr>
          </w:p>
        </w:tc>
        <w:tc>
          <w:tcPr>
            <w:tcW w:w="106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2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Broker-dealer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r>
      <w:tr>
        <w:trPr>
          <w:trHeight w:val="153"/>
        </w:trPr>
        <w:tc>
          <w:tcPr>
            <w:tcW w:w="24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Uncommitted facility</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601</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1,561</w:t>
            </w:r>
          </w:p>
        </w:tc>
      </w:tr>
      <w:tr>
        <w:trPr>
          <w:trHeight w:val="165"/>
        </w:trPr>
        <w:tc>
          <w:tcPr>
            <w:tcW w:w="24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Committed facility</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877</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4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Overdraft facility</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113</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92</w:t>
            </w:r>
          </w:p>
        </w:tc>
      </w:tr>
      <w:tr>
        <w:trPr>
          <w:trHeight w:val="175"/>
        </w:trPr>
        <w:tc>
          <w:tcPr>
            <w:tcW w:w="23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1,591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1,653</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Short-Term Bank Loans</w:t>
      </w:r>
    </w:p>
    <w:p>
      <w:pPr>
        <w:spacing w:after="0" w:line="20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Company’s international securities clearance and settlement activities are funded with operating cash or with short-term bank loans in the form of overdraft facilities. At March 31, 2024 and December 31, 2023, there was no balance associated with international settlement activities outstanding under these facilities. Outstanding short-term bank loan balances are included within Short-term borrowings on the Condensed Consolidated Statements of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Prime Brokerage Credit Facilities</w:t>
      </w:r>
    </w:p>
    <w:p>
      <w:pPr>
        <w:spacing w:after="0" w:line="202"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Company maintains short-term credit facilities with various prime brokers and other financial institutions from which it receives execution or clearing services. The proceeds of these facilities are used to meet margin requirements associated with the products traded by the Company in the ordinary course, and amounts borrowed are collateralized by the Company’s trading accounts with the applicable financial institution.</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rPr>
              <w:t>At March 31, 2024</w:t>
            </w: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3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380" w:type="dxa"/>
            <w:vAlign w:val="bottom"/>
          </w:tcPr>
          <w:p>
            <w:pPr>
              <w:spacing w:after="0"/>
              <w:rPr>
                <w:sz w:val="9"/>
                <w:szCs w:val="9"/>
                <w:color w:val="auto"/>
              </w:rPr>
            </w:pPr>
          </w:p>
        </w:tc>
        <w:tc>
          <w:tcPr>
            <w:tcW w:w="1980" w:type="dxa"/>
            <w:vAlign w:val="bottom"/>
            <w:gridSpan w:val="2"/>
          </w:tcPr>
          <w:p>
            <w:pPr>
              <w:jc w:val="center"/>
              <w:ind w:right="460"/>
              <w:spacing w:after="0" w:line="106"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460" w:type="dxa"/>
            <w:vAlign w:val="bottom"/>
          </w:tcPr>
          <w:p>
            <w:pPr>
              <w:spacing w:after="0"/>
              <w:rPr>
                <w:sz w:val="9"/>
                <w:szCs w:val="9"/>
                <w:color w:val="auto"/>
              </w:rPr>
            </w:pPr>
          </w:p>
        </w:tc>
        <w:tc>
          <w:tcPr>
            <w:tcW w:w="1800" w:type="dxa"/>
            <w:vAlign w:val="bottom"/>
          </w:tcPr>
          <w:p>
            <w:pPr>
              <w:jc w:val="right"/>
              <w:ind w:right="803"/>
              <w:spacing w:after="0" w:line="106" w:lineRule="exact"/>
              <w:rPr>
                <w:sz w:val="20"/>
                <w:szCs w:val="20"/>
                <w:color w:val="auto"/>
              </w:rPr>
            </w:pPr>
            <w:r>
              <w:rPr>
                <w:rFonts w:ascii="Times New Roman" w:cs="Times New Roman" w:eastAsia="Times New Roman" w:hAnsi="Times New Roman"/>
                <w:sz w:val="11"/>
                <w:szCs w:val="11"/>
                <w:b w:val="1"/>
                <w:bCs w:val="1"/>
                <w:color w:val="auto"/>
              </w:rPr>
              <w:t>Borrowing</w:t>
            </w:r>
          </w:p>
        </w:tc>
        <w:tc>
          <w:tcPr>
            <w:tcW w:w="0" w:type="dxa"/>
            <w:vAlign w:val="bottom"/>
          </w:tcPr>
          <w:p>
            <w:pPr>
              <w:spacing w:after="0"/>
              <w:rPr>
                <w:sz w:val="1"/>
                <w:szCs w:val="1"/>
                <w:color w:val="auto"/>
              </w:rPr>
            </w:pPr>
          </w:p>
        </w:tc>
      </w:tr>
      <w:tr>
        <w:trPr>
          <w:trHeight w:val="154"/>
        </w:trPr>
        <w:tc>
          <w:tcPr>
            <w:tcW w:w="4240" w:type="dxa"/>
            <w:vAlign w:val="bottom"/>
            <w:gridSpan w:val="2"/>
            <w:vMerge w:val="continue"/>
          </w:tcPr>
          <w:p>
            <w:pPr>
              <w:spacing w:after="0"/>
              <w:rPr>
                <w:sz w:val="13"/>
                <w:szCs w:val="13"/>
                <w:color w:val="auto"/>
              </w:rPr>
            </w:pPr>
          </w:p>
        </w:tc>
        <w:tc>
          <w:tcPr>
            <w:tcW w:w="234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380" w:type="dxa"/>
            <w:vAlign w:val="bottom"/>
          </w:tcPr>
          <w:p>
            <w:pPr>
              <w:spacing w:after="0"/>
              <w:rPr>
                <w:sz w:val="13"/>
                <w:szCs w:val="13"/>
                <w:color w:val="auto"/>
              </w:rPr>
            </w:pPr>
          </w:p>
        </w:tc>
        <w:tc>
          <w:tcPr>
            <w:tcW w:w="1980" w:type="dxa"/>
            <w:vAlign w:val="bottom"/>
            <w:gridSpan w:val="2"/>
          </w:tcPr>
          <w:p>
            <w:pPr>
              <w:jc w:val="center"/>
              <w:ind w:right="460"/>
              <w:spacing w:after="0"/>
              <w:rPr>
                <w:sz w:val="20"/>
                <w:szCs w:val="20"/>
                <w:color w:val="auto"/>
              </w:rPr>
            </w:pPr>
            <w:r>
              <w:rPr>
                <w:rFonts w:ascii="Times New Roman" w:cs="Times New Roman" w:eastAsia="Times New Roman" w:hAnsi="Times New Roman"/>
                <w:sz w:val="11"/>
                <w:szCs w:val="11"/>
                <w:b w:val="1"/>
                <w:bCs w:val="1"/>
                <w:color w:val="auto"/>
                <w:w w:val="98"/>
              </w:rPr>
              <w:t>Available</w:t>
            </w:r>
          </w:p>
        </w:tc>
        <w:tc>
          <w:tcPr>
            <w:tcW w:w="460" w:type="dxa"/>
            <w:vAlign w:val="bottom"/>
          </w:tcPr>
          <w:p>
            <w:pPr>
              <w:spacing w:after="0"/>
              <w:rPr>
                <w:sz w:val="13"/>
                <w:szCs w:val="13"/>
                <w:color w:val="auto"/>
              </w:rPr>
            </w:pPr>
          </w:p>
        </w:tc>
        <w:tc>
          <w:tcPr>
            <w:tcW w:w="1800" w:type="dxa"/>
            <w:vAlign w:val="bottom"/>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55"/>
        </w:trPr>
        <w:tc>
          <w:tcPr>
            <w:tcW w:w="4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Prime Brokerage Credit Facilities:</w:t>
            </w:r>
          </w:p>
        </w:tc>
        <w:tc>
          <w:tcPr>
            <w:tcW w:w="100" w:type="dxa"/>
            <w:vAlign w:val="bottom"/>
            <w:tcBorders>
              <w:top w:val="single" w:sz="8" w:color="CCEEFF"/>
            </w:tcBorders>
            <w:shd w:val="clear" w:color="auto" w:fill="CCEEFF"/>
          </w:tcPr>
          <w:p>
            <w:pPr>
              <w:spacing w:after="0"/>
              <w:rPr>
                <w:sz w:val="13"/>
                <w:szCs w:val="13"/>
                <w:color w:val="auto"/>
              </w:rPr>
            </w:pPr>
          </w:p>
        </w:tc>
        <w:tc>
          <w:tcPr>
            <w:tcW w:w="2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8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7.83%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598,214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170,713</w:t>
            </w:r>
          </w:p>
        </w:tc>
        <w:tc>
          <w:tcPr>
            <w:tcW w:w="0" w:type="dxa"/>
            <w:vAlign w:val="bottom"/>
          </w:tcPr>
          <w:p>
            <w:pPr>
              <w:spacing w:after="0"/>
              <w:rPr>
                <w:sz w:val="1"/>
                <w:szCs w:val="1"/>
                <w:color w:val="auto"/>
              </w:rPr>
            </w:pPr>
          </w:p>
        </w:tc>
      </w:tr>
      <w:tr>
        <w:trPr>
          <w:trHeight w:val="175"/>
        </w:trPr>
        <w:tc>
          <w:tcPr>
            <w:tcW w:w="4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598,214</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170,713</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1"/>
                <w:szCs w:val="11"/>
                <w:b w:val="1"/>
                <w:bCs w:val="1"/>
                <w:color w:val="auto"/>
              </w:rPr>
              <w:t>At December 31, 2023</w:t>
            </w: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vMerge w:val="restart"/>
          </w:tcPr>
          <w:p>
            <w:pPr>
              <w:spacing w:after="0"/>
              <w:rPr>
                <w:sz w:val="9"/>
                <w:szCs w:val="9"/>
                <w:color w:val="auto"/>
              </w:rPr>
            </w:pPr>
          </w:p>
        </w:tc>
        <w:tc>
          <w:tcPr>
            <w:tcW w:w="23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340" w:type="dxa"/>
            <w:vAlign w:val="bottom"/>
          </w:tcPr>
          <w:p>
            <w:pPr>
              <w:spacing w:after="0"/>
              <w:rPr>
                <w:sz w:val="9"/>
                <w:szCs w:val="9"/>
                <w:color w:val="auto"/>
              </w:rPr>
            </w:pPr>
          </w:p>
        </w:tc>
        <w:tc>
          <w:tcPr>
            <w:tcW w:w="2020" w:type="dxa"/>
            <w:vAlign w:val="bottom"/>
            <w:gridSpan w:val="2"/>
          </w:tcPr>
          <w:p>
            <w:pPr>
              <w:jc w:val="center"/>
              <w:ind w:right="420"/>
              <w:spacing w:after="0" w:line="108" w:lineRule="exact"/>
              <w:rPr>
                <w:sz w:val="20"/>
                <w:szCs w:val="20"/>
                <w:color w:val="auto"/>
              </w:rPr>
            </w:pPr>
            <w:r>
              <w:rPr>
                <w:rFonts w:ascii="Times New Roman" w:cs="Times New Roman" w:eastAsia="Times New Roman" w:hAnsi="Times New Roman"/>
                <w:sz w:val="11"/>
                <w:szCs w:val="11"/>
                <w:b w:val="1"/>
                <w:bCs w:val="1"/>
                <w:color w:val="auto"/>
              </w:rPr>
              <w:t>Financing</w:t>
            </w:r>
          </w:p>
        </w:tc>
        <w:tc>
          <w:tcPr>
            <w:tcW w:w="460" w:type="dxa"/>
            <w:vAlign w:val="bottom"/>
          </w:tcPr>
          <w:p>
            <w:pPr>
              <w:spacing w:after="0"/>
              <w:rPr>
                <w:sz w:val="9"/>
                <w:szCs w:val="9"/>
                <w:color w:val="auto"/>
              </w:rPr>
            </w:pPr>
          </w:p>
        </w:tc>
        <w:tc>
          <w:tcPr>
            <w:tcW w:w="1800" w:type="dxa"/>
            <w:vAlign w:val="bottom"/>
          </w:tcPr>
          <w:p>
            <w:pPr>
              <w:jc w:val="right"/>
              <w:ind w:right="803"/>
              <w:spacing w:after="0" w:line="108" w:lineRule="exact"/>
              <w:rPr>
                <w:sz w:val="20"/>
                <w:szCs w:val="20"/>
                <w:color w:val="auto"/>
              </w:rPr>
            </w:pPr>
            <w:r>
              <w:rPr>
                <w:rFonts w:ascii="Times New Roman" w:cs="Times New Roman" w:eastAsia="Times New Roman" w:hAnsi="Times New Roman"/>
                <w:sz w:val="11"/>
                <w:szCs w:val="11"/>
                <w:b w:val="1"/>
                <w:bCs w:val="1"/>
                <w:color w:val="auto"/>
              </w:rPr>
              <w:t>Borrowing</w:t>
            </w:r>
          </w:p>
        </w:tc>
        <w:tc>
          <w:tcPr>
            <w:tcW w:w="0" w:type="dxa"/>
            <w:vAlign w:val="bottom"/>
          </w:tcPr>
          <w:p>
            <w:pPr>
              <w:spacing w:after="0"/>
              <w:rPr>
                <w:sz w:val="1"/>
                <w:szCs w:val="1"/>
                <w:color w:val="auto"/>
              </w:rPr>
            </w:pPr>
          </w:p>
        </w:tc>
      </w:tr>
      <w:tr>
        <w:trPr>
          <w:trHeight w:val="153"/>
        </w:trPr>
        <w:tc>
          <w:tcPr>
            <w:tcW w:w="41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Interest Rate</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w w:val="98"/>
              </w:rPr>
              <w:t>Available</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right"/>
              <w:ind w:right="763"/>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0" w:type="dxa"/>
            <w:vAlign w:val="bottom"/>
          </w:tcPr>
          <w:p>
            <w:pPr>
              <w:spacing w:after="0"/>
              <w:rPr>
                <w:sz w:val="1"/>
                <w:szCs w:val="1"/>
                <w:color w:val="auto"/>
              </w:rPr>
            </w:pPr>
          </w:p>
        </w:tc>
      </w:tr>
      <w:tr>
        <w:trPr>
          <w:trHeight w:val="196"/>
        </w:trPr>
        <w:tc>
          <w:tcPr>
            <w:tcW w:w="4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Prime Brokerage Credit Facilities:</w:t>
            </w:r>
          </w:p>
        </w:tc>
        <w:tc>
          <w:tcPr>
            <w:tcW w:w="2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42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Prime brokerage credit facilities (1)</w:t>
            </w:r>
          </w:p>
        </w:tc>
        <w:tc>
          <w:tcPr>
            <w:tcW w:w="22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7.96%</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599,180</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175,256</w:t>
            </w:r>
          </w:p>
        </w:tc>
        <w:tc>
          <w:tcPr>
            <w:tcW w:w="0" w:type="dxa"/>
            <w:vAlign w:val="bottom"/>
          </w:tcPr>
          <w:p>
            <w:pPr>
              <w:spacing w:after="0"/>
              <w:rPr>
                <w:sz w:val="1"/>
                <w:szCs w:val="1"/>
                <w:color w:val="auto"/>
              </w:rPr>
            </w:pPr>
          </w:p>
        </w:tc>
      </w:tr>
      <w:tr>
        <w:trPr>
          <w:trHeight w:val="182"/>
        </w:trPr>
        <w:tc>
          <w:tcPr>
            <w:tcW w:w="4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599,180</w:t>
            </w:r>
          </w:p>
        </w:tc>
        <w:tc>
          <w:tcPr>
            <w:tcW w:w="1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3"/>
              <w:spacing w:after="0"/>
              <w:rPr>
                <w:sz w:val="20"/>
                <w:szCs w:val="20"/>
                <w:color w:val="auto"/>
              </w:rPr>
            </w:pPr>
            <w:r>
              <w:rPr>
                <w:rFonts w:ascii="Times New Roman" w:cs="Times New Roman" w:eastAsia="Times New Roman" w:hAnsi="Times New Roman"/>
                <w:sz w:val="11"/>
                <w:szCs w:val="11"/>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175,256</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Outstanding borrowings are included with Receivables from/Payables to broker-dealers and clearing organizations within the Condensed Consolidated Statements of Financial Condition.</w:t>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Interest expense in relation to the facilities was $2.6 million and $3.5 million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99"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Borrowings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summarizes the Company’s long-term borrowings, net of unamortized discount and debt issuance costs, where applicable:</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At March 31, 2024</w:t>
            </w: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9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40" w:type="dxa"/>
            <w:vAlign w:val="bottom"/>
            <w:gridSpan w:val="2"/>
          </w:tcPr>
          <w:p>
            <w:pPr>
              <w:jc w:val="center"/>
              <w:ind w:right="100"/>
              <w:spacing w:after="0" w:line="108"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90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2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Outstanding Principal</w:t>
            </w:r>
          </w:p>
        </w:tc>
        <w:tc>
          <w:tcPr>
            <w:tcW w:w="180" w:type="dxa"/>
            <w:vAlign w:val="bottom"/>
          </w:tcPr>
          <w:p>
            <w:pPr>
              <w:spacing w:after="0"/>
              <w:rPr>
                <w:sz w:val="9"/>
                <w:szCs w:val="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1320" w:type="dxa"/>
            <w:vAlign w:val="bottom"/>
            <w:gridSpan w:val="3"/>
          </w:tcPr>
          <w:p>
            <w:pPr>
              <w:jc w:val="right"/>
              <w:ind w:right="140"/>
              <w:spacing w:after="0" w:line="108" w:lineRule="exact"/>
              <w:rPr>
                <w:sz w:val="20"/>
                <w:szCs w:val="20"/>
                <w:color w:val="auto"/>
              </w:rPr>
            </w:pPr>
            <w:r>
              <w:rPr>
                <w:rFonts w:ascii="Times New Roman" w:cs="Times New Roman" w:eastAsia="Times New Roman" w:hAnsi="Times New Roman"/>
                <w:sz w:val="11"/>
                <w:szCs w:val="11"/>
                <w:b w:val="1"/>
                <w:bCs w:val="1"/>
                <w:color w:val="auto"/>
              </w:rPr>
              <w:t>Deferred Debt Issuance</w:t>
            </w:r>
          </w:p>
        </w:tc>
        <w:tc>
          <w:tcPr>
            <w:tcW w:w="80" w:type="dxa"/>
            <w:vAlign w:val="bottom"/>
          </w:tcPr>
          <w:p>
            <w:pPr>
              <w:spacing w:after="0"/>
              <w:rPr>
                <w:sz w:val="9"/>
                <w:szCs w:val="9"/>
                <w:color w:val="auto"/>
              </w:rPr>
            </w:pPr>
          </w:p>
        </w:tc>
        <w:tc>
          <w:tcPr>
            <w:tcW w:w="1320" w:type="dxa"/>
            <w:vAlign w:val="bottom"/>
          </w:tcPr>
          <w:p>
            <w:pPr>
              <w:jc w:val="right"/>
              <w:ind w:right="43"/>
              <w:spacing w:after="0" w:line="108" w:lineRule="exact"/>
              <w:rPr>
                <w:sz w:val="20"/>
                <w:szCs w:val="20"/>
                <w:color w:val="auto"/>
              </w:rPr>
            </w:pPr>
            <w:r>
              <w:rPr>
                <w:rFonts w:ascii="Times New Roman" w:cs="Times New Roman" w:eastAsia="Times New Roman" w:hAnsi="Times New Roman"/>
                <w:sz w:val="11"/>
                <w:szCs w:val="11"/>
                <w:b w:val="1"/>
                <w:bCs w:val="1"/>
                <w:color w:val="auto"/>
              </w:rPr>
              <w:t>Outstanding Borrowings,</w:t>
            </w:r>
          </w:p>
        </w:tc>
        <w:tc>
          <w:tcPr>
            <w:tcW w:w="0" w:type="dxa"/>
            <w:vAlign w:val="bottom"/>
          </w:tcPr>
          <w:p>
            <w:pPr>
              <w:spacing w:after="0"/>
              <w:rPr>
                <w:sz w:val="1"/>
                <w:szCs w:val="1"/>
                <w:color w:val="auto"/>
              </w:rPr>
            </w:pPr>
          </w:p>
        </w:tc>
      </w:tr>
      <w:tr>
        <w:trPr>
          <w:trHeight w:val="153"/>
        </w:trPr>
        <w:tc>
          <w:tcPr>
            <w:tcW w:w="3900" w:type="dxa"/>
            <w:vAlign w:val="bottom"/>
            <w:gridSpan w:val="2"/>
            <w:vMerge w:val="continue"/>
          </w:tcPr>
          <w:p>
            <w:pPr>
              <w:spacing w:after="0"/>
              <w:rPr>
                <w:sz w:val="13"/>
                <w:szCs w:val="13"/>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28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Cost</w:t>
            </w:r>
          </w:p>
        </w:tc>
        <w:tc>
          <w:tcPr>
            <w:tcW w:w="80" w:type="dxa"/>
            <w:vAlign w:val="bottom"/>
          </w:tcPr>
          <w:p>
            <w:pPr>
              <w:spacing w:after="0"/>
              <w:rPr>
                <w:sz w:val="13"/>
                <w:szCs w:val="13"/>
                <w:color w:val="auto"/>
              </w:rPr>
            </w:pPr>
          </w:p>
        </w:tc>
        <w:tc>
          <w:tcPr>
            <w:tcW w:w="13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54"/>
        </w:trPr>
        <w:tc>
          <w:tcPr>
            <w:tcW w:w="3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Long-term borrowings:</w:t>
            </w:r>
          </w:p>
        </w:tc>
        <w:tc>
          <w:tcPr>
            <w:tcW w:w="100" w:type="dxa"/>
            <w:vAlign w:val="bottom"/>
            <w:tcBorders>
              <w:top w:val="single" w:sz="8" w:color="CCEEFF"/>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First Lien Term Loan Facility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8.43%</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1,727,000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3"/>
                <w:szCs w:val="13"/>
                <w:color w:val="auto"/>
              </w:rPr>
            </w:pPr>
          </w:p>
        </w:tc>
        <w:tc>
          <w:tcPr>
            <w:tcW w:w="34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(20,515)</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1,703,532</w:t>
            </w:r>
          </w:p>
        </w:tc>
        <w:tc>
          <w:tcPr>
            <w:tcW w:w="0" w:type="dxa"/>
            <w:vAlign w:val="bottom"/>
          </w:tcPr>
          <w:p>
            <w:pPr>
              <w:spacing w:after="0"/>
              <w:rPr>
                <w:sz w:val="1"/>
                <w:szCs w:val="1"/>
                <w:color w:val="auto"/>
              </w:rPr>
            </w:pPr>
          </w:p>
        </w:tc>
      </w:tr>
      <w:tr>
        <w:trPr>
          <w:trHeight w:val="159"/>
        </w:trPr>
        <w:tc>
          <w:tcPr>
            <w:tcW w:w="3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SBI bonds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January 2026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23,125</w:t>
            </w:r>
          </w:p>
        </w:tc>
        <w:tc>
          <w:tcPr>
            <w:tcW w:w="0" w:type="dxa"/>
            <w:vAlign w:val="bottom"/>
          </w:tcPr>
          <w:p>
            <w:pPr>
              <w:spacing w:after="0"/>
              <w:rPr>
                <w:sz w:val="1"/>
                <w:szCs w:val="1"/>
                <w:color w:val="auto"/>
              </w:rPr>
            </w:pPr>
          </w:p>
        </w:tc>
      </w:tr>
      <w:tr>
        <w:trPr>
          <w:trHeight w:val="150"/>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1,750,125</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(2,953)</w:t>
            </w:r>
          </w:p>
        </w:tc>
        <w:tc>
          <w:tcPr>
            <w:tcW w:w="10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(20,515)</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1,726,657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1"/>
                <w:szCs w:val="11"/>
                <w:b w:val="1"/>
                <w:bCs w:val="1"/>
                <w:color w:val="auto"/>
              </w:rPr>
              <w:t>At December 31, 2023</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8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vMerge w:val="restart"/>
          </w:tcPr>
          <w:p>
            <w:pPr>
              <w:spacing w:after="0"/>
              <w:rPr>
                <w:sz w:val="9"/>
                <w:szCs w:val="9"/>
                <w:color w:val="auto"/>
              </w:rPr>
            </w:pPr>
          </w:p>
        </w:tc>
        <w:tc>
          <w:tcPr>
            <w:tcW w:w="1340" w:type="dxa"/>
            <w:vAlign w:val="bottom"/>
            <w:gridSpan w:val="2"/>
          </w:tcPr>
          <w:p>
            <w:pPr>
              <w:jc w:val="center"/>
              <w:ind w:right="100"/>
              <w:spacing w:after="0" w:line="106" w:lineRule="exact"/>
              <w:rPr>
                <w:sz w:val="20"/>
                <w:szCs w:val="20"/>
                <w:color w:val="auto"/>
              </w:rPr>
            </w:pPr>
            <w:r>
              <w:rPr>
                <w:rFonts w:ascii="Times New Roman" w:cs="Times New Roman" w:eastAsia="Times New Roman" w:hAnsi="Times New Roman"/>
                <w:sz w:val="11"/>
                <w:szCs w:val="11"/>
                <w:b w:val="1"/>
                <w:bCs w:val="1"/>
                <w:color w:val="auto"/>
              </w:rPr>
              <w:t>Maturity</w:t>
            </w:r>
          </w:p>
        </w:tc>
        <w:tc>
          <w:tcPr>
            <w:tcW w:w="900" w:type="dxa"/>
            <w:vAlign w:val="bottom"/>
            <w:gridSpan w:val="2"/>
          </w:tcPr>
          <w:p>
            <w:pPr>
              <w:jc w:val="center"/>
              <w:ind w:right="120"/>
              <w:spacing w:after="0" w:line="106" w:lineRule="exact"/>
              <w:rPr>
                <w:sz w:val="20"/>
                <w:szCs w:val="20"/>
                <w:color w:val="auto"/>
              </w:rPr>
            </w:pPr>
            <w:r>
              <w:rPr>
                <w:rFonts w:ascii="Times New Roman" w:cs="Times New Roman" w:eastAsia="Times New Roman" w:hAnsi="Times New Roman"/>
                <w:sz w:val="11"/>
                <w:szCs w:val="11"/>
                <w:b w:val="1"/>
                <w:bCs w:val="1"/>
                <w:color w:val="auto"/>
              </w:rPr>
              <w:t>Interest</w:t>
            </w:r>
          </w:p>
        </w:tc>
        <w:tc>
          <w:tcPr>
            <w:tcW w:w="118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Outstanding Principal</w:t>
            </w:r>
          </w:p>
        </w:tc>
        <w:tc>
          <w:tcPr>
            <w:tcW w:w="100" w:type="dxa"/>
            <w:vAlign w:val="bottom"/>
            <w:vMerge w:val="restart"/>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ind w:left="100"/>
              <w:spacing w:after="0"/>
              <w:rPr>
                <w:sz w:val="20"/>
                <w:szCs w:val="20"/>
                <w:color w:val="auto"/>
              </w:rPr>
            </w:pPr>
            <w:r>
              <w:rPr>
                <w:rFonts w:ascii="Times New Roman" w:cs="Times New Roman" w:eastAsia="Times New Roman" w:hAnsi="Times New Roman"/>
                <w:sz w:val="11"/>
                <w:szCs w:val="11"/>
                <w:b w:val="1"/>
                <w:bCs w:val="1"/>
                <w:color w:val="auto"/>
              </w:rPr>
              <w:t>Discount</w:t>
            </w:r>
          </w:p>
        </w:tc>
        <w:tc>
          <w:tcPr>
            <w:tcW w:w="100" w:type="dxa"/>
            <w:vAlign w:val="bottom"/>
            <w:vMerge w:val="restart"/>
          </w:tcPr>
          <w:p>
            <w:pPr>
              <w:spacing w:after="0"/>
              <w:rPr>
                <w:sz w:val="9"/>
                <w:szCs w:val="9"/>
                <w:color w:val="auto"/>
              </w:rPr>
            </w:pPr>
          </w:p>
        </w:tc>
        <w:tc>
          <w:tcPr>
            <w:tcW w:w="1320" w:type="dxa"/>
            <w:vAlign w:val="bottom"/>
            <w:gridSpan w:val="3"/>
          </w:tcPr>
          <w:p>
            <w:pPr>
              <w:jc w:val="right"/>
              <w:ind w:right="140"/>
              <w:spacing w:after="0" w:line="106" w:lineRule="exact"/>
              <w:rPr>
                <w:sz w:val="20"/>
                <w:szCs w:val="20"/>
                <w:color w:val="auto"/>
              </w:rPr>
            </w:pPr>
            <w:r>
              <w:rPr>
                <w:rFonts w:ascii="Times New Roman" w:cs="Times New Roman" w:eastAsia="Times New Roman" w:hAnsi="Times New Roman"/>
                <w:sz w:val="11"/>
                <w:szCs w:val="11"/>
                <w:b w:val="1"/>
                <w:bCs w:val="1"/>
                <w:color w:val="auto"/>
              </w:rPr>
              <w:t>Deferred Debt Issuance</w:t>
            </w:r>
          </w:p>
        </w:tc>
        <w:tc>
          <w:tcPr>
            <w:tcW w:w="80" w:type="dxa"/>
            <w:vAlign w:val="bottom"/>
          </w:tcPr>
          <w:p>
            <w:pPr>
              <w:spacing w:after="0"/>
              <w:rPr>
                <w:sz w:val="9"/>
                <w:szCs w:val="9"/>
                <w:color w:val="auto"/>
              </w:rPr>
            </w:pPr>
          </w:p>
        </w:tc>
        <w:tc>
          <w:tcPr>
            <w:tcW w:w="1320" w:type="dxa"/>
            <w:vAlign w:val="bottom"/>
          </w:tcPr>
          <w:p>
            <w:pPr>
              <w:jc w:val="right"/>
              <w:ind w:right="43"/>
              <w:spacing w:after="0" w:line="106" w:lineRule="exact"/>
              <w:rPr>
                <w:sz w:val="20"/>
                <w:szCs w:val="20"/>
                <w:color w:val="auto"/>
              </w:rPr>
            </w:pPr>
            <w:r>
              <w:rPr>
                <w:rFonts w:ascii="Times New Roman" w:cs="Times New Roman" w:eastAsia="Times New Roman" w:hAnsi="Times New Roman"/>
                <w:sz w:val="11"/>
                <w:szCs w:val="11"/>
                <w:b w:val="1"/>
                <w:bCs w:val="1"/>
                <w:color w:val="auto"/>
              </w:rPr>
              <w:t>Outstanding Borrowings,</w:t>
            </w:r>
          </w:p>
        </w:tc>
        <w:tc>
          <w:tcPr>
            <w:tcW w:w="0" w:type="dxa"/>
            <w:vAlign w:val="bottom"/>
          </w:tcPr>
          <w:p>
            <w:pPr>
              <w:spacing w:after="0"/>
              <w:rPr>
                <w:sz w:val="1"/>
                <w:szCs w:val="1"/>
                <w:color w:val="auto"/>
              </w:rPr>
            </w:pPr>
          </w:p>
        </w:tc>
      </w:tr>
      <w:tr>
        <w:trPr>
          <w:trHeight w:val="154"/>
        </w:trPr>
        <w:tc>
          <w:tcPr>
            <w:tcW w:w="3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Rate</w:t>
            </w:r>
          </w:p>
        </w:tc>
        <w:tc>
          <w:tcPr>
            <w:tcW w:w="100" w:type="dxa"/>
            <w:vAlign w:val="bottom"/>
            <w:tcBorders>
              <w:bottom w:val="single" w:sz="8" w:color="CCEEFF"/>
            </w:tcBorders>
          </w:tcPr>
          <w:p>
            <w:pPr>
              <w:spacing w:after="0"/>
              <w:rPr>
                <w:sz w:val="13"/>
                <w:szCs w:val="13"/>
                <w:color w:val="auto"/>
              </w:rPr>
            </w:pPr>
          </w:p>
        </w:tc>
        <w:tc>
          <w:tcPr>
            <w:tcW w:w="118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Cost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net</w:t>
            </w:r>
          </w:p>
        </w:tc>
        <w:tc>
          <w:tcPr>
            <w:tcW w:w="0" w:type="dxa"/>
            <w:vAlign w:val="bottom"/>
          </w:tcPr>
          <w:p>
            <w:pPr>
              <w:spacing w:after="0"/>
              <w:rPr>
                <w:sz w:val="1"/>
                <w:szCs w:val="1"/>
                <w:color w:val="auto"/>
              </w:rPr>
            </w:pPr>
          </w:p>
        </w:tc>
      </w:tr>
      <w:tr>
        <w:trPr>
          <w:trHeight w:val="197"/>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Long-term borrowings:</w:t>
            </w: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390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First Lien Term Loan Facility</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rPr>
              <w:t>January 2029</w:t>
            </w:r>
          </w:p>
        </w:tc>
        <w:tc>
          <w:tcPr>
            <w:tcW w:w="80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8.46%</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1,727,000</w:t>
            </w:r>
          </w:p>
        </w:tc>
        <w:tc>
          <w:tcPr>
            <w:tcW w:w="100" w:type="dxa"/>
            <w:vAlign w:val="bottom"/>
          </w:tcPr>
          <w:p>
            <w:pPr>
              <w:spacing w:after="0"/>
              <w:rPr>
                <w:sz w:val="13"/>
                <w:szCs w:val="13"/>
                <w:color w:val="auto"/>
              </w:rPr>
            </w:pP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(3,107)</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(21,504)</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1,702,389</w:t>
            </w:r>
          </w:p>
        </w:tc>
        <w:tc>
          <w:tcPr>
            <w:tcW w:w="0" w:type="dxa"/>
            <w:vAlign w:val="bottom"/>
          </w:tcPr>
          <w:p>
            <w:pPr>
              <w:spacing w:after="0"/>
              <w:rPr>
                <w:sz w:val="1"/>
                <w:szCs w:val="1"/>
                <w:color w:val="auto"/>
              </w:rPr>
            </w:pPr>
          </w:p>
        </w:tc>
      </w:tr>
      <w:tr>
        <w:trPr>
          <w:trHeight w:val="159"/>
        </w:trPr>
        <w:tc>
          <w:tcPr>
            <w:tcW w:w="39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SBI bonds</w:t>
            </w: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1"/>
                <w:szCs w:val="11"/>
                <w:color w:val="auto"/>
              </w:rPr>
              <w:t>January 2026</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24,816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24,816</w:t>
            </w:r>
          </w:p>
        </w:tc>
        <w:tc>
          <w:tcPr>
            <w:tcW w:w="0" w:type="dxa"/>
            <w:vAlign w:val="bottom"/>
          </w:tcPr>
          <w:p>
            <w:pPr>
              <w:spacing w:after="0"/>
              <w:rPr>
                <w:sz w:val="1"/>
                <w:szCs w:val="1"/>
                <w:color w:val="auto"/>
              </w:rPr>
            </w:pPr>
          </w:p>
        </w:tc>
      </w:tr>
      <w:tr>
        <w:trPr>
          <w:trHeight w:val="150"/>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1,751,816</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(3,107)</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(21,504)</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1,727,205</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Credit Agreement</w:t>
      </w:r>
    </w:p>
    <w:p>
      <w:pPr>
        <w:spacing w:after="0" w:line="191"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4"/>
          <w:szCs w:val="14"/>
          <w:color w:val="auto"/>
        </w:rPr>
        <w:t>On January 13, 2022 (the “Credit Agreement Closing Date”), Virtu Financial, VFH Parent LLC, a Delaware limited liability company and a subsidiary of Virtu Financial (“VFH”),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w:t>
      </w:r>
    </w:p>
    <w:p>
      <w:pPr>
        <w:spacing w:after="0" w:line="4"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4"/>
          <w:szCs w:val="14"/>
          <w:color w:val="auto"/>
        </w:rPr>
        <w:t>provides (i) a senior secured first lien term loan in an aggregate principal amount of $1,800.0 million, drawn in its entirety on the Credit Agreement Closing Date, the proceeds of which were used by VFH to repay all amounts outstanding under the previous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337"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167"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The revolving facility under the Credit Agreement is subject to a springing net first lien leverage ratio test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62" w:lineRule="exact"/>
        <w:rPr>
          <w:sz w:val="20"/>
          <w:szCs w:val="20"/>
          <w:color w:val="auto"/>
        </w:rPr>
      </w:pPr>
    </w:p>
    <w:p>
      <w:pPr>
        <w:jc w:val="both"/>
        <w:ind w:right="20" w:firstLine="509"/>
        <w:spacing w:after="0" w:line="270" w:lineRule="auto"/>
        <w:rPr>
          <w:sz w:val="20"/>
          <w:szCs w:val="20"/>
          <w:color w:val="auto"/>
        </w:rPr>
      </w:pPr>
      <w:r>
        <w:rPr>
          <w:rFonts w:ascii="Times New Roman" w:cs="Times New Roman" w:eastAsia="Times New Roman" w:hAnsi="Times New Roman"/>
          <w:sz w:val="14"/>
          <w:szCs w:val="14"/>
          <w:color w:val="auto"/>
        </w:rPr>
        <w:t>The Credit Agreement contains certain customary covenants and events of default, including relating to a change of control. If an event of default occurs and is continuing, the lenders under the Credit Agreement will be entitled to take various actions, including the acceleration of amounts outstanding under the Credit Agreement and all actions permitted to be taken by a secured creditor in respect of the collateral securing the obligations under the Credit Agreement.</w:t>
      </w:r>
    </w:p>
    <w:p>
      <w:pPr>
        <w:spacing w:after="0" w:line="15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Under the Credit Agreement, the term loans will mature on January 13, 2029. The term loans amortize in annual installments equal to 1.0% of the original aggregate principal amount of the term loans and the Company repaid $18.0 million</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18" w:name="page19"/>
    <w:bookmarkEnd w:id="18"/>
    <w:p>
      <w:pPr>
        <w:ind w:right="200"/>
        <w:spacing w:after="0" w:line="270" w:lineRule="auto"/>
        <w:rPr>
          <w:sz w:val="20"/>
          <w:szCs w:val="20"/>
          <w:color w:val="auto"/>
        </w:rPr>
      </w:pPr>
      <w:r>
        <w:rPr>
          <w:rFonts w:ascii="Times New Roman" w:cs="Times New Roman" w:eastAsia="Times New Roman" w:hAnsi="Times New Roman"/>
          <w:sz w:val="14"/>
          <w:szCs w:val="14"/>
          <w:color w:val="auto"/>
        </w:rPr>
        <w:t>on January 13, 2023. On December 12, 2023, the Company made a voluntary prepayment of $55.0 million, and the payment is applied toward subsequent annual amortization installments. The revolving commitments will terminate on January 13, 2025. As of March 31, 2024, $1,727 million was outstanding under the term loans, and there were no amounts outstanding under the first lien revolving facility.</w:t>
      </w:r>
    </w:p>
    <w:p>
      <w:pPr>
        <w:spacing w:after="0" w:line="146" w:lineRule="exact"/>
        <w:rPr>
          <w:sz w:val="20"/>
          <w:szCs w:val="20"/>
          <w:color w:val="auto"/>
        </w:rPr>
      </w:pPr>
    </w:p>
    <w:p>
      <w:pPr>
        <w:ind w:right="260" w:firstLine="509"/>
        <w:spacing w:after="0" w:line="245" w:lineRule="auto"/>
        <w:rPr>
          <w:sz w:val="20"/>
          <w:szCs w:val="20"/>
          <w:color w:val="auto"/>
        </w:rPr>
      </w:pPr>
      <w:r>
        <w:rPr>
          <w:rFonts w:ascii="Times New Roman" w:cs="Times New Roman" w:eastAsia="Times New Roman" w:hAnsi="Times New Roman"/>
          <w:sz w:val="14"/>
          <w:szCs w:val="14"/>
          <w:color w:val="auto"/>
        </w:rPr>
        <w:t>In October 2019, the Company entered into a five-year $525 million floating-to-fixed interest rate swap agreement. In January 2020, the Company also entered into a five-year $1,000 million floating-to-fixed interest rate swap agreement. These two interest rate swaps met the criteria to be considered and were designated qualifying cash flow hedges under ASC 815 in the first quarter of 2020, and they effectively fixed interest payment obligations on $525.0 million and $1,000 million of principal under the Acquisition First Lien Term Loan Facility at rates of 4.3% and</w:t>
      </w:r>
    </w:p>
    <w:p>
      <w:pPr>
        <w:jc w:val="both"/>
        <w:ind w:right="120"/>
        <w:spacing w:after="0" w:line="242" w:lineRule="auto"/>
        <w:rPr>
          <w:sz w:val="20"/>
          <w:szCs w:val="20"/>
          <w:color w:val="auto"/>
        </w:rPr>
      </w:pPr>
      <w:r>
        <w:rPr>
          <w:rFonts w:ascii="Times New Roman" w:cs="Times New Roman" w:eastAsia="Times New Roman" w:hAnsi="Times New Roman"/>
          <w:sz w:val="14"/>
          <w:szCs w:val="14"/>
          <w:color w:val="auto"/>
        </w:rPr>
        <w:t>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w:t>
      </w:r>
    </w:p>
    <w:p>
      <w:pPr>
        <w:spacing w:after="0" w:line="6"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4"/>
          <w:szCs w:val="14"/>
          <w:color w:val="auto"/>
        </w:rPr>
        <w:t>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157" w:lineRule="exact"/>
        <w:rPr>
          <w:sz w:val="20"/>
          <w:szCs w:val="20"/>
          <w:color w:val="auto"/>
        </w:rPr>
      </w:pPr>
    </w:p>
    <w:p>
      <w:pPr>
        <w:ind w:right="80" w:firstLine="509"/>
        <w:spacing w:after="0" w:line="245" w:lineRule="auto"/>
        <w:rPr>
          <w:sz w:val="20"/>
          <w:szCs w:val="20"/>
          <w:color w:val="auto"/>
        </w:rPr>
      </w:pPr>
      <w:r>
        <w:rPr>
          <w:rFonts w:ascii="Times New Roman" w:cs="Times New Roman" w:eastAsia="Times New Roman" w:hAnsi="Times New Roman"/>
          <w:sz w:val="14"/>
          <w:szCs w:val="14"/>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to be amortized through interest expense. The Company simultaneously entered into a two-year $1,525 million floating-to-fixed interest rate swap agreement with the same counterparty. The new interest rate swap met the criteria to be considered and was designated as a qualifying cash flow hedge under ASC 815 as of December 2023, and it effectively fixed interest payment obligations on $1,525 million of principal under the First Lien Term Loan Facility at rate of 7.5% through November 2025, based on the interest rates set forth in the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SBI Bonds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On July 25, 2016, VFH issued Japanese Yen Bonds (collectively the “SBI Bonds”) in the aggregate principal amount of ¥3.5 billion ($33.1 million at issuance date) to SBI Life Insurance Co., Ltd. and SBI Insurance Co., Ltd. The proceeds from the SBI Bonds were used to partially fund the investment in Japannext Co., Ltd. (as described in Note 9 “Financial Assets and Liabilities”). The SBI Bonds are guaranteed by Virtu Financial. The SBI Bonds are subject to fluctuations on the Japanese Yen currency rates relative to the Company’s reporting currency (U.S. Dollar) with the changes reflected in Other, net in the Condensed Consolidated Statements of Comprehensive Income. In December 2022, the maturity of the SBI Bonds was extended to 2026. The principal balance was ¥3.5 billion ($23.1 million) as of March 31, 2024 and ¥3.5 billion ($24.8 million) as of December 31, 2023. The Company had a gain of $1.7 million and $0.3 million during the three months ended March 31, 2024 and 2023, respectively, due to changes in foreign currency rates.</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of March 31, 2024, aggregate future required minimum principal payments based on the terms of the long-term borrowings were as follows:</w:t>
      </w:r>
    </w:p>
    <w:p>
      <w:pPr>
        <w:spacing w:after="0" w:line="227" w:lineRule="exact"/>
        <w:rPr>
          <w:sz w:val="20"/>
          <w:szCs w:val="20"/>
          <w:color w:val="auto"/>
        </w:rPr>
      </w:pPr>
    </w:p>
    <w:tbl>
      <w:tblPr>
        <w:tblLayout w:type="fixed"/>
        <w:tblInd w:w="3380" w:type="dxa"/>
        <w:tblCellMar>
          <w:top w:w="0" w:type="dxa"/>
          <w:left w:w="0" w:type="dxa"/>
          <w:bottom w:w="0" w:type="dxa"/>
          <w:right w:w="0" w:type="dxa"/>
        </w:tblCellMar>
      </w:tblPr>
      <w:tr>
        <w:trPr>
          <w:trHeight w:val="158"/>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Pr>
          <w:p>
            <w:pPr>
              <w:spacing w:after="0"/>
              <w:rPr>
                <w:sz w:val="13"/>
                <w:szCs w:val="13"/>
                <w:color w:val="auto"/>
              </w:rPr>
            </w:pPr>
          </w:p>
        </w:tc>
        <w:tc>
          <w:tcPr>
            <w:tcW w:w="164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March 31, 2024</w:t>
            </w:r>
          </w:p>
        </w:tc>
      </w:tr>
      <w:tr>
        <w:trPr>
          <w:trHeight w:val="159"/>
        </w:trPr>
        <w:tc>
          <w:tcPr>
            <w:tcW w:w="2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Remainder of 2024</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3"/>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6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23,125</w:t>
            </w:r>
          </w:p>
        </w:tc>
      </w:tr>
      <w:tr>
        <w:trPr>
          <w:trHeight w:val="153"/>
        </w:trPr>
        <w:tc>
          <w:tcPr>
            <w:tcW w:w="2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17,000</w:t>
            </w:r>
          </w:p>
        </w:tc>
      </w:tr>
      <w:tr>
        <w:trPr>
          <w:trHeight w:val="165"/>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2028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18,000</w:t>
            </w:r>
          </w:p>
        </w:tc>
      </w:tr>
      <w:tr>
        <w:trPr>
          <w:trHeight w:val="15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2029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1,692,000</w:t>
            </w:r>
          </w:p>
        </w:tc>
      </w:tr>
      <w:tr>
        <w:trPr>
          <w:trHeight w:val="181"/>
        </w:trPr>
        <w:tc>
          <w:tcPr>
            <w:tcW w:w="3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principal of long-term borrowings</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1,750,125</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9. Financial Assets and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Financial Instruments Measured at Fair Value</w:t>
      </w:r>
    </w:p>
    <w:p>
      <w:pPr>
        <w:spacing w:after="0" w:line="202"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4"/>
          <w:szCs w:val="14"/>
          <w:color w:val="auto"/>
        </w:rPr>
        <w:t>The fair value of equities, options, on-the-run U.S. government obligations, exchange traded notes and digital assets is estimated using recently executed transactions and market price quotations in active markets and are categorized as Level 1 with the exception of inactively traded equities and certain other financial instruments, which are categorized as Level 2. The Company’s corporate bonds, derivative contracts, other U.S. and non-U.S. government obligations and receivables and payables linked to digital assets have been categorized as Level 2. Fair value of the Company’s derivative contracts is based on the indicative prices obtained from a number of banks and broker-dealers, as well as management’s own analyses. The indicative prices have been independently validated through the Company’s risk management systems, which are designed to check prices with information independently obtained from exchanges and venues where such financial instruments are listed or to compare prices of similar instruments with similar maturities for listed financial futures in foreign exchange.</w:t>
      </w:r>
    </w:p>
    <w:p>
      <w:pPr>
        <w:spacing w:after="0" w:line="167" w:lineRule="exact"/>
        <w:rPr>
          <w:sz w:val="20"/>
          <w:szCs w:val="20"/>
          <w:color w:val="auto"/>
        </w:rPr>
      </w:pPr>
    </w:p>
    <w:p>
      <w:pPr>
        <w:ind w:firstLine="509"/>
        <w:spacing w:after="0" w:line="263" w:lineRule="auto"/>
        <w:rPr>
          <w:sz w:val="20"/>
          <w:szCs w:val="20"/>
          <w:color w:val="auto"/>
        </w:rPr>
      </w:pPr>
      <w:r>
        <w:rPr>
          <w:rFonts w:ascii="Times New Roman" w:cs="Times New Roman" w:eastAsia="Times New Roman" w:hAnsi="Times New Roman"/>
          <w:sz w:val="14"/>
          <w:szCs w:val="14"/>
          <w:color w:val="auto"/>
        </w:rPr>
        <w:t>The Company prices certain financial instruments held for trading at fair value based on theoretical prices, which can differ from quoted market prices. The theoretical prices reflect price adjustments primarily caused by the fact that the Company continuously prices its financial instruments based on all available information. This information includes prices for identical and near-identical positions, as well as the prices for securities underlying the Company’s positions, on other exchanges that are open after the exchange on which the financial instruments is traded closes. The Company validates that all price adjustments can be substantiated with market inputs and checks the theoretical prices independently. Consequently, such financial instruments are classified as Level 2.</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20" w:name="page21"/>
    <w:bookmarkEnd w:id="20"/>
    <w:p>
      <w:pPr>
        <w:ind w:left="480"/>
        <w:spacing w:after="0"/>
        <w:rPr>
          <w:sz w:val="20"/>
          <w:szCs w:val="20"/>
          <w:color w:val="auto"/>
        </w:rPr>
      </w:pPr>
      <w:r>
        <w:rPr>
          <w:rFonts w:ascii="Times New Roman" w:cs="Times New Roman" w:eastAsia="Times New Roman" w:hAnsi="Times New Roman"/>
          <w:sz w:val="14"/>
          <w:szCs w:val="14"/>
          <w:color w:val="auto"/>
        </w:rPr>
        <w:t>Fair value measurements for those items measured on a recurring basis are summarized below as of March 31,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20" w:type="dxa"/>
            <w:vAlign w:val="bottom"/>
          </w:tcPr>
          <w:p>
            <w:pPr>
              <w:spacing w:after="0"/>
              <w:rPr>
                <w:sz w:val="9"/>
                <w:szCs w:val="9"/>
                <w:color w:val="auto"/>
              </w:rPr>
            </w:pPr>
          </w:p>
        </w:tc>
        <w:tc>
          <w:tcPr>
            <w:tcW w:w="12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Significant Other</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Significant Unobservable</w:t>
            </w:r>
          </w:p>
        </w:tc>
        <w:tc>
          <w:tcPr>
            <w:tcW w:w="60" w:type="dxa"/>
            <w:vAlign w:val="bottom"/>
          </w:tcPr>
          <w:p>
            <w:pPr>
              <w:spacing w:after="0"/>
              <w:rPr>
                <w:sz w:val="9"/>
                <w:szCs w:val="9"/>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Counterparty and Cash</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5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9"/>
                <w:szCs w:val="9"/>
                <w:color w:val="auto"/>
              </w:rPr>
            </w:pPr>
          </w:p>
        </w:tc>
        <w:tc>
          <w:tcPr>
            <w:tcW w:w="13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 Identical</w:t>
            </w:r>
          </w:p>
        </w:tc>
        <w:tc>
          <w:tcPr>
            <w:tcW w:w="120" w:type="dxa"/>
            <w:vAlign w:val="bottom"/>
          </w:tcPr>
          <w:p>
            <w:pPr>
              <w:spacing w:after="0"/>
              <w:rPr>
                <w:sz w:val="9"/>
                <w:szCs w:val="9"/>
                <w:color w:val="auto"/>
              </w:rPr>
            </w:pPr>
          </w:p>
        </w:tc>
        <w:tc>
          <w:tcPr>
            <w:tcW w:w="1280" w:type="dxa"/>
            <w:vAlign w:val="bottom"/>
            <w:gridSpan w:val="2"/>
          </w:tcPr>
          <w:p>
            <w:pPr>
              <w:jc w:val="center"/>
              <w:ind w:right="220"/>
              <w:spacing w:after="0" w:line="115"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4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0" w:type="dxa"/>
            <w:vAlign w:val="bottom"/>
          </w:tcPr>
          <w:p>
            <w:pPr>
              <w:spacing w:after="0"/>
              <w:rPr>
                <w:sz w:val="1"/>
                <w:szCs w:val="1"/>
                <w:color w:val="auto"/>
              </w:rPr>
            </w:pPr>
          </w:p>
        </w:tc>
      </w:tr>
      <w:tr>
        <w:trPr>
          <w:trHeight w:val="155"/>
        </w:trPr>
        <w:tc>
          <w:tcPr>
            <w:tcW w:w="45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Assets (Level 1)</w:t>
            </w:r>
          </w:p>
        </w:tc>
        <w:tc>
          <w:tcPr>
            <w:tcW w:w="12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12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6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Collateral Netting</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Financial instruments owned, at fair value:</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886,249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2,080,349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2,966,598</w:t>
            </w:r>
          </w:p>
        </w:tc>
        <w:tc>
          <w:tcPr>
            <w:tcW w:w="0" w:type="dxa"/>
            <w:vAlign w:val="bottom"/>
          </w:tcPr>
          <w:p>
            <w:pPr>
              <w:spacing w:after="0"/>
              <w:rPr>
                <w:sz w:val="1"/>
                <w:szCs w:val="1"/>
                <w:color w:val="auto"/>
              </w:rPr>
            </w:pPr>
          </w:p>
        </w:tc>
      </w:tr>
      <w:tr>
        <w:trPr>
          <w:trHeight w:val="153"/>
        </w:trPr>
        <w:tc>
          <w:tcPr>
            <w:tcW w:w="45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343,333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454,903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798,236</w:t>
            </w: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1,187,960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1,187,960</w:t>
            </w:r>
          </w:p>
        </w:tc>
        <w:tc>
          <w:tcPr>
            <w:tcW w:w="0" w:type="dxa"/>
            <w:vAlign w:val="bottom"/>
          </w:tcPr>
          <w:p>
            <w:pPr>
              <w:spacing w:after="0"/>
              <w:rPr>
                <w:sz w:val="1"/>
                <w:szCs w:val="1"/>
                <w:color w:val="auto"/>
              </w:rPr>
            </w:pPr>
          </w:p>
        </w:tc>
      </w:tr>
      <w:tr>
        <w:trPr>
          <w:trHeight w:val="153"/>
        </w:trPr>
        <w:tc>
          <w:tcPr>
            <w:tcW w:w="45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20,309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20,320</w:t>
            </w: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290,659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(268,583)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22,076</w:t>
            </w:r>
          </w:p>
        </w:tc>
        <w:tc>
          <w:tcPr>
            <w:tcW w:w="0" w:type="dxa"/>
            <w:vAlign w:val="bottom"/>
          </w:tcPr>
          <w:p>
            <w:pPr>
              <w:spacing w:after="0"/>
              <w:rPr>
                <w:sz w:val="1"/>
                <w:szCs w:val="1"/>
                <w:color w:val="auto"/>
              </w:rPr>
            </w:pPr>
          </w:p>
        </w:tc>
      </w:tr>
      <w:tr>
        <w:trPr>
          <w:trHeight w:val="153"/>
        </w:trPr>
        <w:tc>
          <w:tcPr>
            <w:tcW w:w="45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2,888</w:t>
            </w:r>
          </w:p>
        </w:tc>
        <w:tc>
          <w:tcPr>
            <w:tcW w:w="0" w:type="dxa"/>
            <w:vAlign w:val="bottom"/>
          </w:tcPr>
          <w:p>
            <w:pPr>
              <w:spacing w:after="0"/>
              <w:rPr>
                <w:sz w:val="1"/>
                <w:szCs w:val="1"/>
                <w:color w:val="auto"/>
              </w:rPr>
            </w:pPr>
          </w:p>
        </w:tc>
      </w:tr>
      <w:tr>
        <w:trPr>
          <w:trHeight w:val="175"/>
        </w:trPr>
        <w:tc>
          <w:tcPr>
            <w:tcW w:w="4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1,232,481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4,034,180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(268,583)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4,998,078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Financial instruments owned, pledged as collateral:</w:t>
            </w: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886,435</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555,416</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1,441,851</w:t>
            </w: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7,203</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886,438</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562,616</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1,449,054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 investment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84,587</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84,587</w:t>
            </w:r>
          </w:p>
        </w:tc>
        <w:tc>
          <w:tcPr>
            <w:tcW w:w="0" w:type="dxa"/>
            <w:vAlign w:val="bottom"/>
          </w:tcPr>
          <w:p>
            <w:pPr>
              <w:spacing w:after="0"/>
              <w:rPr>
                <w:sz w:val="1"/>
                <w:szCs w:val="1"/>
                <w:color w:val="auto"/>
              </w:rPr>
            </w:pPr>
          </w:p>
        </w:tc>
      </w:tr>
      <w:tr>
        <w:trPr>
          <w:trHeight w:val="153"/>
        </w:trPr>
        <w:tc>
          <w:tcPr>
            <w:tcW w:w="452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Digital assets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79,982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79,982</w:t>
            </w: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Exchange stock</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2,815</w:t>
            </w:r>
          </w:p>
        </w:tc>
        <w:tc>
          <w:tcPr>
            <w:tcW w:w="0" w:type="dxa"/>
            <w:vAlign w:val="bottom"/>
          </w:tcPr>
          <w:p>
            <w:pPr>
              <w:spacing w:after="0"/>
              <w:rPr>
                <w:sz w:val="1"/>
                <w:szCs w:val="1"/>
                <w:color w:val="auto"/>
              </w:rPr>
            </w:pPr>
          </w:p>
        </w:tc>
      </w:tr>
      <w:tr>
        <w:trPr>
          <w:trHeight w:val="144"/>
        </w:trPr>
        <w:tc>
          <w:tcPr>
            <w:tcW w:w="4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82,797</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84,587</w:t>
            </w: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167,384</w:t>
            </w:r>
          </w:p>
        </w:tc>
        <w:tc>
          <w:tcPr>
            <w:tcW w:w="0" w:type="dxa"/>
            <w:vAlign w:val="bottom"/>
          </w:tcPr>
          <w:p>
            <w:pPr>
              <w:spacing w:after="0"/>
              <w:rPr>
                <w:sz w:val="1"/>
                <w:szCs w:val="1"/>
                <w:color w:val="auto"/>
              </w:rPr>
            </w:pP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43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Receivables from broker dealers and clearing organizations:</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rate swap</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5,753</w:t>
            </w:r>
          </w:p>
        </w:tc>
        <w:tc>
          <w:tcPr>
            <w:tcW w:w="0" w:type="dxa"/>
            <w:vAlign w:val="bottom"/>
          </w:tcPr>
          <w:p>
            <w:pPr>
              <w:spacing w:after="0"/>
              <w:rPr>
                <w:sz w:val="1"/>
                <w:szCs w:val="1"/>
                <w:color w:val="auto"/>
              </w:rPr>
            </w:pPr>
          </w:p>
        </w:tc>
      </w:tr>
      <w:tr>
        <w:trPr>
          <w:trHeight w:val="153"/>
        </w:trPr>
        <w:tc>
          <w:tcPr>
            <w:tcW w:w="452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1"/>
                <w:szCs w:val="11"/>
                <w:color w:val="auto"/>
              </w:rPr>
              <w:t>Receivables linked to digital assets</w:t>
            </w: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17,048</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17,048</w:t>
            </w:r>
          </w:p>
        </w:tc>
        <w:tc>
          <w:tcPr>
            <w:tcW w:w="0" w:type="dxa"/>
            <w:vAlign w:val="bottom"/>
          </w:tcPr>
          <w:p>
            <w:pPr>
              <w:spacing w:after="0"/>
              <w:rPr>
                <w:sz w:val="1"/>
                <w:szCs w:val="1"/>
                <w:color w:val="auto"/>
              </w:rPr>
            </w:pPr>
          </w:p>
        </w:tc>
      </w:tr>
      <w:tr>
        <w:trPr>
          <w:trHeight w:val="175"/>
        </w:trPr>
        <w:tc>
          <w:tcPr>
            <w:tcW w:w="43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22,801</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22,801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Financial instruments sold, not yet purchased, at fair value:</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1,888,070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1,430,974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3,319,044</w:t>
            </w:r>
          </w:p>
        </w:tc>
        <w:tc>
          <w:tcPr>
            <w:tcW w:w="0" w:type="dxa"/>
            <w:vAlign w:val="bottom"/>
          </w:tcPr>
          <w:p>
            <w:pPr>
              <w:spacing w:after="0"/>
              <w:rPr>
                <w:sz w:val="1"/>
                <w:szCs w:val="1"/>
                <w:color w:val="auto"/>
              </w:rPr>
            </w:pPr>
          </w:p>
        </w:tc>
      </w:tr>
      <w:tr>
        <w:trPr>
          <w:trHeight w:val="153"/>
        </w:trPr>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209,193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965,945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1,175,138</w:t>
            </w: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1,166,408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1,166,408</w:t>
            </w:r>
          </w:p>
        </w:tc>
        <w:tc>
          <w:tcPr>
            <w:tcW w:w="0" w:type="dxa"/>
            <w:vAlign w:val="bottom"/>
          </w:tcPr>
          <w:p>
            <w:pPr>
              <w:spacing w:after="0"/>
              <w:rPr>
                <w:sz w:val="1"/>
                <w:szCs w:val="1"/>
                <w:color w:val="auto"/>
              </w:rPr>
            </w:pPr>
          </w:p>
        </w:tc>
      </w:tr>
      <w:tr>
        <w:trPr>
          <w:trHeight w:val="153"/>
        </w:trPr>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31,280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31,280</w:t>
            </w:r>
          </w:p>
        </w:tc>
        <w:tc>
          <w:tcPr>
            <w:tcW w:w="0" w:type="dxa"/>
            <w:vAlign w:val="bottom"/>
          </w:tcPr>
          <w:p>
            <w:pPr>
              <w:spacing w:after="0"/>
              <w:rPr>
                <w:sz w:val="1"/>
                <w:szCs w:val="1"/>
                <w:color w:val="auto"/>
              </w:rPr>
            </w:pPr>
          </w:p>
        </w:tc>
      </w:tr>
      <w:tr>
        <w:trPr>
          <w:trHeight w:val="165"/>
        </w:trPr>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253,151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(253,146)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3,122</w:t>
            </w:r>
          </w:p>
        </w:tc>
        <w:tc>
          <w:tcPr>
            <w:tcW w:w="0" w:type="dxa"/>
            <w:vAlign w:val="bottom"/>
          </w:tcPr>
          <w:p>
            <w:pPr>
              <w:spacing w:after="0"/>
              <w:rPr>
                <w:sz w:val="1"/>
                <w:szCs w:val="1"/>
                <w:color w:val="auto"/>
              </w:rPr>
            </w:pPr>
          </w:p>
        </w:tc>
      </w:tr>
      <w:tr>
        <w:trPr>
          <w:trHeight w:val="175"/>
        </w:trPr>
        <w:tc>
          <w:tcPr>
            <w:tcW w:w="4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2,100,385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3,847,758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(253,146)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5,694,997</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Payables to broker dealers and clearing organizations:</w:t>
            </w: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5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Payables linked to digital assets</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90,271</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90,271</w:t>
            </w:r>
          </w:p>
        </w:tc>
        <w:tc>
          <w:tcPr>
            <w:tcW w:w="0" w:type="dxa"/>
            <w:vAlign w:val="bottom"/>
          </w:tcPr>
          <w:p>
            <w:pPr>
              <w:spacing w:after="0"/>
              <w:rPr>
                <w:sz w:val="1"/>
                <w:szCs w:val="1"/>
                <w:color w:val="auto"/>
              </w:rPr>
            </w:pPr>
          </w:p>
        </w:tc>
      </w:tr>
      <w:tr>
        <w:trPr>
          <w:trHeight w:val="175"/>
        </w:trPr>
        <w:tc>
          <w:tcPr>
            <w:tcW w:w="434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90,271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90,271</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0" w:right="339" w:bottom="1440" w:gutter="0" w:footer="0" w:header="0"/>
        </w:sectPr>
      </w:pPr>
    </w:p>
    <w:bookmarkStart w:id="21" w:name="page22"/>
    <w:bookmarkEnd w:id="21"/>
    <w:p>
      <w:pPr>
        <w:ind w:left="520"/>
        <w:spacing w:after="0"/>
        <w:rPr>
          <w:sz w:val="20"/>
          <w:szCs w:val="20"/>
          <w:color w:val="auto"/>
        </w:rPr>
      </w:pPr>
      <w:r>
        <w:rPr>
          <w:rFonts w:ascii="Times New Roman" w:cs="Times New Roman" w:eastAsia="Times New Roman" w:hAnsi="Times New Roman"/>
          <w:sz w:val="14"/>
          <w:szCs w:val="14"/>
          <w:color w:val="auto"/>
        </w:rPr>
        <w:t>Fair value measurements for those items measured on a recurring basis are summarized below as of December 31, 2023:</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4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34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40" w:type="dxa"/>
            <w:vAlign w:val="bottom"/>
          </w:tcPr>
          <w:p>
            <w:pPr>
              <w:spacing w:after="0"/>
              <w:rPr>
                <w:sz w:val="9"/>
                <w:szCs w:val="9"/>
                <w:color w:val="auto"/>
              </w:rPr>
            </w:pPr>
          </w:p>
        </w:tc>
        <w:tc>
          <w:tcPr>
            <w:tcW w:w="128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Significant Other</w:t>
            </w:r>
          </w:p>
        </w:tc>
        <w:tc>
          <w:tcPr>
            <w:tcW w:w="14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Significant Unobservable</w:t>
            </w:r>
          </w:p>
        </w:tc>
        <w:tc>
          <w:tcPr>
            <w:tcW w:w="80" w:type="dxa"/>
            <w:vAlign w:val="bottom"/>
          </w:tcPr>
          <w:p>
            <w:pPr>
              <w:spacing w:after="0"/>
              <w:rPr>
                <w:sz w:val="9"/>
                <w:szCs w:val="9"/>
                <w:color w:val="auto"/>
              </w:rPr>
            </w:pPr>
          </w:p>
        </w:tc>
        <w:tc>
          <w:tcPr>
            <w:tcW w:w="13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Counterparty and Cash</w:t>
            </w: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44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60" w:type="dxa"/>
            <w:vAlign w:val="bottom"/>
          </w:tcPr>
          <w:p>
            <w:pPr>
              <w:spacing w:after="0"/>
              <w:rPr>
                <w:sz w:val="9"/>
                <w:szCs w:val="9"/>
                <w:color w:val="auto"/>
              </w:rPr>
            </w:pPr>
          </w:p>
        </w:tc>
        <w:tc>
          <w:tcPr>
            <w:tcW w:w="134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 Identical</w:t>
            </w:r>
          </w:p>
        </w:tc>
        <w:tc>
          <w:tcPr>
            <w:tcW w:w="140" w:type="dxa"/>
            <w:vAlign w:val="bottom"/>
          </w:tcPr>
          <w:p>
            <w:pPr>
              <w:spacing w:after="0"/>
              <w:rPr>
                <w:sz w:val="9"/>
                <w:szCs w:val="9"/>
                <w:color w:val="auto"/>
              </w:rPr>
            </w:pPr>
          </w:p>
        </w:tc>
        <w:tc>
          <w:tcPr>
            <w:tcW w:w="128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rPr>
              <w:t>Observable Inputs</w:t>
            </w:r>
          </w:p>
        </w:tc>
        <w:tc>
          <w:tcPr>
            <w:tcW w:w="140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b w:val="1"/>
                <w:bCs w:val="1"/>
                <w:color w:val="auto"/>
              </w:rPr>
              <w:t>Total Fair Value</w:t>
            </w:r>
          </w:p>
        </w:tc>
        <w:tc>
          <w:tcPr>
            <w:tcW w:w="0" w:type="dxa"/>
            <w:vAlign w:val="bottom"/>
          </w:tcPr>
          <w:p>
            <w:pPr>
              <w:spacing w:after="0"/>
              <w:rPr>
                <w:sz w:val="1"/>
                <w:szCs w:val="1"/>
                <w:color w:val="auto"/>
              </w:rPr>
            </w:pPr>
          </w:p>
        </w:tc>
      </w:tr>
      <w:tr>
        <w:trPr>
          <w:trHeight w:val="155"/>
        </w:trPr>
        <w:tc>
          <w:tcPr>
            <w:tcW w:w="448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Assets (Level 1)</w:t>
            </w:r>
          </w:p>
        </w:tc>
        <w:tc>
          <w:tcPr>
            <w:tcW w:w="14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3"/>
                <w:szCs w:val="13"/>
                <w:color w:val="auto"/>
              </w:rPr>
            </w:pPr>
          </w:p>
        </w:tc>
        <w:tc>
          <w:tcPr>
            <w:tcW w:w="132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Inputs (Level 3)</w:t>
            </w:r>
          </w:p>
        </w:tc>
        <w:tc>
          <w:tcPr>
            <w:tcW w:w="80" w:type="dxa"/>
            <w:vAlign w:val="bottom"/>
          </w:tcPr>
          <w:p>
            <w:pPr>
              <w:spacing w:after="0"/>
              <w:rPr>
                <w:sz w:val="13"/>
                <w:szCs w:val="13"/>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Collateral Netting</w:t>
            </w:r>
          </w:p>
        </w:tc>
        <w:tc>
          <w:tcPr>
            <w:tcW w:w="1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Financial instruments owned, at fair value:</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710,699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1,844,106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2,554,805</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521,542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1,775,177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2,296,719</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1,232,097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1,232,097</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18,055</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18,065</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377,279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(354,698)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22,581</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3,485</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1,235,736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5,246,714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(354,698)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6,127,752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color w:val="auto"/>
              </w:rPr>
              <w:t>Financial instruments owned, pledged as collateral:</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871,237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351,322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1,222,559</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8,297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8,300</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871,240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359,619</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1,230,859</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1"/>
                <w:szCs w:val="11"/>
                <w:color w:val="auto"/>
              </w:rPr>
              <w:t>Other Assets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44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investment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81,805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81,805</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Exchange stock</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2,716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2,716</w:t>
            </w:r>
          </w:p>
        </w:tc>
        <w:tc>
          <w:tcPr>
            <w:tcW w:w="0" w:type="dxa"/>
            <w:vAlign w:val="bottom"/>
          </w:tcPr>
          <w:p>
            <w:pPr>
              <w:spacing w:after="0"/>
              <w:rPr>
                <w:sz w:val="1"/>
                <w:szCs w:val="1"/>
                <w:color w:val="auto"/>
              </w:rPr>
            </w:pPr>
          </w:p>
        </w:tc>
      </w:tr>
      <w:tr>
        <w:trPr>
          <w:trHeight w:val="160"/>
        </w:trPr>
        <w:tc>
          <w:tcPr>
            <w:tcW w:w="43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2,716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81,805</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84,521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Financial instruments sold, not yet purchased, at fair value:</w:t>
            </w: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1,447,726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1,165,091</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2,612,817</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181,393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1,891,556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2,072,949</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Corporate Bonds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1,358,522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1,358,522</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Exchange traded notes</w:t>
            </w:r>
          </w:p>
        </w:tc>
        <w:tc>
          <w:tcPr>
            <w:tcW w:w="60" w:type="dxa"/>
            <w:vAlign w:val="bottom"/>
          </w:tcPr>
          <w:p>
            <w:pPr>
              <w:spacing w:after="0"/>
              <w:rPr>
                <w:sz w:val="13"/>
                <w:szCs w:val="13"/>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21,104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21,104</w:t>
            </w:r>
          </w:p>
        </w:tc>
        <w:tc>
          <w:tcPr>
            <w:tcW w:w="0" w:type="dxa"/>
            <w:vAlign w:val="bottom"/>
          </w:tcPr>
          <w:p>
            <w:pPr>
              <w:spacing w:after="0"/>
              <w:rPr>
                <w:sz w:val="1"/>
                <w:szCs w:val="1"/>
                <w:color w:val="auto"/>
              </w:rPr>
            </w:pPr>
          </w:p>
        </w:tc>
      </w:tr>
      <w:tr>
        <w:trPr>
          <w:trHeight w:val="165"/>
        </w:trPr>
        <w:tc>
          <w:tcPr>
            <w:tcW w:w="4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Currency forwards</w:t>
            </w: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339,085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(336,311)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2,774</w:t>
            </w: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Options</w:t>
            </w:r>
          </w:p>
        </w:tc>
        <w:tc>
          <w:tcPr>
            <w:tcW w:w="6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3,186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3,186</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1,632,305</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4,775,358</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1"/>
                <w:szCs w:val="11"/>
                <w:color w:val="auto"/>
              </w:rPr>
              <w:t>(336,311)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6,071,352</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4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Payables to broker dealers and clearing organizations:</w:t>
            </w:r>
          </w:p>
        </w:tc>
        <w:tc>
          <w:tcPr>
            <w:tcW w:w="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4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rate swap</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7,661</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7,661</w:t>
            </w:r>
          </w:p>
        </w:tc>
        <w:tc>
          <w:tcPr>
            <w:tcW w:w="0" w:type="dxa"/>
            <w:vAlign w:val="bottom"/>
          </w:tcPr>
          <w:p>
            <w:pPr>
              <w:spacing w:after="0"/>
              <w:rPr>
                <w:sz w:val="1"/>
                <w:szCs w:val="1"/>
                <w:color w:val="auto"/>
              </w:rPr>
            </w:pPr>
          </w:p>
        </w:tc>
      </w:tr>
      <w:tr>
        <w:trPr>
          <w:trHeight w:val="175"/>
        </w:trPr>
        <w:tc>
          <w:tcPr>
            <w:tcW w:w="438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7,661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7,661</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JNX Investment</w:t>
      </w:r>
    </w:p>
    <w:p>
      <w:pPr>
        <w:spacing w:after="0" w:line="202" w:lineRule="exact"/>
        <w:rPr>
          <w:sz w:val="20"/>
          <w:szCs w:val="20"/>
          <w:color w:val="auto"/>
        </w:rPr>
      </w:pPr>
    </w:p>
    <w:p>
      <w:pPr>
        <w:jc w:val="both"/>
        <w:ind w:right="60" w:firstLine="509"/>
        <w:spacing w:after="0" w:line="260" w:lineRule="auto"/>
        <w:rPr>
          <w:sz w:val="20"/>
          <w:szCs w:val="20"/>
          <w:color w:val="auto"/>
        </w:rPr>
      </w:pPr>
      <w:r>
        <w:rPr>
          <w:rFonts w:ascii="Times New Roman" w:cs="Times New Roman" w:eastAsia="Times New Roman" w:hAnsi="Times New Roman"/>
          <w:sz w:val="14"/>
          <w:szCs w:val="14"/>
          <w:color w:val="auto"/>
        </w:rPr>
        <w:t>The Company has a minority investment (the “JNX Investment”) in Japannext Co., Ltd. (“JNX”), formerly known as SBI Japannext Co., Ltd., a proprietary trading system based in Tokyo. In connection with the JNX Investment, the Company issued the SBI Bonds (as described in Note 8 “Borrowings”) and used the proceeds to partially finance the transaction. The JNX Investment is included within Level 3 of the fair value hierarchy. As of March 31, 2024 and December 31, 2023, the fair value of the JNX Investment was determined using a weighted average of valuations using</w:t>
      </w:r>
    </w:p>
    <w:p>
      <w:pPr>
        <w:ind w:right="20" w:firstLine="5"/>
        <w:spacing w:after="0" w:line="259" w:lineRule="auto"/>
        <w:tabs>
          <w:tab w:leader="none" w:pos="153"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discounted cash flow method, an income approach; 2) a market approach based on average enterprise value/EBITDA ratios of comparable companies; and to a lesser extent 3) a transaction approach based on transaction values of comparable companies. The fair value measurement is highly sensitive to significant changes in the unobservable inputs, and significant increases (decreases) in discount rate or decreases (increases) in enterprise value/EBITDA multiples would result in a significantly lower (higher) fair value measurement.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22" w:name="page23"/>
    <w:bookmarkEnd w:id="22"/>
    <w:p>
      <w:pPr>
        <w:ind w:left="520"/>
        <w:spacing w:after="0"/>
        <w:rPr>
          <w:sz w:val="20"/>
          <w:szCs w:val="20"/>
          <w:color w:val="auto"/>
        </w:rPr>
      </w:pPr>
      <w:r>
        <w:rPr>
          <w:rFonts w:ascii="Times New Roman" w:cs="Times New Roman" w:eastAsia="Times New Roman" w:hAnsi="Times New Roman"/>
          <w:sz w:val="14"/>
          <w:szCs w:val="14"/>
          <w:color w:val="auto"/>
        </w:rPr>
        <w:t>The table below presents information on the valuation techniques, significant unobservable inputs and their ranges for the JNX Investment:</w:t>
      </w:r>
    </w:p>
    <w:p>
      <w:pPr>
        <w:spacing w:after="0" w:line="227"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25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2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6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 Unobservable Input</w:t>
            </w:r>
          </w:p>
        </w:tc>
        <w:tc>
          <w:tcPr>
            <w:tcW w:w="12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5"/>
        </w:trPr>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1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84,587</w:t>
            </w:r>
          </w:p>
        </w:tc>
        <w:tc>
          <w:tcPr>
            <w:tcW w:w="1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Discounted cash flow</w:t>
            </w:r>
          </w:p>
        </w:tc>
        <w:tc>
          <w:tcPr>
            <w:tcW w:w="2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Estimated revenue growth</w:t>
            </w:r>
          </w:p>
        </w:tc>
        <w:tc>
          <w:tcPr>
            <w:tcW w:w="1280" w:type="dxa"/>
            <w:vAlign w:val="bottom"/>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5.0% - 10.2%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6.6 %</w:t>
            </w:r>
          </w:p>
        </w:tc>
        <w:tc>
          <w:tcPr>
            <w:tcW w:w="0" w:type="dxa"/>
            <w:vAlign w:val="bottom"/>
          </w:tcPr>
          <w:p>
            <w:pPr>
              <w:spacing w:after="0"/>
              <w:rPr>
                <w:sz w:val="1"/>
                <w:szCs w:val="1"/>
                <w:color w:val="auto"/>
              </w:rPr>
            </w:pPr>
          </w:p>
        </w:tc>
      </w:tr>
      <w:tr>
        <w:trPr>
          <w:trHeight w:val="153"/>
        </w:trPr>
        <w:tc>
          <w:tcPr>
            <w:tcW w:w="2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060" w:type="dxa"/>
            <w:vAlign w:val="bottom"/>
          </w:tcPr>
          <w:p>
            <w:pPr>
              <w:ind w:left="200"/>
              <w:spacing w:after="0"/>
              <w:rPr>
                <w:sz w:val="20"/>
                <w:szCs w:val="20"/>
                <w:color w:val="auto"/>
              </w:rPr>
            </w:pPr>
            <w:r>
              <w:rPr>
                <w:rFonts w:ascii="Times New Roman" w:cs="Times New Roman" w:eastAsia="Times New Roman" w:hAnsi="Times New Roman"/>
                <w:sz w:val="11"/>
                <w:szCs w:val="11"/>
                <w:color w:val="auto"/>
              </w:rPr>
              <w:t>Discount rate</w:t>
            </w: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16.0% - 16.0%</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16.0 %</w:t>
            </w:r>
          </w:p>
        </w:tc>
        <w:tc>
          <w:tcPr>
            <w:tcW w:w="0" w:type="dxa"/>
            <w:vAlign w:val="bottom"/>
          </w:tcPr>
          <w:p>
            <w:pPr>
              <w:spacing w:after="0"/>
              <w:rPr>
                <w:sz w:val="1"/>
                <w:szCs w:val="1"/>
                <w:color w:val="auto"/>
              </w:rPr>
            </w:pPr>
          </w:p>
        </w:tc>
      </w:tr>
      <w:tr>
        <w:trPr>
          <w:trHeight w:val="116"/>
        </w:trPr>
        <w:tc>
          <w:tcPr>
            <w:tcW w:w="2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6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Market</w:t>
            </w:r>
          </w:p>
        </w:tc>
        <w:tc>
          <w:tcPr>
            <w:tcW w:w="2060" w:type="dxa"/>
            <w:vAlign w:val="bottom"/>
            <w:shd w:val="clear" w:color="auto" w:fill="CCEEFF"/>
          </w:tcPr>
          <w:p>
            <w:pPr>
              <w:ind w:left="200"/>
              <w:spacing w:after="0" w:line="116" w:lineRule="exact"/>
              <w:rPr>
                <w:sz w:val="20"/>
                <w:szCs w:val="20"/>
                <w:color w:val="auto"/>
              </w:rPr>
            </w:pPr>
            <w:r>
              <w:rPr>
                <w:rFonts w:ascii="Times New Roman" w:cs="Times New Roman" w:eastAsia="Times New Roman" w:hAnsi="Times New Roman"/>
                <w:sz w:val="11"/>
                <w:szCs w:val="11"/>
                <w:color w:val="auto"/>
              </w:rPr>
              <w:t>Future enterprise value/ EBIDTA</w:t>
            </w:r>
          </w:p>
        </w:tc>
        <w:tc>
          <w:tcPr>
            <w:tcW w:w="1280" w:type="dxa"/>
            <w:vAlign w:val="bottom"/>
            <w:vMerge w:val="restart"/>
            <w:shd w:val="clear" w:color="auto" w:fill="CCEEFF"/>
          </w:tcPr>
          <w:p>
            <w:pPr>
              <w:jc w:val="center"/>
              <w:ind w:right="3"/>
              <w:spacing w:after="0"/>
              <w:rPr>
                <w:sz w:val="20"/>
                <w:szCs w:val="20"/>
                <w:color w:val="auto"/>
              </w:rPr>
            </w:pPr>
            <w:r>
              <w:rPr>
                <w:rFonts w:ascii="Times New Roman" w:cs="Times New Roman" w:eastAsia="Times New Roman" w:hAnsi="Times New Roman"/>
                <w:sz w:val="11"/>
                <w:szCs w:val="11"/>
                <w:color w:val="auto"/>
              </w:rPr>
              <w:t>9.5x - 17.7x</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14.4x</w:t>
            </w:r>
          </w:p>
        </w:tc>
        <w:tc>
          <w:tcPr>
            <w:tcW w:w="0" w:type="dxa"/>
            <w:vAlign w:val="bottom"/>
          </w:tcPr>
          <w:p>
            <w:pPr>
              <w:spacing w:after="0"/>
              <w:rPr>
                <w:sz w:val="1"/>
                <w:szCs w:val="1"/>
                <w:color w:val="auto"/>
              </w:rPr>
            </w:pPr>
          </w:p>
        </w:tc>
      </w:tr>
      <w:tr>
        <w:trPr>
          <w:trHeight w:val="155"/>
        </w:trPr>
        <w:tc>
          <w:tcPr>
            <w:tcW w:w="25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600" w:type="dxa"/>
            <w:vAlign w:val="bottom"/>
            <w:vMerge w:val="continue"/>
            <w:shd w:val="clear" w:color="auto" w:fill="CCEEFF"/>
          </w:tcPr>
          <w:p>
            <w:pPr>
              <w:spacing w:after="0"/>
              <w:rPr>
                <w:sz w:val="13"/>
                <w:szCs w:val="13"/>
                <w:color w:val="auto"/>
              </w:rPr>
            </w:pPr>
          </w:p>
        </w:tc>
        <w:tc>
          <w:tcPr>
            <w:tcW w:w="2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1"/>
                <w:szCs w:val="11"/>
                <w:color w:val="auto"/>
              </w:rPr>
              <w:t>ratio</w:t>
            </w:r>
          </w:p>
        </w:tc>
        <w:tc>
          <w:tcPr>
            <w:tcW w:w="1280" w:type="dxa"/>
            <w:vAlign w:val="bottom"/>
            <w:vMerge w:val="continue"/>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25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5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5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1"/>
                <w:szCs w:val="11"/>
                <w:b w:val="1"/>
                <w:bCs w:val="1"/>
                <w:color w:val="auto"/>
              </w:rPr>
              <w:t>Valuation Technique</w:t>
            </w:r>
          </w:p>
        </w:tc>
        <w:tc>
          <w:tcPr>
            <w:tcW w:w="20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 Unobservable Input</w:t>
            </w: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Range</w:t>
            </w:r>
          </w:p>
        </w:tc>
        <w:tc>
          <w:tcPr>
            <w:tcW w:w="13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55"/>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81,805</w:t>
            </w:r>
          </w:p>
        </w:tc>
        <w:tc>
          <w:tcPr>
            <w:tcW w:w="1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Discounted cash flow</w:t>
            </w:r>
          </w:p>
        </w:tc>
        <w:tc>
          <w:tcPr>
            <w:tcW w:w="2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Estimated revenue growth</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- 6.8%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5.8 %</w:t>
            </w:r>
          </w:p>
        </w:tc>
        <w:tc>
          <w:tcPr>
            <w:tcW w:w="0" w:type="dxa"/>
            <w:vAlign w:val="bottom"/>
          </w:tcPr>
          <w:p>
            <w:pPr>
              <w:spacing w:after="0"/>
              <w:rPr>
                <w:sz w:val="1"/>
                <w:szCs w:val="1"/>
                <w:color w:val="auto"/>
              </w:rPr>
            </w:pPr>
          </w:p>
        </w:tc>
      </w:tr>
      <w:tr>
        <w:trPr>
          <w:trHeight w:val="153"/>
        </w:trPr>
        <w:tc>
          <w:tcPr>
            <w:tcW w:w="2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0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Discount rate</w:t>
            </w:r>
          </w:p>
        </w:tc>
        <w:tc>
          <w:tcPr>
            <w:tcW w:w="5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w:t>
            </w:r>
          </w:p>
        </w:tc>
        <w:tc>
          <w:tcPr>
            <w:tcW w:w="680" w:type="dxa"/>
            <w:vAlign w:val="bottom"/>
          </w:tcPr>
          <w:p>
            <w:pPr>
              <w:spacing w:after="0"/>
              <w:rPr>
                <w:sz w:val="20"/>
                <w:szCs w:val="20"/>
                <w:color w:val="auto"/>
              </w:rPr>
            </w:pPr>
            <w:r>
              <w:rPr>
                <w:rFonts w:ascii="Times New Roman" w:cs="Times New Roman" w:eastAsia="Times New Roman" w:hAnsi="Times New Roman"/>
                <w:sz w:val="11"/>
                <w:szCs w:val="11"/>
                <w:color w:val="auto"/>
              </w:rPr>
              <w:t>- 15.6%</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15.6 %</w:t>
            </w:r>
          </w:p>
        </w:tc>
        <w:tc>
          <w:tcPr>
            <w:tcW w:w="0" w:type="dxa"/>
            <w:vAlign w:val="bottom"/>
          </w:tcPr>
          <w:p>
            <w:pPr>
              <w:spacing w:after="0"/>
              <w:rPr>
                <w:sz w:val="1"/>
                <w:szCs w:val="1"/>
                <w:color w:val="auto"/>
              </w:rPr>
            </w:pPr>
          </w:p>
        </w:tc>
      </w:tr>
      <w:tr>
        <w:trPr>
          <w:trHeight w:val="112"/>
        </w:trPr>
        <w:tc>
          <w:tcPr>
            <w:tcW w:w="25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58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Market</w:t>
            </w:r>
          </w:p>
        </w:tc>
        <w:tc>
          <w:tcPr>
            <w:tcW w:w="2060" w:type="dxa"/>
            <w:vAlign w:val="bottom"/>
            <w:shd w:val="clear" w:color="auto" w:fill="CCEEFF"/>
          </w:tcPr>
          <w:p>
            <w:pPr>
              <w:ind w:left="220"/>
              <w:spacing w:after="0" w:line="113" w:lineRule="exact"/>
              <w:rPr>
                <w:sz w:val="20"/>
                <w:szCs w:val="20"/>
                <w:color w:val="auto"/>
              </w:rPr>
            </w:pPr>
            <w:r>
              <w:rPr>
                <w:rFonts w:ascii="Times New Roman" w:cs="Times New Roman" w:eastAsia="Times New Roman" w:hAnsi="Times New Roman"/>
                <w:sz w:val="11"/>
                <w:szCs w:val="11"/>
                <w:color w:val="auto"/>
              </w:rPr>
              <w:t>Future enterprise value/ EBIDTA</w:t>
            </w:r>
          </w:p>
        </w:tc>
        <w:tc>
          <w:tcPr>
            <w:tcW w:w="126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8.7x - 17.8x</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12.9x</w:t>
            </w:r>
          </w:p>
        </w:tc>
        <w:tc>
          <w:tcPr>
            <w:tcW w:w="0" w:type="dxa"/>
            <w:vAlign w:val="bottom"/>
          </w:tcPr>
          <w:p>
            <w:pPr>
              <w:spacing w:after="0"/>
              <w:rPr>
                <w:sz w:val="1"/>
                <w:szCs w:val="1"/>
                <w:color w:val="auto"/>
              </w:rPr>
            </w:pPr>
          </w:p>
        </w:tc>
      </w:tr>
      <w:tr>
        <w:trPr>
          <w:trHeight w:val="159"/>
        </w:trPr>
        <w:tc>
          <w:tcPr>
            <w:tcW w:w="25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580" w:type="dxa"/>
            <w:vAlign w:val="bottom"/>
            <w:vMerge w:val="continue"/>
            <w:shd w:val="clear" w:color="auto" w:fill="CCEEFF"/>
          </w:tcPr>
          <w:p>
            <w:pPr>
              <w:spacing w:after="0"/>
              <w:rPr>
                <w:sz w:val="13"/>
                <w:szCs w:val="13"/>
                <w:color w:val="auto"/>
              </w:rPr>
            </w:pPr>
          </w:p>
        </w:tc>
        <w:tc>
          <w:tcPr>
            <w:tcW w:w="2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ratio</w:t>
            </w:r>
          </w:p>
        </w:tc>
        <w:tc>
          <w:tcPr>
            <w:tcW w:w="1260" w:type="dxa"/>
            <w:vAlign w:val="bottom"/>
            <w:gridSpan w:val="2"/>
            <w:vMerge w:val="continue"/>
            <w:shd w:val="clear" w:color="auto" w:fill="CCEEFF"/>
          </w:tcPr>
          <w:p>
            <w:pPr>
              <w:spacing w:after="0"/>
              <w:rPr>
                <w:sz w:val="13"/>
                <w:szCs w:val="13"/>
                <w:color w:val="auto"/>
              </w:rPr>
            </w:pPr>
          </w:p>
        </w:tc>
        <w:tc>
          <w:tcPr>
            <w:tcW w:w="136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Changes in the fair value of the JNX Investment are included within Other, net in the Consolidated Statements of Comprehensive Income.</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presents the changes in the Company's Level 3 financial instruments measured at fair value on a recurring basis:</w:t>
      </w:r>
    </w:p>
    <w:p>
      <w:pPr>
        <w:spacing w:after="0" w:line="312"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p>
      <w:pPr>
        <w:sectPr>
          <w:pgSz w:w="11900" w:h="16838" w:orient="portrait"/>
          <w:cols w:equalWidth="0" w:num="1">
            <w:col w:w="11280"/>
          </w:cols>
          <w:pgMar w:left="300" w:top="730" w:right="319" w:bottom="1440" w:gutter="0" w:footer="0" w:header="0"/>
        </w:sectPr>
      </w:pP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142176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21765" cy="698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Other assets: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Equity investment</w:t>
      </w:r>
    </w:p>
    <w:p>
      <w:pPr>
        <w:spacing w:after="0" w:line="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Total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6"/>
        </w:trPr>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23"/>
              <w:spacing w:after="0" w:line="116" w:lineRule="exact"/>
              <w:rPr>
                <w:sz w:val="20"/>
                <w:szCs w:val="20"/>
                <w:color w:val="auto"/>
              </w:rPr>
            </w:pPr>
            <w:r>
              <w:rPr>
                <w:rFonts w:ascii="Times New Roman" w:cs="Times New Roman" w:eastAsia="Times New Roman" w:hAnsi="Times New Roman"/>
                <w:sz w:val="11"/>
                <w:szCs w:val="11"/>
                <w:b w:val="1"/>
                <w:bCs w:val="1"/>
                <w:color w:val="auto"/>
              </w:rPr>
              <w:t>Change in Net</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Realized and</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 December</w:t>
            </w: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Net Transfers into (out</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w:t>
            </w:r>
          </w:p>
        </w:tc>
        <w:tc>
          <w:tcPr>
            <w:tcW w:w="12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(Losses) on Investments</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8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130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Settlement</w:t>
            </w:r>
          </w:p>
        </w:tc>
        <w:tc>
          <w:tcPr>
            <w:tcW w:w="8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still held at March 31,</w:t>
            </w:r>
          </w:p>
        </w:tc>
        <w:tc>
          <w:tcPr>
            <w:tcW w:w="0" w:type="dxa"/>
            <w:vAlign w:val="bottom"/>
          </w:tcPr>
          <w:p>
            <w:pPr>
              <w:spacing w:after="0"/>
              <w:rPr>
                <w:sz w:val="1"/>
                <w:szCs w:val="1"/>
                <w:color w:val="auto"/>
              </w:rPr>
            </w:pPr>
          </w:p>
        </w:tc>
      </w:tr>
      <w:tr>
        <w:trPr>
          <w:trHeight w:val="154"/>
        </w:trPr>
        <w:tc>
          <w:tcPr>
            <w:tcW w:w="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31, 2023</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(Losses) (1)</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of) Level 3</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0" w:type="dxa"/>
            <w:vAlign w:val="bottom"/>
          </w:tcPr>
          <w:p>
            <w:pPr>
              <w:spacing w:after="0"/>
              <w:rPr>
                <w:sz w:val="1"/>
                <w:szCs w:val="1"/>
                <w:color w:val="auto"/>
              </w:rPr>
            </w:pPr>
          </w:p>
        </w:tc>
      </w:tr>
      <w:tr>
        <w:trPr>
          <w:trHeight w:val="464"/>
        </w:trPr>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81,805</w:t>
            </w:r>
          </w:p>
        </w:tc>
        <w:tc>
          <w:tcPr>
            <w:tcW w:w="100" w:type="dxa"/>
            <w:vAlign w:val="bottom"/>
          </w:tcPr>
          <w:p>
            <w:pPr>
              <w:spacing w:after="0"/>
              <w:rPr>
                <w:sz w:val="24"/>
                <w:szCs w:val="24"/>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100" w:type="dxa"/>
            <w:vAlign w:val="bottom"/>
          </w:tcPr>
          <w:p>
            <w:pPr>
              <w:spacing w:after="0"/>
              <w:rPr>
                <w:sz w:val="24"/>
                <w:szCs w:val="24"/>
                <w:color w:val="auto"/>
              </w:rPr>
            </w:pPr>
          </w:p>
        </w:tc>
        <w:tc>
          <w:tcPr>
            <w:tcW w:w="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84,587</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0" w:type="dxa"/>
            <w:vAlign w:val="bottom"/>
          </w:tcPr>
          <w:p>
            <w:pPr>
              <w:spacing w:after="0"/>
              <w:rPr>
                <w:sz w:val="1"/>
                <w:szCs w:val="1"/>
                <w:color w:val="auto"/>
              </w:rPr>
            </w:pPr>
          </w:p>
        </w:tc>
      </w:tr>
      <w:tr>
        <w:trPr>
          <w:trHeight w:val="147"/>
        </w:trPr>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81,805</w:t>
            </w:r>
          </w:p>
        </w:tc>
        <w:tc>
          <w:tcPr>
            <w:tcW w:w="100" w:type="dxa"/>
            <w:vAlign w:val="bottom"/>
          </w:tcPr>
          <w:p>
            <w:pPr>
              <w:spacing w:after="0"/>
              <w:rPr>
                <w:sz w:val="12"/>
                <w:szCs w:val="12"/>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84,587</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-1482090</wp:posOffset>
            </wp:positionH>
            <wp:positionV relativeFrom="paragraph">
              <wp:posOffset>-301625</wp:posOffset>
            </wp:positionV>
            <wp:extent cx="7161530" cy="1009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-1482090</wp:posOffset>
            </wp:positionH>
            <wp:positionV relativeFrom="paragraph">
              <wp:posOffset>-99060</wp:posOffset>
            </wp:positionV>
            <wp:extent cx="7161530"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spacing w:after="0" w:line="27" w:lineRule="exact"/>
        <w:rPr>
          <w:sz w:val="20"/>
          <w:szCs w:val="20"/>
          <w:color w:val="auto"/>
        </w:rPr>
      </w:pPr>
    </w:p>
    <w:p>
      <w:pPr>
        <w:sectPr>
          <w:pgSz w:w="11900" w:h="16838" w:orient="portrait"/>
          <w:cols w:equalWidth="0" w:num="2">
            <w:col w:w="1620" w:space="720"/>
            <w:col w:w="8940"/>
          </w:cols>
          <w:pgMar w:left="300" w:top="730" w:right="319" w:bottom="1440" w:gutter="0" w:footer="0" w:header="0"/>
          <w:type w:val="continuous"/>
        </w:sectPr>
      </w:pPr>
    </w:p>
    <w:p>
      <w:pPr>
        <w:ind w:left="180" w:hanging="161"/>
        <w:spacing w:after="0"/>
        <w:tabs>
          <w:tab w:leader="none" w:pos="180" w:val="left"/>
        </w:tabs>
        <w:numPr>
          <w:ilvl w:val="0"/>
          <w:numId w:val="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Total realized and unrealized gains/(losses) includes gains and losses due to fluctuations in currency rates as well as gains and losses recognized on changes in the fair value of the JNX Investment.</w:t>
      </w:r>
    </w:p>
    <w:p>
      <w:pPr>
        <w:spacing w:after="0" w:line="115" w:lineRule="exact"/>
        <w:rPr>
          <w:rFonts w:ascii="Times New Roman" w:cs="Times New Roman" w:eastAsia="Times New Roman" w:hAnsi="Times New Roman"/>
          <w:sz w:val="11"/>
          <w:szCs w:val="11"/>
          <w:color w:val="auto"/>
        </w:rPr>
      </w:pPr>
    </w:p>
    <w:p>
      <w:pPr>
        <w:ind w:left="590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b w:val="1"/>
          <w:bCs w:val="1"/>
          <w:color w:val="auto"/>
        </w:rPr>
        <w:t>Three Months Ended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-222250</wp:posOffset>
            </wp:positionV>
            <wp:extent cx="567944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79440" cy="6985"/>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18"/>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ind w:right="23"/>
              <w:spacing w:after="0" w:line="118" w:lineRule="exact"/>
              <w:rPr>
                <w:sz w:val="20"/>
                <w:szCs w:val="20"/>
                <w:color w:val="auto"/>
              </w:rPr>
            </w:pPr>
            <w:r>
              <w:rPr>
                <w:rFonts w:ascii="Times New Roman" w:cs="Times New Roman" w:eastAsia="Times New Roman" w:hAnsi="Times New Roman"/>
                <w:sz w:val="11"/>
                <w:szCs w:val="11"/>
                <w:b w:val="1"/>
                <w:bCs w:val="1"/>
                <w:color w:val="auto"/>
              </w:rPr>
              <w:t>Change in Net</w:t>
            </w:r>
          </w:p>
        </w:tc>
        <w:tc>
          <w:tcPr>
            <w:tcW w:w="0" w:type="dxa"/>
            <w:vAlign w:val="bottom"/>
          </w:tcPr>
          <w:p>
            <w:pPr>
              <w:spacing w:after="0"/>
              <w:rPr>
                <w:sz w:val="1"/>
                <w:szCs w:val="1"/>
                <w:color w:val="auto"/>
              </w:rPr>
            </w:pPr>
          </w:p>
        </w:tc>
      </w:tr>
      <w:tr>
        <w:trPr>
          <w:trHeight w:val="117"/>
        </w:trPr>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Total Realized and</w:t>
            </w: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jc w:val="center"/>
              <w:ind w:right="3"/>
              <w:spacing w:after="0" w:line="117"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Balance at December</w:t>
            </w: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3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Net Transfers into (out</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Balance at March 31,</w:t>
            </w:r>
          </w:p>
        </w:tc>
        <w:tc>
          <w:tcPr>
            <w:tcW w:w="120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(Losses) on Investments</w:t>
            </w:r>
          </w:p>
        </w:tc>
        <w:tc>
          <w:tcPr>
            <w:tcW w:w="0" w:type="dxa"/>
            <w:vAlign w:val="bottom"/>
          </w:tcPr>
          <w:p>
            <w:pPr>
              <w:spacing w:after="0"/>
              <w:rPr>
                <w:sz w:val="1"/>
                <w:szCs w:val="1"/>
                <w:color w:val="auto"/>
              </w:rPr>
            </w:pPr>
          </w:p>
        </w:tc>
      </w:tr>
      <w:tr>
        <w:trPr>
          <w:trHeight w:val="108"/>
        </w:trPr>
        <w:tc>
          <w:tcPr>
            <w:tcW w:w="2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Purchases</w:t>
            </w:r>
          </w:p>
        </w:tc>
        <w:tc>
          <w:tcPr>
            <w:tcW w:w="120" w:type="dxa"/>
            <w:vAlign w:val="bottom"/>
          </w:tcPr>
          <w:p>
            <w:pPr>
              <w:spacing w:after="0"/>
              <w:rPr>
                <w:sz w:val="9"/>
                <w:szCs w:val="9"/>
                <w:color w:val="auto"/>
              </w:rPr>
            </w:pPr>
          </w:p>
        </w:tc>
        <w:tc>
          <w:tcPr>
            <w:tcW w:w="118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Unrealized Gains /</w:t>
            </w:r>
          </w:p>
        </w:tc>
        <w:tc>
          <w:tcPr>
            <w:tcW w:w="130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Settlement</w:t>
            </w: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rPr>
              <w:t>still held at March 31,</w:t>
            </w:r>
          </w:p>
        </w:tc>
        <w:tc>
          <w:tcPr>
            <w:tcW w:w="0" w:type="dxa"/>
            <w:vAlign w:val="bottom"/>
          </w:tcPr>
          <w:p>
            <w:pPr>
              <w:spacing w:after="0"/>
              <w:rPr>
                <w:sz w:val="1"/>
                <w:szCs w:val="1"/>
                <w:color w:val="auto"/>
              </w:rPr>
            </w:pPr>
          </w:p>
        </w:tc>
      </w:tr>
      <w:tr>
        <w:trPr>
          <w:trHeight w:val="153"/>
        </w:trPr>
        <w:tc>
          <w:tcPr>
            <w:tcW w:w="23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31, 2022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(Losses) (1)</w:t>
            </w:r>
          </w:p>
        </w:tc>
        <w:tc>
          <w:tcPr>
            <w:tcW w:w="20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of) Level 3</w:t>
            </w:r>
          </w:p>
        </w:tc>
        <w:tc>
          <w:tcPr>
            <w:tcW w:w="20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w w:val="99"/>
              </w:rPr>
              <w:t>2023</w:t>
            </w:r>
          </w:p>
        </w:tc>
        <w:tc>
          <w:tcPr>
            <w:tcW w:w="0" w:type="dxa"/>
            <w:vAlign w:val="bottom"/>
          </w:tcPr>
          <w:p>
            <w:pPr>
              <w:spacing w:after="0"/>
              <w:rPr>
                <w:sz w:val="1"/>
                <w:szCs w:val="1"/>
                <w:color w:val="auto"/>
              </w:rPr>
            </w:pPr>
          </w:p>
        </w:tc>
      </w:tr>
      <w:tr>
        <w:trPr>
          <w:trHeight w:val="154"/>
        </w:trPr>
        <w:tc>
          <w:tcPr>
            <w:tcW w:w="2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investment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76,613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79,726</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3,113</w:t>
            </w:r>
          </w:p>
        </w:tc>
        <w:tc>
          <w:tcPr>
            <w:tcW w:w="0" w:type="dxa"/>
            <w:vAlign w:val="bottom"/>
          </w:tcPr>
          <w:p>
            <w:pPr>
              <w:spacing w:after="0"/>
              <w:rPr>
                <w:sz w:val="1"/>
                <w:szCs w:val="1"/>
                <w:color w:val="auto"/>
              </w:rPr>
            </w:pPr>
          </w:p>
        </w:tc>
      </w:tr>
      <w:tr>
        <w:trPr>
          <w:trHeight w:val="152"/>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76,613</w:t>
            </w:r>
          </w:p>
        </w:tc>
        <w:tc>
          <w:tcPr>
            <w:tcW w:w="100" w:type="dxa"/>
            <w:vAlign w:val="bottom"/>
          </w:tcPr>
          <w:p>
            <w:pPr>
              <w:spacing w:after="0"/>
              <w:rPr>
                <w:sz w:val="13"/>
                <w:szCs w:val="13"/>
                <w:color w:val="auto"/>
              </w:rPr>
            </w:pPr>
          </w:p>
        </w:tc>
        <w:tc>
          <w:tcPr>
            <w:tcW w:w="22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tcBorders>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3,113</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79,726</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-635</wp:posOffset>
            </wp:positionV>
            <wp:extent cx="567944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79440" cy="698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1"/>
          <w:szCs w:val="11"/>
          <w:color w:val="auto"/>
        </w:rPr>
        <w:t>(1) Total realized and unrealized gains/(losses) includes gains and losses due to fluctuations in currency rates as well as gains and losses recognized on changes in the fair value of the JNX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1485265</wp:posOffset>
            </wp:positionH>
            <wp:positionV relativeFrom="paragraph">
              <wp:posOffset>-68580</wp:posOffset>
            </wp:positionV>
            <wp:extent cx="567944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79440" cy="698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color w:val="auto"/>
        </w:rPr>
        <w:t>Financial Instruments Not Measured at Fair Value</w:t>
      </w:r>
    </w:p>
    <w:p>
      <w:pPr>
        <w:spacing w:after="0" w:line="202" w:lineRule="exact"/>
        <w:rPr>
          <w:sz w:val="20"/>
          <w:szCs w:val="20"/>
          <w:color w:val="auto"/>
        </w:rPr>
      </w:pPr>
    </w:p>
    <w:p>
      <w:pPr>
        <w:jc w:val="both"/>
        <w:ind w:right="160" w:firstLine="509"/>
        <w:spacing w:after="0" w:line="264" w:lineRule="auto"/>
        <w:rPr>
          <w:sz w:val="20"/>
          <w:szCs w:val="20"/>
          <w:color w:val="auto"/>
        </w:rPr>
      </w:pPr>
      <w:r>
        <w:rPr>
          <w:rFonts w:ascii="Times New Roman" w:cs="Times New Roman" w:eastAsia="Times New Roman" w:hAnsi="Times New Roman"/>
          <w:sz w:val="14"/>
          <w:szCs w:val="14"/>
          <w:color w:val="auto"/>
        </w:rPr>
        <w:t>The table below presents the carrying value, fair value and fair value hierarchy category of certain financial instruments that are not measured at fair value on the Condensed Consolidated Statements of Financial Condition. The table below excludes non-financial assets and liabilities. The carrying value of financial instruments not measured at fair value categorized in the fair value hierarchy as Level 1 and Level 2 approximates fair value due to the relatively short-term nature of the underlying assets. The fair value of the Company’s long-term borrowings is based on quoted prices from the market for similar instruments, and is categorized as Level 2 in the fair value hierarchy.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summarizes financial assets and liabilities not carried at fair value on a recurring basis as of March 31, 2024:</w:t>
      </w:r>
    </w:p>
    <w:p>
      <w:pPr>
        <w:spacing w:after="0" w:line="36"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00" w:type="dxa"/>
            <w:vAlign w:val="bottom"/>
          </w:tcPr>
          <w:p>
            <w:pPr>
              <w:spacing w:after="0"/>
              <w:rPr>
                <w:sz w:val="19"/>
                <w:szCs w:val="19"/>
                <w:color w:val="auto"/>
              </w:rPr>
            </w:pPr>
          </w:p>
        </w:tc>
        <w:tc>
          <w:tcPr>
            <w:tcW w:w="12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60" w:type="dxa"/>
            <w:vAlign w:val="bottom"/>
          </w:tcPr>
          <w:p>
            <w:pPr>
              <w:spacing w:after="0"/>
              <w:rPr>
                <w:sz w:val="19"/>
                <w:szCs w:val="19"/>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5"/>
        </w:trPr>
        <w:tc>
          <w:tcPr>
            <w:tcW w:w="4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w:t>
            </w:r>
          </w:p>
        </w:tc>
        <w:tc>
          <w:tcPr>
            <w:tcW w:w="1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Identical Assets</w:t>
            </w:r>
          </w:p>
        </w:tc>
        <w:tc>
          <w:tcPr>
            <w:tcW w:w="100" w:type="dxa"/>
            <w:vAlign w:val="bottom"/>
          </w:tcPr>
          <w:p>
            <w:pPr>
              <w:spacing w:after="0"/>
              <w:rPr>
                <w:sz w:val="13"/>
                <w:szCs w:val="1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Observable Inputs</w:t>
            </w:r>
          </w:p>
        </w:tc>
        <w:tc>
          <w:tcPr>
            <w:tcW w:w="60" w:type="dxa"/>
            <w:vAlign w:val="bottom"/>
          </w:tcPr>
          <w:p>
            <w:pPr>
              <w:spacing w:after="0"/>
              <w:rPr>
                <w:sz w:val="13"/>
                <w:szCs w:val="13"/>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0" w:type="dxa"/>
            <w:vAlign w:val="bottom"/>
          </w:tcPr>
          <w:p>
            <w:pPr>
              <w:spacing w:after="0"/>
              <w:rPr>
                <w:sz w:val="1"/>
                <w:szCs w:val="1"/>
                <w:color w:val="auto"/>
              </w:rPr>
            </w:pPr>
          </w:p>
        </w:tc>
      </w:tr>
      <w:tr>
        <w:trPr>
          <w:trHeight w:val="169"/>
        </w:trPr>
        <w:tc>
          <w:tcPr>
            <w:tcW w:w="46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0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4"/>
                <w:szCs w:val="14"/>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00" w:type="dxa"/>
            <w:vAlign w:val="bottom"/>
          </w:tcPr>
          <w:p>
            <w:pPr>
              <w:spacing w:after="0"/>
              <w:rPr>
                <w:sz w:val="14"/>
                <w:szCs w:val="14"/>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60" w:type="dxa"/>
            <w:vAlign w:val="bottom"/>
          </w:tcPr>
          <w:p>
            <w:pPr>
              <w:spacing w:after="0"/>
              <w:rPr>
                <w:sz w:val="14"/>
                <w:szCs w:val="14"/>
                <w:color w:val="auto"/>
              </w:rPr>
            </w:pPr>
          </w:p>
        </w:tc>
        <w:tc>
          <w:tcPr>
            <w:tcW w:w="114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4"/>
        </w:trPr>
        <w:tc>
          <w:tcPr>
            <w:tcW w:w="4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399,585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399,585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399,585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Cash restricted or segregated under regulations and other</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29,821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29,821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29,821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borrowed</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1,782,982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1,782,982</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1,782,982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502,470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502,470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502,470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1,247,603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1,247,603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1,247,603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Receivables from customers</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118,680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118,680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118,680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9"/>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Other assets (1)</w:t>
            </w:r>
          </w:p>
        </w:tc>
        <w:tc>
          <w:tcPr>
            <w:tcW w:w="1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29,430</w:t>
            </w:r>
          </w:p>
        </w:tc>
        <w:tc>
          <w:tcPr>
            <w:tcW w:w="1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29,430</w:t>
            </w: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9,604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19,826</w:t>
            </w:r>
          </w:p>
        </w:tc>
        <w:tc>
          <w:tcPr>
            <w:tcW w:w="100" w:type="dxa"/>
            <w:vAlign w:val="bottom"/>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4,110,571</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4,110,571</w:t>
            </w:r>
          </w:p>
        </w:tc>
        <w:tc>
          <w:tcPr>
            <w:tcW w:w="8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439,010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3,671,561</w:t>
            </w:r>
          </w:p>
        </w:tc>
        <w:tc>
          <w:tcPr>
            <w:tcW w:w="100" w:type="dxa"/>
            <w:vAlign w:val="bottom"/>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4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1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138,202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140,000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Long-term borrowings</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1,726,657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1,749,054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1,749,054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loaned</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1,640,521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1,640,521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1,640,521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836,433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836,433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836,433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382,624</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382,624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382,624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6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Payables to customers</w:t>
            </w:r>
          </w:p>
        </w:tc>
        <w:tc>
          <w:tcPr>
            <w:tcW w:w="14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33,485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33,485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33,485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6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liabilities (2)</w:t>
            </w:r>
          </w:p>
        </w:tc>
        <w:tc>
          <w:tcPr>
            <w:tcW w:w="14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29,229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29,229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29,229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1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2"/>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4,787,151</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4,811,346</w:t>
            </w:r>
          </w:p>
        </w:tc>
        <w:tc>
          <w:tcPr>
            <w:tcW w:w="8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4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4,811,346</w:t>
            </w:r>
          </w:p>
        </w:tc>
        <w:tc>
          <w:tcPr>
            <w:tcW w:w="10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-635</wp:posOffset>
            </wp:positionV>
            <wp:extent cx="412305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ind w:left="240" w:hanging="163"/>
        <w:spacing w:after="0"/>
        <w:tabs>
          <w:tab w:leader="none" w:pos="2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cash collateral and deposits, and interest and dividends receivables.</w:t>
      </w:r>
    </w:p>
    <w:p>
      <w:pPr>
        <w:spacing w:after="0" w:line="32" w:lineRule="exact"/>
        <w:rPr>
          <w:rFonts w:ascii="Times New Roman" w:cs="Times New Roman" w:eastAsia="Times New Roman" w:hAnsi="Times New Roman"/>
          <w:sz w:val="11"/>
          <w:szCs w:val="11"/>
          <w:color w:val="auto"/>
        </w:rPr>
      </w:pPr>
    </w:p>
    <w:p>
      <w:pPr>
        <w:ind w:left="240" w:hanging="163"/>
        <w:spacing w:after="0"/>
        <w:tabs>
          <w:tab w:leader="none" w:pos="24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-176530</wp:posOffset>
            </wp:positionV>
            <wp:extent cx="7087870" cy="1009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7870" cy="10096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19" w:right="359" w:bottom="1440" w:gutter="0" w:footer="0" w:header="0"/>
        </w:sectPr>
      </w:pPr>
    </w:p>
    <w:bookmarkStart w:id="24" w:name="page25"/>
    <w:bookmarkEnd w:id="24"/>
    <w:p>
      <w:pPr>
        <w:ind w:left="520"/>
        <w:spacing w:after="0"/>
        <w:rPr>
          <w:sz w:val="20"/>
          <w:szCs w:val="20"/>
          <w:color w:val="auto"/>
        </w:rPr>
      </w:pPr>
      <w:r>
        <w:rPr>
          <w:rFonts w:ascii="Times New Roman" w:cs="Times New Roman" w:eastAsia="Times New Roman" w:hAnsi="Times New Roman"/>
          <w:sz w:val="14"/>
          <w:szCs w:val="14"/>
          <w:color w:val="auto"/>
        </w:rPr>
        <w:t>The table below summarizes financial assets and liabilities not carried at fair value on a recurring basis as of December 31, 2023:</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4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Quoted Prices in Active</w:t>
            </w:r>
          </w:p>
        </w:tc>
        <w:tc>
          <w:tcPr>
            <w:tcW w:w="120" w:type="dxa"/>
            <w:vAlign w:val="bottom"/>
          </w:tcPr>
          <w:p>
            <w:pPr>
              <w:spacing w:after="0"/>
              <w:rPr>
                <w:sz w:val="19"/>
                <w:szCs w:val="19"/>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Significant Other</w:t>
            </w:r>
          </w:p>
        </w:tc>
        <w:tc>
          <w:tcPr>
            <w:tcW w:w="80" w:type="dxa"/>
            <w:vAlign w:val="bottom"/>
          </w:tcPr>
          <w:p>
            <w:pPr>
              <w:spacing w:after="0"/>
              <w:rPr>
                <w:sz w:val="19"/>
                <w:szCs w:val="19"/>
                <w:color w:val="auto"/>
              </w:rPr>
            </w:pPr>
          </w:p>
        </w:tc>
        <w:tc>
          <w:tcPr>
            <w:tcW w:w="11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Significant</w:t>
            </w:r>
          </w:p>
        </w:tc>
        <w:tc>
          <w:tcPr>
            <w:tcW w:w="0" w:type="dxa"/>
            <w:vAlign w:val="bottom"/>
          </w:tcPr>
          <w:p>
            <w:pPr>
              <w:spacing w:after="0"/>
              <w:rPr>
                <w:sz w:val="1"/>
                <w:szCs w:val="1"/>
                <w:color w:val="auto"/>
              </w:rPr>
            </w:pPr>
          </w:p>
        </w:tc>
      </w:tr>
      <w:tr>
        <w:trPr>
          <w:trHeight w:val="115"/>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Markets for</w:t>
            </w: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Identical Assets</w:t>
            </w:r>
          </w:p>
        </w:tc>
        <w:tc>
          <w:tcPr>
            <w:tcW w:w="12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Observable Inputs</w:t>
            </w:r>
          </w:p>
        </w:tc>
        <w:tc>
          <w:tcPr>
            <w:tcW w:w="80" w:type="dxa"/>
            <w:vAlign w:val="bottom"/>
          </w:tcPr>
          <w:p>
            <w:pPr>
              <w:spacing w:after="0"/>
              <w:rPr>
                <w:sz w:val="13"/>
                <w:szCs w:val="13"/>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0" w:type="dxa"/>
            <w:vAlign w:val="bottom"/>
          </w:tcPr>
          <w:p>
            <w:pPr>
              <w:spacing w:after="0"/>
              <w:rPr>
                <w:sz w:val="1"/>
                <w:szCs w:val="1"/>
                <w:color w:val="auto"/>
              </w:rPr>
            </w:pPr>
          </w:p>
        </w:tc>
      </w:tr>
      <w:tr>
        <w:trPr>
          <w:trHeight w:val="169"/>
        </w:trPr>
        <w:tc>
          <w:tcPr>
            <w:tcW w:w="478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6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Carrying Value</w:t>
            </w:r>
          </w:p>
        </w:tc>
        <w:tc>
          <w:tcPr>
            <w:tcW w:w="22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80" w:type="dxa"/>
            <w:vAlign w:val="bottom"/>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120" w:type="dxa"/>
            <w:vAlign w:val="bottom"/>
          </w:tcPr>
          <w:p>
            <w:pPr>
              <w:spacing w:after="0"/>
              <w:rPr>
                <w:sz w:val="14"/>
                <w:szCs w:val="14"/>
                <w:color w:val="auto"/>
              </w:rPr>
            </w:pPr>
          </w:p>
        </w:tc>
        <w:tc>
          <w:tcPr>
            <w:tcW w:w="11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0" w:type="dxa"/>
            <w:vAlign w:val="bottom"/>
          </w:tcPr>
          <w:p>
            <w:pPr>
              <w:spacing w:after="0"/>
              <w:rPr>
                <w:sz w:val="14"/>
                <w:szCs w:val="14"/>
                <w:color w:val="auto"/>
              </w:rPr>
            </w:pPr>
          </w:p>
        </w:tc>
        <w:tc>
          <w:tcPr>
            <w:tcW w:w="112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0" w:type="dxa"/>
            <w:vAlign w:val="bottom"/>
          </w:tcPr>
          <w:p>
            <w:pPr>
              <w:spacing w:after="0"/>
              <w:rPr>
                <w:sz w:val="1"/>
                <w:szCs w:val="1"/>
                <w:color w:val="auto"/>
              </w:rPr>
            </w:pPr>
          </w:p>
        </w:tc>
      </w:tr>
      <w:tr>
        <w:trPr>
          <w:trHeight w:val="159"/>
        </w:trPr>
        <w:tc>
          <w:tcPr>
            <w:tcW w:w="47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Assets</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820,436</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820,436</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820,436</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Cash restricted or segregated under regulations and other</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35,024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35,024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35,024</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borrowed</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1,722,440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1,722,440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1,722,440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1,512,114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1,512,114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737,724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737,724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737,724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Receivables from customers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106,245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106,245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Other assets (1)</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31,022</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31,022</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10,444</w:t>
            </w: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20,578</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4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Assets</w:t>
            </w: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4,965,005</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4,965,005</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865,904</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4,099,101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Liabilities</w:t>
            </w:r>
          </w:p>
        </w:tc>
        <w:tc>
          <w:tcPr>
            <w:tcW w:w="16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Short-term borrowings</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Long-term borrowings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1,727,205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1,758,292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1,758,292</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Securities loaned</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1,329,446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1,329,446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1,329,446</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1,795,994</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1,795,994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1,795,994</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1,160,051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1,160,051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1,160,051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Payables to customers</w:t>
            </w: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23,229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23,229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 liabilities (2)</w:t>
            </w:r>
          </w:p>
        </w:tc>
        <w:tc>
          <w:tcPr>
            <w:tcW w:w="1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19,300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7"/>
        </w:trPr>
        <w:tc>
          <w:tcPr>
            <w:tcW w:w="4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Liabilities</w:t>
            </w: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6,055,225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6,086,312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6,086,312</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ind w:left="180" w:hanging="161"/>
        <w:spacing w:after="0"/>
        <w:tabs>
          <w:tab w:leader="none" w:pos="1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cash collateral and deposits, and interest and dividends receivables.</w:t>
      </w:r>
    </w:p>
    <w:p>
      <w:pPr>
        <w:spacing w:after="0" w:line="25" w:lineRule="exact"/>
        <w:rPr>
          <w:rFonts w:ascii="Times New Roman" w:cs="Times New Roman" w:eastAsia="Times New Roman" w:hAnsi="Times New Roman"/>
          <w:sz w:val="11"/>
          <w:szCs w:val="11"/>
          <w:color w:val="auto"/>
        </w:rPr>
      </w:pPr>
    </w:p>
    <w:p>
      <w:pPr>
        <w:ind w:left="180" w:hanging="161"/>
        <w:spacing w:after="0"/>
        <w:tabs>
          <w:tab w:leader="none" w:pos="18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deposits, interest and 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-75565</wp:posOffset>
            </wp:positionV>
            <wp:extent cx="7161530" cy="100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-169545</wp:posOffset>
            </wp:positionV>
            <wp:extent cx="412305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Offsetting of Financial Assets and Liabilities</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Company does not net securities borrowed and securities loaned, or securities purchased under agreements to resell and securities sold under agreements to repurchase. These financial instruments are presented on a gross basis in the Condensed Consolidated Statements of Financial Condition. In the tables below, the amounts of financial instruments owned that are not offset in the Condensed Consolidated Statements of Financial Condition, but could be netted against financial liabilities with specific counterparties under legally enforceable master netting agreements in the event of default, are presented to provide financial statement readers with the Company’s estimate of its net exposure to counterparties for these financial instruments.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25" w:name="page26"/>
    <w:bookmarkEnd w:id="25"/>
    <w:p>
      <w:pPr>
        <w:ind w:left="480"/>
        <w:spacing w:after="0"/>
        <w:rPr>
          <w:sz w:val="20"/>
          <w:szCs w:val="20"/>
          <w:color w:val="auto"/>
        </w:rPr>
      </w:pPr>
      <w:r>
        <w:rPr>
          <w:rFonts w:ascii="Times New Roman" w:cs="Times New Roman" w:eastAsia="Times New Roman" w:hAnsi="Times New Roman"/>
          <w:sz w:val="14"/>
          <w:szCs w:val="14"/>
          <w:color w:val="auto"/>
        </w:rPr>
        <w:t>The following tables set forth the gross and net presentation of certain financial assets and financial liabilities as of March 31, 2024 and December 31, 2023: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16"/>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Amounts Not Offset in the Condensed Consolidated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Amounts Offset in the</w:t>
            </w:r>
          </w:p>
        </w:tc>
        <w:tc>
          <w:tcPr>
            <w:tcW w:w="8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Net Amounts of Assets</w:t>
            </w: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Statements of Financial Condition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 Amounts of</w:t>
            </w:r>
          </w:p>
        </w:tc>
        <w:tc>
          <w:tcPr>
            <w:tcW w:w="120" w:type="dxa"/>
            <w:vAlign w:val="bottom"/>
          </w:tcPr>
          <w:p>
            <w:pPr>
              <w:spacing w:after="0"/>
              <w:rPr>
                <w:sz w:val="9"/>
                <w:szCs w:val="9"/>
                <w:color w:val="auto"/>
              </w:rPr>
            </w:pPr>
          </w:p>
        </w:tc>
        <w:tc>
          <w:tcPr>
            <w:tcW w:w="15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Condensed Consolidated</w:t>
            </w:r>
          </w:p>
        </w:tc>
        <w:tc>
          <w:tcPr>
            <w:tcW w:w="80" w:type="dxa"/>
            <w:vAlign w:val="bottom"/>
          </w:tcPr>
          <w:p>
            <w:pPr>
              <w:spacing w:after="0"/>
              <w:rPr>
                <w:sz w:val="9"/>
                <w:szCs w:val="9"/>
                <w:color w:val="auto"/>
              </w:rPr>
            </w:pPr>
          </w:p>
        </w:tc>
        <w:tc>
          <w:tcPr>
            <w:tcW w:w="156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Presented in the Condensed</w:t>
            </w:r>
          </w:p>
        </w:tc>
        <w:tc>
          <w:tcPr>
            <w:tcW w:w="60" w:type="dxa"/>
            <w:vAlign w:val="bottom"/>
          </w:tcPr>
          <w:p>
            <w:pPr>
              <w:spacing w:after="0"/>
              <w:rPr>
                <w:sz w:val="9"/>
                <w:szCs w:val="9"/>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9"/>
                <w:szCs w:val="9"/>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Statement of Financial</w:t>
            </w:r>
          </w:p>
        </w:tc>
        <w:tc>
          <w:tcPr>
            <w:tcW w:w="80" w:type="dxa"/>
            <w:vAlign w:val="bottom"/>
          </w:tcPr>
          <w:p>
            <w:pPr>
              <w:spacing w:after="0"/>
              <w:rPr>
                <w:sz w:val="10"/>
                <w:szCs w:val="10"/>
                <w:color w:val="auto"/>
              </w:rPr>
            </w:pPr>
          </w:p>
        </w:tc>
        <w:tc>
          <w:tcPr>
            <w:tcW w:w="156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Consolidated Statements of</w:t>
            </w:r>
          </w:p>
        </w:tc>
        <w:tc>
          <w:tcPr>
            <w:tcW w:w="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5"/>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Recognized Assets</w:t>
            </w: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8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Condition</w:t>
            </w:r>
          </w:p>
        </w:tc>
        <w:tc>
          <w:tcPr>
            <w:tcW w:w="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Assets: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borrowed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1,782,982</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1,782,982</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(1,739,045)</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(22,685)</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21,252</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502,470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502,470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(502,470)</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2740" w:type="dxa"/>
            <w:vAlign w:val="bottom"/>
            <w:gridSpan w:val="2"/>
          </w:tcPr>
          <w:p>
            <w:pPr>
              <w:ind w:left="100"/>
              <w:spacing w:after="0" w:line="110" w:lineRule="exact"/>
              <w:rPr>
                <w:sz w:val="20"/>
                <w:szCs w:val="20"/>
                <w:color w:val="auto"/>
              </w:rPr>
            </w:pPr>
            <w:r>
              <w:rPr>
                <w:rFonts w:ascii="Times New Roman" w:cs="Times New Roman" w:eastAsia="Times New Roman" w:hAnsi="Times New Roman"/>
                <w:sz w:val="11"/>
                <w:szCs w:val="11"/>
                <w:color w:val="auto"/>
              </w:rPr>
              <w:t>Receivables from broker-dealers and clearing</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organizations:</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Interest rate swaps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5,753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5,753</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assets, at fair value: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290,659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(268,583)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22,076</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22,076</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2,888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784</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2,584,752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(268,583)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2,316,169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(2,241,515)</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(24,789)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49,865</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Amounts Not Offset in the Condensed Consolidated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Amounts Offset in the</w:t>
            </w:r>
          </w:p>
        </w:tc>
        <w:tc>
          <w:tcPr>
            <w:tcW w:w="8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Net Amounts of Liabilities</w:t>
            </w:r>
          </w:p>
        </w:tc>
        <w:tc>
          <w:tcPr>
            <w:tcW w:w="60" w:type="dxa"/>
            <w:vAlign w:val="bottom"/>
          </w:tcPr>
          <w:p>
            <w:pPr>
              <w:spacing w:after="0"/>
              <w:rPr>
                <w:sz w:val="13"/>
                <w:szCs w:val="13"/>
                <w:color w:val="auto"/>
              </w:rPr>
            </w:pPr>
          </w:p>
        </w:tc>
        <w:tc>
          <w:tcPr>
            <w:tcW w:w="2700" w:type="dxa"/>
            <w:vAlign w:val="bottom"/>
            <w:gridSpan w:val="5"/>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Statements of Financial Condition</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Condensed Consolidated</w:t>
            </w:r>
          </w:p>
        </w:tc>
        <w:tc>
          <w:tcPr>
            <w:tcW w:w="1640" w:type="dxa"/>
            <w:vAlign w:val="bottom"/>
            <w:gridSpan w:val="3"/>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Presented in the Consolidated</w:t>
            </w:r>
          </w:p>
        </w:tc>
        <w:tc>
          <w:tcPr>
            <w:tcW w:w="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Gross Amounts of</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Statement of Financial</w:t>
            </w:r>
          </w:p>
        </w:tc>
        <w:tc>
          <w:tcPr>
            <w:tcW w:w="80" w:type="dxa"/>
            <w:vAlign w:val="bottom"/>
          </w:tcPr>
          <w:p>
            <w:pPr>
              <w:spacing w:after="0"/>
              <w:rPr>
                <w:sz w:val="10"/>
                <w:szCs w:val="10"/>
                <w:color w:val="auto"/>
              </w:rPr>
            </w:pPr>
          </w:p>
        </w:tc>
        <w:tc>
          <w:tcPr>
            <w:tcW w:w="15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Statement of Financial</w:t>
            </w:r>
          </w:p>
        </w:tc>
        <w:tc>
          <w:tcPr>
            <w:tcW w:w="60" w:type="dxa"/>
            <w:vAlign w:val="bottom"/>
          </w:tcPr>
          <w:p>
            <w:pPr>
              <w:spacing w:after="0"/>
              <w:rPr>
                <w:sz w:val="10"/>
                <w:szCs w:val="10"/>
                <w:color w:val="auto"/>
              </w:rPr>
            </w:pPr>
          </w:p>
        </w:tc>
        <w:tc>
          <w:tcPr>
            <w:tcW w:w="13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10"/>
                <w:szCs w:val="10"/>
                <w:color w:val="auto"/>
              </w:rPr>
            </w:pPr>
          </w:p>
        </w:tc>
        <w:tc>
          <w:tcPr>
            <w:tcW w:w="130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4"/>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Recognized Liabilities</w:t>
            </w: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8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Liabilities: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loaned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1,640,521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1,640,521</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(1,609,815)</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(27,275)</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3,431</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836,433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836,433</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(836,429)</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liabilities, at fair value: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253,151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(253,146)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3,122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2,733,227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(253,146)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2,480,081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(2,446,244)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(30,397)</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3,440</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Amounts Not Offset in the Condensed Consolidated</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Amounts Offset in the</w:t>
            </w:r>
          </w:p>
        </w:tc>
        <w:tc>
          <w:tcPr>
            <w:tcW w:w="8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Net Amounts of Assets</w:t>
            </w:r>
          </w:p>
        </w:tc>
        <w:tc>
          <w:tcPr>
            <w:tcW w:w="60" w:type="dxa"/>
            <w:vAlign w:val="bottom"/>
          </w:tcPr>
          <w:p>
            <w:pPr>
              <w:spacing w:after="0"/>
              <w:rPr>
                <w:sz w:val="13"/>
                <w:szCs w:val="13"/>
                <w:color w:val="auto"/>
              </w:rPr>
            </w:pPr>
          </w:p>
        </w:tc>
        <w:tc>
          <w:tcPr>
            <w:tcW w:w="2700" w:type="dxa"/>
            <w:vAlign w:val="bottom"/>
            <w:gridSpan w:val="5"/>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Statements of Financial Condition</w:t>
            </w: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2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Condensed Consolidated</w:t>
            </w:r>
          </w:p>
        </w:tc>
        <w:tc>
          <w:tcPr>
            <w:tcW w:w="80" w:type="dxa"/>
            <w:vAlign w:val="bottom"/>
          </w:tcPr>
          <w:p>
            <w:pPr>
              <w:spacing w:after="0"/>
              <w:rPr>
                <w:sz w:val="9"/>
                <w:szCs w:val="9"/>
                <w:color w:val="auto"/>
              </w:rPr>
            </w:pPr>
          </w:p>
        </w:tc>
        <w:tc>
          <w:tcPr>
            <w:tcW w:w="1560" w:type="dxa"/>
            <w:vAlign w:val="bottom"/>
            <w:gridSpan w:val="2"/>
          </w:tcPr>
          <w:p>
            <w:pPr>
              <w:jc w:val="center"/>
              <w:ind w:right="180"/>
              <w:spacing w:after="0" w:line="108" w:lineRule="exact"/>
              <w:rPr>
                <w:sz w:val="20"/>
                <w:szCs w:val="20"/>
                <w:color w:val="auto"/>
              </w:rPr>
            </w:pPr>
            <w:r>
              <w:rPr>
                <w:rFonts w:ascii="Times New Roman" w:cs="Times New Roman" w:eastAsia="Times New Roman" w:hAnsi="Times New Roman"/>
                <w:sz w:val="11"/>
                <w:szCs w:val="11"/>
                <w:b w:val="1"/>
                <w:bCs w:val="1"/>
                <w:color w:val="auto"/>
              </w:rPr>
              <w:t>Presented in the Condensed</w:t>
            </w:r>
          </w:p>
        </w:tc>
        <w:tc>
          <w:tcPr>
            <w:tcW w:w="6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Gross Amounts of</w:t>
            </w: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1"/>
                <w:szCs w:val="11"/>
                <w:b w:val="1"/>
                <w:bCs w:val="1"/>
                <w:color w:val="auto"/>
              </w:rPr>
              <w:t>Statement of Financial</w:t>
            </w:r>
          </w:p>
        </w:tc>
        <w:tc>
          <w:tcPr>
            <w:tcW w:w="80" w:type="dxa"/>
            <w:vAlign w:val="bottom"/>
          </w:tcPr>
          <w:p>
            <w:pPr>
              <w:spacing w:after="0"/>
              <w:rPr>
                <w:sz w:val="10"/>
                <w:szCs w:val="10"/>
                <w:color w:val="auto"/>
              </w:rPr>
            </w:pPr>
          </w:p>
        </w:tc>
        <w:tc>
          <w:tcPr>
            <w:tcW w:w="15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Consolidated Statements of</w:t>
            </w:r>
          </w:p>
        </w:tc>
        <w:tc>
          <w:tcPr>
            <w:tcW w:w="60" w:type="dxa"/>
            <w:vAlign w:val="bottom"/>
          </w:tcPr>
          <w:p>
            <w:pPr>
              <w:spacing w:after="0"/>
              <w:rPr>
                <w:sz w:val="10"/>
                <w:szCs w:val="10"/>
                <w:color w:val="auto"/>
              </w:rPr>
            </w:pPr>
          </w:p>
        </w:tc>
        <w:tc>
          <w:tcPr>
            <w:tcW w:w="134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10"/>
                <w:szCs w:val="10"/>
                <w:color w:val="auto"/>
              </w:rPr>
            </w:pPr>
          </w:p>
        </w:tc>
        <w:tc>
          <w:tcPr>
            <w:tcW w:w="1300" w:type="dxa"/>
            <w:vAlign w:val="bottom"/>
            <w:gridSpan w:val="2"/>
          </w:tcPr>
          <w:p>
            <w:pPr>
              <w:jc w:val="right"/>
              <w:ind w:right="200"/>
              <w:spacing w:after="0" w:line="125" w:lineRule="exact"/>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10"/>
                <w:szCs w:val="10"/>
                <w:color w:val="auto"/>
              </w:rPr>
            </w:pP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4"/>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Recognized Assets</w:t>
            </w: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80" w:type="dxa"/>
            <w:vAlign w:val="bottom"/>
          </w:tcPr>
          <w:p>
            <w:pPr>
              <w:spacing w:after="0"/>
              <w:rPr>
                <w:sz w:val="13"/>
                <w:szCs w:val="13"/>
                <w:color w:val="auto"/>
              </w:rPr>
            </w:pPr>
          </w:p>
        </w:tc>
        <w:tc>
          <w:tcPr>
            <w:tcW w:w="156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Condition</w:t>
            </w:r>
          </w:p>
        </w:tc>
        <w:tc>
          <w:tcPr>
            <w:tcW w:w="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Assets: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borrowed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1,722,440</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1,722,440</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(1,665,860)</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(27,538)</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29,042</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purchased under agreements to resell</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1,512,114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1,512,114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(1,512,114)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assets, at fair value:</w:t>
            </w: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377,279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(354,698)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22,581</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22,581</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3,485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(2,914)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571</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3,615,318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1"/>
                <w:szCs w:val="11"/>
                <w:color w:val="auto"/>
              </w:rPr>
              <w:t>(354,698)</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3,260,620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(3,177,974)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(30,452)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52,194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40" w:top="730" w:right="339"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126"/>
        </w:trPr>
        <w:tc>
          <w:tcPr>
            <w:tcW w:w="2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700" w:type="dxa"/>
            <w:vAlign w:val="bottom"/>
            <w:gridSpan w:val="5"/>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Amounts Not Offset in the Condensed Consolidated</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Amounts Offset in the</w:t>
            </w:r>
          </w:p>
        </w:tc>
        <w:tc>
          <w:tcPr>
            <w:tcW w:w="100" w:type="dxa"/>
            <w:vAlign w:val="bottom"/>
          </w:tcPr>
          <w:p>
            <w:pPr>
              <w:spacing w:after="0"/>
              <w:rPr>
                <w:sz w:val="13"/>
                <w:szCs w:val="13"/>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Net Amounts of Liabilities</w:t>
            </w:r>
          </w:p>
        </w:tc>
        <w:tc>
          <w:tcPr>
            <w:tcW w:w="6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4"/>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Statements of Financial Condition</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Gross Amounts of</w:t>
            </w:r>
          </w:p>
        </w:tc>
        <w:tc>
          <w:tcPr>
            <w:tcW w:w="120" w:type="dxa"/>
            <w:vAlign w:val="bottom"/>
          </w:tcPr>
          <w:p>
            <w:pPr>
              <w:spacing w:after="0"/>
              <w:rPr>
                <w:sz w:val="9"/>
                <w:szCs w:val="9"/>
                <w:color w:val="auto"/>
              </w:rPr>
            </w:pPr>
          </w:p>
        </w:tc>
        <w:tc>
          <w:tcPr>
            <w:tcW w:w="1520" w:type="dxa"/>
            <w:vAlign w:val="bottom"/>
            <w:gridSpan w:val="2"/>
          </w:tcPr>
          <w:p>
            <w:pPr>
              <w:jc w:val="center"/>
              <w:ind w:right="200"/>
              <w:spacing w:after="0" w:line="115" w:lineRule="exact"/>
              <w:rPr>
                <w:sz w:val="20"/>
                <w:szCs w:val="20"/>
                <w:color w:val="auto"/>
              </w:rPr>
            </w:pPr>
            <w:r>
              <w:rPr>
                <w:rFonts w:ascii="Times New Roman" w:cs="Times New Roman" w:eastAsia="Times New Roman" w:hAnsi="Times New Roman"/>
                <w:sz w:val="11"/>
                <w:szCs w:val="11"/>
                <w:b w:val="1"/>
                <w:bCs w:val="1"/>
                <w:color w:val="auto"/>
              </w:rPr>
              <w:t>Condensed Consolidated</w:t>
            </w:r>
          </w:p>
        </w:tc>
        <w:tc>
          <w:tcPr>
            <w:tcW w:w="1640" w:type="dxa"/>
            <w:vAlign w:val="bottom"/>
            <w:gridSpan w:val="3"/>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Presented in the Consolidated</w:t>
            </w:r>
          </w:p>
        </w:tc>
        <w:tc>
          <w:tcPr>
            <w:tcW w:w="60" w:type="dxa"/>
            <w:vAlign w:val="bottom"/>
          </w:tcPr>
          <w:p>
            <w:pPr>
              <w:spacing w:after="0"/>
              <w:rPr>
                <w:sz w:val="9"/>
                <w:szCs w:val="9"/>
                <w:color w:val="auto"/>
              </w:rPr>
            </w:pPr>
          </w:p>
        </w:tc>
        <w:tc>
          <w:tcPr>
            <w:tcW w:w="13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Financial Instrument</w:t>
            </w:r>
          </w:p>
        </w:tc>
        <w:tc>
          <w:tcPr>
            <w:tcW w:w="60" w:type="dxa"/>
            <w:vAlign w:val="bottom"/>
          </w:tcPr>
          <w:p>
            <w:pPr>
              <w:spacing w:after="0"/>
              <w:rPr>
                <w:sz w:val="9"/>
                <w:szCs w:val="9"/>
                <w:color w:val="auto"/>
              </w:rPr>
            </w:pPr>
          </w:p>
        </w:tc>
        <w:tc>
          <w:tcPr>
            <w:tcW w:w="13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Counterparty Netting/</w:t>
            </w:r>
          </w:p>
        </w:tc>
        <w:tc>
          <w:tcPr>
            <w:tcW w:w="1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520" w:type="dxa"/>
            <w:vAlign w:val="bottom"/>
            <w:gridSpan w:val="2"/>
          </w:tcPr>
          <w:p>
            <w:pPr>
              <w:jc w:val="center"/>
              <w:ind w:right="220"/>
              <w:spacing w:after="0" w:line="117" w:lineRule="exact"/>
              <w:rPr>
                <w:sz w:val="20"/>
                <w:szCs w:val="20"/>
                <w:color w:val="auto"/>
              </w:rPr>
            </w:pPr>
            <w:r>
              <w:rPr>
                <w:rFonts w:ascii="Times New Roman" w:cs="Times New Roman" w:eastAsia="Times New Roman" w:hAnsi="Times New Roman"/>
                <w:sz w:val="11"/>
                <w:szCs w:val="11"/>
                <w:b w:val="1"/>
                <w:bCs w:val="1"/>
                <w:color w:val="auto"/>
              </w:rPr>
              <w:t>Statement of Financial</w:t>
            </w:r>
          </w:p>
        </w:tc>
        <w:tc>
          <w:tcPr>
            <w:tcW w:w="100" w:type="dxa"/>
            <w:vAlign w:val="bottom"/>
          </w:tcPr>
          <w:p>
            <w:pPr>
              <w:spacing w:after="0"/>
              <w:rPr>
                <w:sz w:val="10"/>
                <w:szCs w:val="10"/>
                <w:color w:val="auto"/>
              </w:rPr>
            </w:pPr>
          </w:p>
        </w:tc>
        <w:tc>
          <w:tcPr>
            <w:tcW w:w="1540" w:type="dxa"/>
            <w:vAlign w:val="bottom"/>
            <w:gridSpan w:val="2"/>
          </w:tcPr>
          <w:p>
            <w:pPr>
              <w:jc w:val="center"/>
              <w:ind w:right="200"/>
              <w:spacing w:after="0" w:line="117" w:lineRule="exact"/>
              <w:rPr>
                <w:sz w:val="20"/>
                <w:szCs w:val="20"/>
                <w:color w:val="auto"/>
              </w:rPr>
            </w:pPr>
            <w:r>
              <w:rPr>
                <w:rFonts w:ascii="Times New Roman" w:cs="Times New Roman" w:eastAsia="Times New Roman" w:hAnsi="Times New Roman"/>
                <w:sz w:val="11"/>
                <w:szCs w:val="11"/>
                <w:b w:val="1"/>
                <w:bCs w:val="1"/>
                <w:color w:val="auto"/>
              </w:rPr>
              <w:t>Statement of Financial</w:t>
            </w:r>
          </w:p>
        </w:tc>
        <w:tc>
          <w:tcPr>
            <w:tcW w:w="6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vMerge w:val="restart"/>
          </w:tcPr>
          <w:p>
            <w:pPr>
              <w:jc w:val="right"/>
              <w:ind w:right="183"/>
              <w:spacing w:after="0"/>
              <w:rPr>
                <w:sz w:val="20"/>
                <w:szCs w:val="20"/>
                <w:color w:val="auto"/>
              </w:rPr>
            </w:pPr>
            <w:r>
              <w:rPr>
                <w:rFonts w:ascii="Times New Roman" w:cs="Times New Roman" w:eastAsia="Times New Roman" w:hAnsi="Times New Roman"/>
                <w:sz w:val="11"/>
                <w:szCs w:val="11"/>
                <w:b w:val="1"/>
                <w:bCs w:val="1"/>
                <w:color w:val="auto"/>
              </w:rPr>
              <w:t>Net Amount</w:t>
            </w:r>
          </w:p>
        </w:tc>
        <w:tc>
          <w:tcPr>
            <w:tcW w:w="0" w:type="dxa"/>
            <w:vAlign w:val="bottom"/>
          </w:tcPr>
          <w:p>
            <w:pPr>
              <w:spacing w:after="0"/>
              <w:rPr>
                <w:sz w:val="1"/>
                <w:szCs w:val="1"/>
                <w:color w:val="auto"/>
              </w:rPr>
            </w:pPr>
          </w:p>
        </w:tc>
      </w:tr>
      <w:tr>
        <w:trPr>
          <w:trHeight w:val="155"/>
        </w:trPr>
        <w:tc>
          <w:tcPr>
            <w:tcW w:w="274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Recognized Liabilities</w:t>
            </w:r>
          </w:p>
        </w:tc>
        <w:tc>
          <w:tcPr>
            <w:tcW w:w="120" w:type="dxa"/>
            <w:vAlign w:val="bottom"/>
          </w:tcPr>
          <w:p>
            <w:pPr>
              <w:spacing w:after="0"/>
              <w:rPr>
                <w:sz w:val="13"/>
                <w:szCs w:val="13"/>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100" w:type="dxa"/>
            <w:vAlign w:val="bottom"/>
          </w:tcPr>
          <w:p>
            <w:pPr>
              <w:spacing w:after="0"/>
              <w:rPr>
                <w:sz w:val="13"/>
                <w:szCs w:val="13"/>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Condition</w:t>
            </w:r>
          </w:p>
        </w:tc>
        <w:tc>
          <w:tcPr>
            <w:tcW w:w="60" w:type="dxa"/>
            <w:vAlign w:val="bottom"/>
          </w:tcPr>
          <w:p>
            <w:pPr>
              <w:spacing w:after="0"/>
              <w:rPr>
                <w:sz w:val="13"/>
                <w:szCs w:val="13"/>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Collateral</w:t>
            </w:r>
          </w:p>
        </w:tc>
        <w:tc>
          <w:tcPr>
            <w:tcW w:w="60" w:type="dxa"/>
            <w:vAlign w:val="bottom"/>
          </w:tcPr>
          <w:p>
            <w:pPr>
              <w:spacing w:after="0"/>
              <w:rPr>
                <w:sz w:val="13"/>
                <w:szCs w:val="13"/>
                <w:color w:val="auto"/>
              </w:rPr>
            </w:pPr>
          </w:p>
        </w:tc>
        <w:tc>
          <w:tcPr>
            <w:tcW w:w="13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Cash Collateral</w:t>
            </w: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Offsetting of Financial Liabilities:</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Securities loaned</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1,329,446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1,329,446</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(1,291,376)</w:t>
            </w:r>
          </w:p>
        </w:tc>
        <w:tc>
          <w:tcPr>
            <w:tcW w:w="10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(31,509)</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6,561</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1,795,994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1,795,994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(1,795,994)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7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rate swaps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gridSpan w:val="2"/>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7,661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7,661</w:t>
            </w:r>
          </w:p>
        </w:tc>
        <w:tc>
          <w:tcPr>
            <w:tcW w:w="0" w:type="dxa"/>
            <w:vAlign w:val="bottom"/>
          </w:tcPr>
          <w:p>
            <w:pPr>
              <w:spacing w:after="0"/>
              <w:rPr>
                <w:sz w:val="1"/>
                <w:szCs w:val="1"/>
                <w:color w:val="auto"/>
              </w:rPr>
            </w:pPr>
          </w:p>
        </w:tc>
      </w:tr>
      <w:tr>
        <w:trPr>
          <w:trHeight w:val="165"/>
        </w:trPr>
        <w:tc>
          <w:tcPr>
            <w:tcW w:w="27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Trading liabilities, at fair value:</w:t>
            </w: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Currency forwards</w:t>
            </w:r>
          </w:p>
        </w:tc>
        <w:tc>
          <w:tcPr>
            <w:tcW w:w="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339,085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ind w:left="960"/>
              <w:spacing w:after="0"/>
              <w:rPr>
                <w:sz w:val="20"/>
                <w:szCs w:val="20"/>
                <w:color w:val="auto"/>
              </w:rPr>
            </w:pPr>
            <w:r>
              <w:rPr>
                <w:rFonts w:ascii="Times New Roman" w:cs="Times New Roman" w:eastAsia="Times New Roman" w:hAnsi="Times New Roman"/>
                <w:sz w:val="11"/>
                <w:szCs w:val="11"/>
                <w:color w:val="auto"/>
              </w:rPr>
              <w:t>(336,311)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Pr>
          <w:p>
            <w:pPr>
              <w:spacing w:after="0"/>
              <w:rPr>
                <w:sz w:val="13"/>
                <w:szCs w:val="13"/>
                <w:color w:val="auto"/>
              </w:rPr>
            </w:pPr>
          </w:p>
        </w:tc>
        <w:tc>
          <w:tcPr>
            <w:tcW w:w="1300" w:type="dxa"/>
            <w:vAlign w:val="bottom"/>
            <w:gridSpan w:val="2"/>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2,774</w:t>
            </w:r>
          </w:p>
        </w:tc>
        <w:tc>
          <w:tcPr>
            <w:tcW w:w="0" w:type="dxa"/>
            <w:vAlign w:val="bottom"/>
          </w:tcPr>
          <w:p>
            <w:pPr>
              <w:spacing w:after="0"/>
              <w:rPr>
                <w:sz w:val="1"/>
                <w:szCs w:val="1"/>
                <w:color w:val="auto"/>
              </w:rPr>
            </w:pPr>
          </w:p>
        </w:tc>
      </w:tr>
      <w:tr>
        <w:trPr>
          <w:trHeight w:val="159"/>
        </w:trPr>
        <w:tc>
          <w:tcPr>
            <w:tcW w:w="27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Options</w:t>
            </w: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3,186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2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3"/>
                <w:szCs w:val="13"/>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3,186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w:t>
            </w:r>
          </w:p>
        </w:tc>
        <w:tc>
          <w:tcPr>
            <w:tcW w:w="0" w:type="dxa"/>
            <w:vAlign w:val="bottom"/>
          </w:tcPr>
          <w:p>
            <w:pPr>
              <w:spacing w:after="0"/>
              <w:rPr>
                <w:sz w:val="1"/>
                <w:szCs w:val="1"/>
                <w:color w:val="auto"/>
              </w:rPr>
            </w:pPr>
          </w:p>
        </w:tc>
      </w:tr>
      <w:tr>
        <w:trPr>
          <w:trHeight w:val="156"/>
        </w:trPr>
        <w:tc>
          <w:tcPr>
            <w:tcW w:w="2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3,475,372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tcPr>
          <w:p>
            <w:pPr>
              <w:ind w:left="960"/>
              <w:spacing w:after="0"/>
              <w:rPr>
                <w:sz w:val="20"/>
                <w:szCs w:val="20"/>
                <w:color w:val="auto"/>
              </w:rPr>
            </w:pPr>
            <w:r>
              <w:rPr>
                <w:rFonts w:ascii="Times New Roman" w:cs="Times New Roman" w:eastAsia="Times New Roman" w:hAnsi="Times New Roman"/>
                <w:sz w:val="11"/>
                <w:szCs w:val="11"/>
                <w:color w:val="auto"/>
              </w:rPr>
              <w:t>(336,311)</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3,139,061</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(3,087,370)</w:t>
            </w: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(34,423)</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17,268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presents gross obligations for securities sold under agreements to repurchase and for securities lending transactions by remaining contractual maturity and the class of collateral pledged as of March 31, 2024 and December 31, 2023:</w:t>
      </w:r>
    </w:p>
    <w:p>
      <w:pPr>
        <w:spacing w:after="0" w:line="173" w:lineRule="exact"/>
        <w:rPr>
          <w:sz w:val="20"/>
          <w:szCs w:val="20"/>
          <w:color w:val="auto"/>
        </w:rPr>
      </w:pPr>
    </w:p>
    <w:tbl>
      <w:tblPr>
        <w:tblLayout w:type="fixed"/>
        <w:tblInd w:w="8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Remaining Contractual Maturity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540" w:type="dxa"/>
            <w:vAlign w:val="bottom"/>
            <w:gridSpan w:val="3"/>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Overnight and Continuous</w:t>
            </w:r>
          </w:p>
        </w:tc>
        <w:tc>
          <w:tcPr>
            <w:tcW w:w="100" w:type="dxa"/>
            <w:vAlign w:val="bottom"/>
          </w:tcPr>
          <w:p>
            <w:pPr>
              <w:spacing w:after="0"/>
              <w:rPr>
                <w:sz w:val="8"/>
                <w:szCs w:val="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Less than 30 days</w:t>
            </w:r>
          </w:p>
        </w:tc>
        <w:tc>
          <w:tcPr>
            <w:tcW w:w="160" w:type="dxa"/>
            <w:vAlign w:val="bottom"/>
          </w:tcPr>
          <w:p>
            <w:pPr>
              <w:spacing w:after="0"/>
              <w:rPr>
                <w:sz w:val="8"/>
                <w:szCs w:val="8"/>
                <w:color w:val="auto"/>
              </w:rPr>
            </w:pPr>
          </w:p>
        </w:tc>
        <w:tc>
          <w:tcPr>
            <w:tcW w:w="980" w:type="dxa"/>
            <w:vAlign w:val="bottom"/>
          </w:tcPr>
          <w:p>
            <w:pPr>
              <w:jc w:val="center"/>
              <w:ind w:right="123"/>
              <w:spacing w:after="0" w:line="102" w:lineRule="exact"/>
              <w:rPr>
                <w:sz w:val="20"/>
                <w:szCs w:val="20"/>
                <w:color w:val="auto"/>
              </w:rPr>
            </w:pPr>
            <w:r>
              <w:rPr>
                <w:rFonts w:ascii="Times New Roman" w:cs="Times New Roman" w:eastAsia="Times New Roman" w:hAnsi="Times New Roman"/>
                <w:sz w:val="11"/>
                <w:szCs w:val="11"/>
                <w:b w:val="1"/>
                <w:bCs w:val="1"/>
                <w:color w:val="auto"/>
              </w:rPr>
              <w:t>30 - 60</w:t>
            </w: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jc w:val="center"/>
              <w:ind w:right="263"/>
              <w:spacing w:after="0" w:line="102" w:lineRule="exact"/>
              <w:rPr>
                <w:sz w:val="20"/>
                <w:szCs w:val="20"/>
                <w:color w:val="auto"/>
              </w:rPr>
            </w:pPr>
            <w:r>
              <w:rPr>
                <w:rFonts w:ascii="Times New Roman" w:cs="Times New Roman" w:eastAsia="Times New Roman" w:hAnsi="Times New Roman"/>
                <w:sz w:val="11"/>
                <w:szCs w:val="11"/>
                <w:b w:val="1"/>
                <w:bCs w:val="1"/>
                <w:color w:val="auto"/>
              </w:rPr>
              <w:t>61 - 90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1"/>
                <w:szCs w:val="11"/>
                <w:b w:val="1"/>
                <w:bCs w:val="1"/>
                <w:color w:val="auto"/>
              </w:rPr>
              <w:t>Greater than 90</w:t>
            </w: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vMerge w:val="restart"/>
          </w:tcPr>
          <w:p>
            <w:pPr>
              <w:jc w:val="right"/>
              <w:ind w:right="3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540" w:type="dxa"/>
            <w:vAlign w:val="bottom"/>
            <w:gridSpan w:val="3"/>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days</w:t>
            </w:r>
          </w:p>
        </w:tc>
        <w:tc>
          <w:tcPr>
            <w:tcW w:w="32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Days</w:t>
            </w: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days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5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436,433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436,433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436,433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top w:val="single" w:sz="8" w:color="auto"/>
              <w:bottom w:val="single" w:sz="8" w:color="auto"/>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836,433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Securities loaned:</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2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1,640,521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1,640,521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1,640,521</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1,640,521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3"/>
          </w:tcPr>
          <w:p>
            <w:pPr>
              <w:jc w:val="center"/>
              <w:ind w:left="303"/>
              <w:spacing w:after="0"/>
              <w:rPr>
                <w:sz w:val="20"/>
                <w:szCs w:val="20"/>
                <w:color w:val="auto"/>
              </w:rPr>
            </w:pPr>
            <w:r>
              <w:rPr>
                <w:rFonts w:ascii="Times New Roman" w:cs="Times New Roman" w:eastAsia="Times New Roman" w:hAnsi="Times New Roman"/>
                <w:sz w:val="11"/>
                <w:szCs w:val="11"/>
                <w:b w:val="1"/>
                <w:bCs w:val="1"/>
                <w:color w:val="auto"/>
              </w:rPr>
              <w:t>December 31, 2023</w:t>
            </w: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5"/>
          </w:tcPr>
          <w:p>
            <w:pPr>
              <w:jc w:val="center"/>
              <w:ind w:right="540"/>
              <w:spacing w:after="0"/>
              <w:rPr>
                <w:sz w:val="20"/>
                <w:szCs w:val="20"/>
                <w:color w:val="auto"/>
              </w:rPr>
            </w:pPr>
            <w:r>
              <w:rPr>
                <w:rFonts w:ascii="Times New Roman" w:cs="Times New Roman" w:eastAsia="Times New Roman" w:hAnsi="Times New Roman"/>
                <w:sz w:val="11"/>
                <w:szCs w:val="11"/>
                <w:b w:val="1"/>
                <w:bCs w:val="1"/>
                <w:color w:val="auto"/>
              </w:rPr>
              <w:t>Remaining Contractual Maturity</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520" w:type="dxa"/>
            <w:vAlign w:val="bottom"/>
            <w:gridSpan w:val="3"/>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Overnight and Continuous</w:t>
            </w:r>
          </w:p>
        </w:tc>
        <w:tc>
          <w:tcPr>
            <w:tcW w:w="100" w:type="dxa"/>
            <w:vAlign w:val="bottom"/>
          </w:tcPr>
          <w:p>
            <w:pPr>
              <w:spacing w:after="0"/>
              <w:rPr>
                <w:sz w:val="9"/>
                <w:szCs w:val="9"/>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Less than 30 days</w:t>
            </w:r>
          </w:p>
        </w:tc>
        <w:tc>
          <w:tcPr>
            <w:tcW w:w="160" w:type="dxa"/>
            <w:vAlign w:val="bottom"/>
          </w:tcPr>
          <w:p>
            <w:pPr>
              <w:spacing w:after="0"/>
              <w:rPr>
                <w:sz w:val="9"/>
                <w:szCs w:val="9"/>
                <w:color w:val="auto"/>
              </w:rPr>
            </w:pPr>
          </w:p>
        </w:tc>
        <w:tc>
          <w:tcPr>
            <w:tcW w:w="980" w:type="dxa"/>
            <w:vAlign w:val="bottom"/>
          </w:tcPr>
          <w:p>
            <w:pPr>
              <w:jc w:val="center"/>
              <w:ind w:right="123"/>
              <w:spacing w:after="0" w:line="104" w:lineRule="exact"/>
              <w:rPr>
                <w:sz w:val="20"/>
                <w:szCs w:val="20"/>
                <w:color w:val="auto"/>
              </w:rPr>
            </w:pPr>
            <w:r>
              <w:rPr>
                <w:rFonts w:ascii="Times New Roman" w:cs="Times New Roman" w:eastAsia="Times New Roman" w:hAnsi="Times New Roman"/>
                <w:sz w:val="11"/>
                <w:szCs w:val="11"/>
                <w:b w:val="1"/>
                <w:bCs w:val="1"/>
                <w:color w:val="auto"/>
              </w:rPr>
              <w:t>30 - 60</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jc w:val="center"/>
              <w:ind w:right="263"/>
              <w:spacing w:after="0" w:line="104" w:lineRule="exact"/>
              <w:rPr>
                <w:sz w:val="20"/>
                <w:szCs w:val="20"/>
                <w:color w:val="auto"/>
              </w:rPr>
            </w:pPr>
            <w:r>
              <w:rPr>
                <w:rFonts w:ascii="Times New Roman" w:cs="Times New Roman" w:eastAsia="Times New Roman" w:hAnsi="Times New Roman"/>
                <w:sz w:val="11"/>
                <w:szCs w:val="11"/>
                <w:b w:val="1"/>
                <w:bCs w:val="1"/>
                <w:color w:val="auto"/>
              </w:rPr>
              <w:t>61 - 90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gridSpan w:val="2"/>
          </w:tcPr>
          <w:p>
            <w:pPr>
              <w:jc w:val="center"/>
              <w:ind w:right="220"/>
              <w:spacing w:after="0" w:line="104" w:lineRule="exact"/>
              <w:rPr>
                <w:sz w:val="20"/>
                <w:szCs w:val="20"/>
                <w:color w:val="auto"/>
              </w:rPr>
            </w:pPr>
            <w:r>
              <w:rPr>
                <w:rFonts w:ascii="Times New Roman" w:cs="Times New Roman" w:eastAsia="Times New Roman" w:hAnsi="Times New Roman"/>
                <w:sz w:val="11"/>
                <w:szCs w:val="11"/>
                <w:b w:val="1"/>
                <w:bCs w:val="1"/>
                <w:color w:val="auto"/>
              </w:rPr>
              <w:t>Greater than 90</w:t>
            </w: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restart"/>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vMerge w:val="continue"/>
          </w:tcPr>
          <w:p>
            <w:pPr>
              <w:spacing w:after="0"/>
              <w:rPr>
                <w:sz w:val="13"/>
                <w:szCs w:val="13"/>
                <w:color w:val="auto"/>
              </w:rPr>
            </w:pPr>
          </w:p>
        </w:tc>
        <w:tc>
          <w:tcPr>
            <w:tcW w:w="15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days</w:t>
            </w:r>
          </w:p>
        </w:tc>
        <w:tc>
          <w:tcPr>
            <w:tcW w:w="320" w:type="dxa"/>
            <w:vAlign w:val="bottom"/>
          </w:tcPr>
          <w:p>
            <w:pPr>
              <w:spacing w:after="0"/>
              <w:rPr>
                <w:sz w:val="13"/>
                <w:szCs w:val="13"/>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1"/>
                <w:szCs w:val="11"/>
                <w:b w:val="1"/>
                <w:bCs w:val="1"/>
                <w:color w:val="auto"/>
              </w:rPr>
              <w:t>Days</w:t>
            </w: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days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Borders>
              <w:top w:val="single" w:sz="8" w:color="auto"/>
            </w:tcBorders>
            <w:shd w:val="clear" w:color="auto" w:fill="CCEEFF"/>
          </w:tcPr>
          <w:p>
            <w:pPr>
              <w:spacing w:after="0"/>
              <w:rPr>
                <w:sz w:val="13"/>
                <w:szCs w:val="13"/>
                <w:color w:val="auto"/>
              </w:rPr>
            </w:pPr>
          </w:p>
        </w:tc>
        <w:tc>
          <w:tcPr>
            <w:tcW w:w="34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Securities sold under agreements to repurchase:</w:t>
            </w: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shd w:val="clear" w:color="auto" w:fill="CCEEFF"/>
          </w:tcPr>
          <w:p>
            <w:pPr>
              <w:spacing w:after="0"/>
              <w:rPr>
                <w:sz w:val="14"/>
                <w:szCs w:val="14"/>
                <w:color w:val="auto"/>
              </w:rPr>
            </w:pPr>
          </w:p>
        </w:tc>
        <w:tc>
          <w:tcPr>
            <w:tcW w:w="35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U.S. and Non-U.S. government obligations</w:t>
            </w:r>
          </w:p>
        </w:tc>
        <w:tc>
          <w:tcPr>
            <w:tcW w:w="5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1,395,994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1,395,994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1,395,994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75,000</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1,795,994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3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shd w:val="clear" w:color="auto" w:fill="CCEEFF"/>
          </w:tcPr>
          <w:p>
            <w:pPr>
              <w:spacing w:after="0"/>
              <w:rPr>
                <w:sz w:val="13"/>
                <w:szCs w:val="13"/>
                <w:color w:val="auto"/>
              </w:rPr>
            </w:pPr>
          </w:p>
        </w:tc>
        <w:tc>
          <w:tcPr>
            <w:tcW w:w="35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Securities loaned:</w:t>
            </w:r>
          </w:p>
        </w:tc>
        <w:tc>
          <w:tcPr>
            <w:tcW w:w="5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gridSpan w:val="3"/>
          </w:tcPr>
          <w:p>
            <w:pPr>
              <w:ind w:left="100"/>
              <w:spacing w:after="0"/>
              <w:rPr>
                <w:sz w:val="20"/>
                <w:szCs w:val="20"/>
                <w:color w:val="auto"/>
              </w:rPr>
            </w:pPr>
            <w:r>
              <w:rPr>
                <w:rFonts w:ascii="Times New Roman" w:cs="Times New Roman" w:eastAsia="Times New Roman" w:hAnsi="Times New Roman"/>
                <w:sz w:val="11"/>
                <w:szCs w:val="11"/>
                <w:color w:val="auto"/>
              </w:rPr>
              <w:t>Equity securities</w:t>
            </w:r>
          </w:p>
        </w:tc>
        <w:tc>
          <w:tcPr>
            <w:tcW w:w="50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1,329,446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1,329,446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354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500" w:type="dxa"/>
            <w:vAlign w:val="bottom"/>
            <w:tcBorders>
              <w:top w:val="single" w:sz="8" w:color="auto"/>
              <w:bottom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1,329,446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1,329,446</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06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10. Derivative Instruments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fair value of the Company’s derivative instruments on a gross basis consisted of the following at March 31, 2024 and December 31, 2023:</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2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4"/>
          </w:tcPr>
          <w:p>
            <w:pPr>
              <w:jc w:val="right"/>
              <w:ind w:right="74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Assets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Financial Statement Location</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Notional</w:t>
            </w:r>
          </w:p>
        </w:tc>
      </w:tr>
      <w:tr>
        <w:trPr>
          <w:trHeight w:val="99"/>
        </w:trPr>
        <w:tc>
          <w:tcPr>
            <w:tcW w:w="2880" w:type="dxa"/>
            <w:vAlign w:val="bottom"/>
            <w:tcBorders>
              <w:top w:val="single" w:sz="8" w:color="auto"/>
            </w:tcBorders>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Derivative instruments not designated as hedging</w:t>
            </w:r>
          </w:p>
        </w:tc>
        <w:tc>
          <w:tcPr>
            <w:tcW w:w="100" w:type="dxa"/>
            <w:vAlign w:val="bottom"/>
          </w:tcPr>
          <w:p>
            <w:pPr>
              <w:spacing w:after="0"/>
              <w:rPr>
                <w:sz w:val="8"/>
                <w:szCs w:val="8"/>
                <w:color w:val="auto"/>
              </w:rPr>
            </w:pPr>
          </w:p>
        </w:tc>
        <w:tc>
          <w:tcPr>
            <w:tcW w:w="30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Equities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711,468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1,944,872</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Commodity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4,963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5,207,005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(7,017)</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6,489,328</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Currency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6,134,373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707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6,964,937</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Fixed income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62,129</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5,989</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Financial instruments owned</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2,888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636,097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1,167,643</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forwards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Financial instruments owned</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290,659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27,710,240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377,279</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33,579,641</w:t>
            </w:r>
          </w:p>
        </w:tc>
      </w:tr>
      <w:tr>
        <w:trPr>
          <w:trHeight w:val="176"/>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 instruments designated as hedging instruments:</w:t>
            </w: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Receivables from broker-dealers and clearing organizations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5,753</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1,525,000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0"/>
        </w:trPr>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9"/>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Derivatives Liabilities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Financial Statement Location</w:t>
            </w:r>
          </w:p>
        </w:tc>
        <w:tc>
          <w:tcPr>
            <w:tcW w:w="22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3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1"/>
                <w:szCs w:val="11"/>
                <w:b w:val="1"/>
                <w:bCs w:val="1"/>
                <w:color w:val="auto"/>
              </w:rPr>
              <w:t>Notional</w:t>
            </w:r>
          </w:p>
        </w:tc>
        <w:tc>
          <w:tcPr>
            <w:tcW w:w="2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2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Notional</w:t>
            </w:r>
          </w:p>
        </w:tc>
      </w:tr>
      <w:tr>
        <w:trPr>
          <w:trHeight w:val="99"/>
        </w:trPr>
        <w:tc>
          <w:tcPr>
            <w:tcW w:w="2880" w:type="dxa"/>
            <w:vAlign w:val="bottom"/>
            <w:tcBorders>
              <w:top w:val="single" w:sz="8" w:color="auto"/>
            </w:tcBorders>
          </w:tcPr>
          <w:p>
            <w:pPr>
              <w:ind w:left="20"/>
              <w:spacing w:after="0" w:line="99" w:lineRule="exact"/>
              <w:rPr>
                <w:sz w:val="20"/>
                <w:szCs w:val="20"/>
                <w:color w:val="auto"/>
              </w:rPr>
            </w:pPr>
            <w:r>
              <w:rPr>
                <w:rFonts w:ascii="Times New Roman" w:cs="Times New Roman" w:eastAsia="Times New Roman" w:hAnsi="Times New Roman"/>
                <w:sz w:val="11"/>
                <w:szCs w:val="11"/>
                <w:b w:val="1"/>
                <w:bCs w:val="1"/>
                <w:color w:val="auto"/>
              </w:rPr>
              <w:t>Derivative instruments not designated as hedging</w:t>
            </w:r>
          </w:p>
        </w:tc>
        <w:tc>
          <w:tcPr>
            <w:tcW w:w="100" w:type="dxa"/>
            <w:vAlign w:val="bottom"/>
          </w:tcPr>
          <w:p>
            <w:pPr>
              <w:spacing w:after="0"/>
              <w:rPr>
                <w:sz w:val="8"/>
                <w:szCs w:val="8"/>
                <w:color w:val="auto"/>
              </w:rPr>
            </w:pPr>
          </w:p>
        </w:tc>
        <w:tc>
          <w:tcPr>
            <w:tcW w:w="30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980" w:type="dxa"/>
            <w:vAlign w:val="bottom"/>
            <w:tcBorders>
              <w:top w:val="single" w:sz="8" w:color="auto"/>
            </w:tcBorders>
          </w:tcPr>
          <w:p>
            <w:pPr>
              <w:spacing w:after="0"/>
              <w:rPr>
                <w:sz w:val="8"/>
                <w:szCs w:val="8"/>
                <w:color w:val="auto"/>
              </w:rPr>
            </w:pP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3"/>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Equities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3,168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3,089,351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(558)</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501,978</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Commodity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74,062</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25,462</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Currency futures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9,344</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621,877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12,031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1,518,087</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Fixed income futures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9,311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82,044</w:t>
            </w:r>
          </w:p>
        </w:tc>
      </w:tr>
      <w:tr>
        <w:trPr>
          <w:trHeight w:val="165"/>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Financial instruments sold, not yet purchased</w:t>
            </w: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3,122</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651,941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3,186</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1,173,351</w:t>
            </w:r>
          </w:p>
        </w:tc>
      </w:tr>
      <w:tr>
        <w:trPr>
          <w:trHeight w:val="153"/>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Currency forwards</w:t>
            </w:r>
          </w:p>
        </w:tc>
        <w:tc>
          <w:tcPr>
            <w:tcW w:w="3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Financial instruments sold, not yet purchased</w:t>
            </w:r>
          </w:p>
        </w:tc>
        <w:tc>
          <w:tcPr>
            <w:tcW w:w="2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253,151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27,691,487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339,085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33,560,544</w:t>
            </w:r>
          </w:p>
        </w:tc>
      </w:tr>
      <w:tr>
        <w:trPr>
          <w:trHeight w:val="176"/>
        </w:trPr>
        <w:tc>
          <w:tcPr>
            <w:tcW w:w="2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4"/>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 instruments designated as hedging instruments:</w:t>
            </w:r>
          </w:p>
        </w:tc>
        <w:tc>
          <w:tcPr>
            <w:tcW w:w="3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4"/>
        </w:trPr>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swaps</w:t>
            </w:r>
          </w:p>
        </w:tc>
        <w:tc>
          <w:tcPr>
            <w:tcW w:w="3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Payables to broker-dealers and clearing organizations</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7,661</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1,525,000</w:t>
            </w:r>
          </w:p>
        </w:tc>
      </w:tr>
    </w:tbl>
    <w:p>
      <w:pPr>
        <w:spacing w:after="0" w:line="251"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Amounts included in receivables from and payables to broker-dealers and clearing organizations represent net variation margin on long and short futures contracts as well as amounts receivable or payable on interest rate swaps.</w:t>
      </w:r>
    </w:p>
    <w:p>
      <w:pPr>
        <w:spacing w:after="0" w:line="145" w:lineRule="exact"/>
        <w:rPr>
          <w:sz w:val="20"/>
          <w:szCs w:val="20"/>
          <w:color w:val="auto"/>
        </w:rPr>
      </w:pPr>
    </w:p>
    <w:p>
      <w:pPr>
        <w:jc w:val="both"/>
        <w:ind w:right="100" w:firstLine="509"/>
        <w:spacing w:after="0" w:line="270" w:lineRule="auto"/>
        <w:rPr>
          <w:sz w:val="20"/>
          <w:szCs w:val="20"/>
          <w:color w:val="auto"/>
        </w:rPr>
      </w:pPr>
      <w:r>
        <w:rPr>
          <w:rFonts w:ascii="Times New Roman" w:cs="Times New Roman" w:eastAsia="Times New Roman" w:hAnsi="Times New Roman"/>
          <w:sz w:val="14"/>
          <w:szCs w:val="14"/>
          <w:color w:val="auto"/>
        </w:rPr>
        <w:t>The following table summarizes the net gain (loss) from derivative instruments not designated as hedging instruments under ASC 815, which are recorded in total revenues, and from those designated as hedging instruments under ASC 815, which are initially recorded in other comprehensive income in the accompanying Condensed Consolidated Statements of Comprehensive Income for the three months ended March 31, 2024 and 2023.</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28" w:name="page29"/>
    <w:bookmarkEnd w:id="28"/>
    <w:tbl>
      <w:tblPr>
        <w:tblLayout w:type="fixed"/>
        <w:tblInd w:w="1640" w:type="dxa"/>
        <w:tblCellMar>
          <w:top w:w="0" w:type="dxa"/>
          <w:left w:w="0" w:type="dxa"/>
          <w:bottom w:w="0" w:type="dxa"/>
          <w:right w:w="0" w:type="dxa"/>
        </w:tblCellMar>
      </w:tblPr>
      <w:tr>
        <w:trPr>
          <w:trHeight w:val="158"/>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Financial Statements Location</w:t>
            </w:r>
          </w:p>
        </w:tc>
        <w:tc>
          <w:tcPr>
            <w:tcW w:w="280" w:type="dxa"/>
            <w:vAlign w:val="bottom"/>
          </w:tcPr>
          <w:p>
            <w:pPr>
              <w:spacing w:after="0"/>
              <w:rPr>
                <w:sz w:val="13"/>
                <w:szCs w:val="13"/>
                <w:color w:val="auto"/>
              </w:rPr>
            </w:pPr>
          </w:p>
        </w:tc>
        <w:tc>
          <w:tcPr>
            <w:tcW w:w="90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04"/>
        </w:trPr>
        <w:tc>
          <w:tcPr>
            <w:tcW w:w="2920" w:type="dxa"/>
            <w:vAlign w:val="bottom"/>
            <w:tcBorders>
              <w:top w:val="single" w:sz="8" w:color="auto"/>
            </w:tcBorders>
            <w:shd w:val="clear" w:color="auto" w:fill="CCEEFF"/>
          </w:tcPr>
          <w:p>
            <w:pPr>
              <w:ind w:left="20"/>
              <w:spacing w:after="0" w:line="104" w:lineRule="exact"/>
              <w:rPr>
                <w:sz w:val="20"/>
                <w:szCs w:val="20"/>
                <w:color w:val="auto"/>
              </w:rPr>
            </w:pPr>
            <w:r>
              <w:rPr>
                <w:rFonts w:ascii="Times New Roman" w:cs="Times New Roman" w:eastAsia="Times New Roman" w:hAnsi="Times New Roman"/>
                <w:sz w:val="11"/>
                <w:szCs w:val="11"/>
                <w:b w:val="1"/>
                <w:bCs w:val="1"/>
                <w:color w:val="auto"/>
              </w:rPr>
              <w:t>Derivative instruments not designated as hedging</w:t>
            </w:r>
          </w:p>
        </w:tc>
        <w:tc>
          <w:tcPr>
            <w:tcW w:w="100" w:type="dxa"/>
            <w:vAlign w:val="bottom"/>
            <w:tcBorders>
              <w:top w:val="single" w:sz="8" w:color="CCEEFF"/>
            </w:tcBorders>
            <w:shd w:val="clear" w:color="auto" w:fill="CCEEFF"/>
          </w:tcPr>
          <w:p>
            <w:pPr>
              <w:spacing w:after="0"/>
              <w:rPr>
                <w:sz w:val="9"/>
                <w:szCs w:val="9"/>
                <w:color w:val="auto"/>
              </w:rPr>
            </w:pPr>
          </w:p>
        </w:tc>
        <w:tc>
          <w:tcPr>
            <w:tcW w:w="24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r>
      <w:tr>
        <w:trPr>
          <w:trHeight w:val="157"/>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instruments:</w:t>
            </w:r>
          </w:p>
        </w:tc>
        <w:tc>
          <w:tcPr>
            <w:tcW w:w="2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Futures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Trading income, net</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1,532</w:t>
            </w:r>
          </w:p>
        </w:tc>
        <w:tc>
          <w:tcPr>
            <w:tcW w:w="120" w:type="dxa"/>
            <w:vAlign w:val="bottom"/>
          </w:tcPr>
          <w:p>
            <w:pPr>
              <w:spacing w:after="0"/>
              <w:rPr>
                <w:sz w:val="13"/>
                <w:szCs w:val="13"/>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124,466</w:t>
            </w:r>
          </w:p>
        </w:tc>
      </w:tr>
      <w:tr>
        <w:trPr>
          <w:trHeight w:val="16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Currency forwards</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Trading income, net</w:t>
            </w: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(6,061)</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(62,937)</w:t>
            </w:r>
          </w:p>
        </w:tc>
      </w:tr>
      <w:tr>
        <w:trPr>
          <w:trHeight w:val="153"/>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Options</w:t>
            </w:r>
          </w:p>
        </w:tc>
        <w:tc>
          <w:tcPr>
            <w:tcW w:w="2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Trading income, net</w:t>
            </w:r>
          </w:p>
        </w:tc>
        <w:tc>
          <w:tcPr>
            <w:tcW w:w="28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13,038</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2,655</w:t>
            </w:r>
          </w:p>
        </w:tc>
      </w:tr>
      <w:tr>
        <w:trPr>
          <w:trHeight w:val="165"/>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rate swap on term loan</w:t>
            </w:r>
          </w:p>
        </w:tc>
        <w:tc>
          <w:tcPr>
            <w:tcW w:w="2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net</w:t>
            </w:r>
          </w:p>
        </w:tc>
        <w:tc>
          <w:tcPr>
            <w:tcW w:w="2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(463)</w:t>
            </w:r>
          </w:p>
        </w:tc>
      </w:tr>
      <w:tr>
        <w:trPr>
          <w:trHeight w:val="153"/>
        </w:trPr>
        <w:tc>
          <w:tcPr>
            <w:tcW w:w="3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Terminated interest rate swaps</w:t>
            </w:r>
          </w:p>
        </w:tc>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Financing interest expense on long-term borrowings</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(11,702)</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75"/>
        </w:trPr>
        <w:tc>
          <w:tcPr>
            <w:tcW w:w="2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(3,193)</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63,721</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117"/>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59"/>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Derivative instruments designated as hedging instruments:</w:t>
            </w:r>
          </w:p>
        </w:tc>
        <w:tc>
          <w:tcPr>
            <w:tcW w:w="2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53"/>
        </w:trPr>
        <w:tc>
          <w:tcPr>
            <w:tcW w:w="3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Interest rate swaps (1)</w:t>
            </w:r>
          </w:p>
        </w:tc>
        <w:tc>
          <w:tcPr>
            <w:tcW w:w="25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Other comprehensive income</w:t>
            </w: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13,447</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(15,393)</w:t>
            </w:r>
          </w:p>
        </w:tc>
      </w:tr>
      <w:tr>
        <w:trPr>
          <w:trHeight w:val="175"/>
        </w:trPr>
        <w:tc>
          <w:tcPr>
            <w:tcW w:w="2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13,447</w:t>
            </w:r>
          </w:p>
        </w:tc>
        <w:tc>
          <w:tcPr>
            <w:tcW w:w="12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(15,393)</w:t>
            </w: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ind w:firstLine="5"/>
        <w:spacing w:after="0" w:line="266" w:lineRule="auto"/>
        <w:tabs>
          <w:tab w:leader="none" w:pos="160" w:val="left"/>
        </w:tabs>
        <w:numPr>
          <w:ilvl w:val="0"/>
          <w:numId w:val="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Company entered into a five-year $1,000 million floating-to-fixed interest rate swap agreement in the first quarter of 2020 and a five-year $525 million floating-to-fixed interest rate swap agreement in the fourth quarter of 2019. These two interest rate swaps met the criteria to be considered qualifying cash flow hedges under ASC 815 in the first quarter of 2020, and as such, the mark-to-market gains (losses) on the instruments were deferred within Other comprehensive income on the Condensed Consolidated Statements of Comprehensive Income beginning in the first quarter of 2020. The two interest rate swaps were terminated and dedesignated as cash flow hedges in December 2023. The Company entered into a two-year $1,525 million floating-to-fixed interest rate agreement in December 2023. The two-year interest rate swap met the criteria to be considered as a qualifying cash flow hedge under ASC 815 as of December 2023, and the mark-to-market gains (losses) on the instrument was deferred within Other comprehensive income on the Condensed Consolidated Statements of Comprehensive Income.</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Variable Interest Entities</w:t>
      </w:r>
    </w:p>
    <w:p>
      <w:pPr>
        <w:spacing w:after="0" w:line="25" w:lineRule="exact"/>
        <w:rPr>
          <w:sz w:val="20"/>
          <w:szCs w:val="20"/>
          <w:color w:val="auto"/>
        </w:rPr>
      </w:pPr>
    </w:p>
    <w:p>
      <w:pPr>
        <w:ind w:right="180" w:firstLine="509"/>
        <w:spacing w:after="0" w:line="259" w:lineRule="auto"/>
        <w:rPr>
          <w:sz w:val="20"/>
          <w:szCs w:val="20"/>
          <w:color w:val="auto"/>
        </w:rPr>
      </w:pPr>
      <w:r>
        <w:rPr>
          <w:rFonts w:ascii="Times New Roman" w:cs="Times New Roman" w:eastAsia="Times New Roman" w:hAnsi="Times New Roman"/>
          <w:sz w:val="14"/>
          <w:szCs w:val="14"/>
          <w:color w:val="auto"/>
        </w:rPr>
        <w:t>A variable interest entity (“VIE”) is an entity that lacks one or more of the following characteristics: (i) the total equity investment at risk is sufficient to enable the entity to finance its activities independently and (ii) the equity holders have the power to direct the activities of the entity that most significantly impact its economic performance, the obligation to absorb the losses of the entity and the right to receive the residual returns of the entity.</w:t>
      </w:r>
    </w:p>
    <w:p>
      <w:pPr>
        <w:spacing w:after="0" w:line="165"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The Company will be considered to have a controlling financial interest and will consolidate a VIE if it has both (i) the power to direct the activities of the VIE that most significantly impact the VIE’s economic performance and (ii) the obligation to absorb losses of the VIE or the right to receive benefits from the VIE that could potentially be significant to the VIE.</w:t>
      </w:r>
    </w:p>
    <w:p>
      <w:pPr>
        <w:spacing w:after="0" w:line="145" w:lineRule="exact"/>
        <w:rPr>
          <w:sz w:val="20"/>
          <w:szCs w:val="20"/>
          <w:color w:val="auto"/>
        </w:rPr>
      </w:pPr>
    </w:p>
    <w:p>
      <w:pPr>
        <w:ind w:right="200" w:firstLine="509"/>
        <w:spacing w:after="0" w:line="270" w:lineRule="auto"/>
        <w:rPr>
          <w:sz w:val="20"/>
          <w:szCs w:val="20"/>
          <w:color w:val="auto"/>
        </w:rPr>
      </w:pPr>
      <w:r>
        <w:rPr>
          <w:rFonts w:ascii="Times New Roman" w:cs="Times New Roman" w:eastAsia="Times New Roman" w:hAnsi="Times New Roman"/>
          <w:sz w:val="14"/>
          <w:szCs w:val="14"/>
          <w:color w:val="auto"/>
        </w:rPr>
        <w:t>The Company has interests in two joint ventures (“JV”) that build and maintain microwave communication networks in the U.S., Europe, and Asia. The Company and its JV partners each pay monthly fees for the use of the microwave communication networks in connection with their respective trading activities, and the JVs may sell excess bandwidth that is not utilized by the JV members to third parties. As of March 31, 2024, the Company held noncontrolling interests of 12.5% and 50.0%, respectively, in these JVs.</w:t>
      </w:r>
    </w:p>
    <w:p>
      <w:pPr>
        <w:spacing w:after="0" w:line="157"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The Company has an interest in a JV that offers derivatives trading technology and execution services to broker-dealers, professional traders and select hedge funds. As of March 31, 2024, the Company held approximately a 9.8% noncontrolling interest in this JV.</w:t>
      </w:r>
    </w:p>
    <w:p>
      <w:pPr>
        <w:spacing w:after="0" w:line="145"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has an interest in a JV that operates a member-owned equities exchange with the goal of increasing competition and transparency, while reducing fixed costs and simplifying execution of equity trading in the U.S. As of March 31, 2024, the Company held approximately a 13.5% noncontrolling interest in this JV.</w:t>
      </w:r>
    </w:p>
    <w:p>
      <w:pPr>
        <w:spacing w:after="0" w:line="145"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In the second quarter of 2022, the Company invested in a JV that was formed for the purpose of developing and operating a cryptocurrency trading platform with the goal of increasing competition and transparency, while improving trading performance and reducing operational risk. As of March 31, 2024, the Company held approximately a 6.9% noncontrolling interest in this JV.</w:t>
      </w:r>
    </w:p>
    <w:p>
      <w:pPr>
        <w:spacing w:after="0" w:line="145" w:lineRule="exact"/>
        <w:rPr>
          <w:sz w:val="20"/>
          <w:szCs w:val="20"/>
          <w:color w:val="auto"/>
        </w:rPr>
      </w:pPr>
    </w:p>
    <w:p>
      <w:pPr>
        <w:ind w:right="140" w:firstLine="509"/>
        <w:spacing w:after="0" w:line="270" w:lineRule="auto"/>
        <w:rPr>
          <w:sz w:val="20"/>
          <w:szCs w:val="20"/>
          <w:color w:val="auto"/>
        </w:rPr>
      </w:pPr>
      <w:r>
        <w:rPr>
          <w:rFonts w:ascii="Times New Roman" w:cs="Times New Roman" w:eastAsia="Times New Roman" w:hAnsi="Times New Roman"/>
          <w:sz w:val="14"/>
          <w:szCs w:val="14"/>
          <w:color w:val="auto"/>
        </w:rPr>
        <w:t>The Company's five JVs noted above meet the criteria to be considered VIEs, which it does not consolidate. The Company records its interest in each JV under the equity method of accounting and records its investment in the JVs within Other assets and its amounts payable for communication services provided by the applicable JVs within Accounts payable, accrued expenses and other liabilities on the Statements of Financial Condition. The Company records its pro-rata share of each</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29" w:name="page30"/>
    <w:bookmarkEnd w:id="29"/>
    <w:p>
      <w:pPr>
        <w:ind w:right="280"/>
        <w:spacing w:after="0" w:line="287" w:lineRule="auto"/>
        <w:rPr>
          <w:sz w:val="20"/>
          <w:szCs w:val="20"/>
          <w:color w:val="auto"/>
        </w:rPr>
      </w:pPr>
      <w:r>
        <w:rPr>
          <w:rFonts w:ascii="Times New Roman" w:cs="Times New Roman" w:eastAsia="Times New Roman" w:hAnsi="Times New Roman"/>
          <w:sz w:val="14"/>
          <w:szCs w:val="14"/>
          <w:color w:val="auto"/>
        </w:rPr>
        <w:t>JV's earnings or losses within Other, net and fees related to the use of communication services provided by the JVs within Communications and data processing on the Condensed Consolidated Statements of Comprehensive Income.</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Company’s exposure to the obligations of these VIEs is generally limited to its interests in each respective JV, which is the carrying value of the equity investment in each JV.</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Company’s nonconsolidated VIEs at March 31, 2024:</w:t>
      </w:r>
    </w:p>
    <w:p>
      <w:pPr>
        <w:spacing w:after="0" w:line="238"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224"/>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Maximum Exposure to Loss</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VIEs' assets</w:t>
            </w:r>
          </w:p>
        </w:tc>
      </w:tr>
      <w:tr>
        <w:trPr>
          <w:trHeight w:val="184"/>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60,010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60,010</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296,280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Company’s nonconsolidated VIEs at December 31, 2023:</w:t>
      </w:r>
    </w:p>
    <w:p>
      <w:pPr>
        <w:spacing w:after="0" w:line="280" w:lineRule="exact"/>
        <w:rPr>
          <w:sz w:val="20"/>
          <w:szCs w:val="20"/>
          <w:color w:val="auto"/>
        </w:rPr>
      </w:pPr>
    </w:p>
    <w:tbl>
      <w:tblPr>
        <w:tblLayout w:type="fixed"/>
        <w:tblInd w:w="160" w:type="dxa"/>
        <w:tblCellMar>
          <w:top w:w="0" w:type="dxa"/>
          <w:left w:w="0" w:type="dxa"/>
          <w:bottom w:w="0" w:type="dxa"/>
          <w:right w:w="0" w:type="dxa"/>
        </w:tblCellMar>
      </w:tblPr>
      <w:tr>
        <w:trPr>
          <w:trHeight w:val="158"/>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9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92"/>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Asset</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Liability</w:t>
            </w:r>
          </w:p>
        </w:tc>
        <w:tc>
          <w:tcPr>
            <w:tcW w:w="8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Maximum Exposure to Loss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VIEs' assets</w:t>
            </w:r>
          </w:p>
        </w:tc>
      </w:tr>
      <w:tr>
        <w:trPr>
          <w:trHeight w:val="184"/>
        </w:trPr>
        <w:tc>
          <w:tcPr>
            <w:tcW w:w="5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Equity investment</w:t>
            </w: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59,713</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59,713</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273,905</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During the second quarter of 2022, the Company formed a JV to support the growth and expansion of a multi-asset request-for-quote communication platform. As of March 31, 2024, the Company held a 51% controlling interest in this entity. This JV meets the criteria to be considered a VIE, and based on the standard for control set forth above, the Company consolidates this entity and records the interest that the Company does not own as noncontrolling interest in the Condensed Consolidated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Revenues from Contracts with Customers</w:t>
      </w:r>
    </w:p>
    <w:p>
      <w:pPr>
        <w:spacing w:after="0" w:line="202" w:lineRule="exact"/>
        <w:rPr>
          <w:sz w:val="20"/>
          <w:szCs w:val="20"/>
          <w:color w:val="auto"/>
        </w:rPr>
      </w:pPr>
    </w:p>
    <w:p>
      <w:pPr>
        <w:ind w:right="160" w:firstLine="509"/>
        <w:spacing w:after="0" w:line="287" w:lineRule="auto"/>
        <w:rPr>
          <w:sz w:val="20"/>
          <w:szCs w:val="20"/>
          <w:color w:val="auto"/>
        </w:rPr>
      </w:pPr>
      <w:r>
        <w:rPr>
          <w:rFonts w:ascii="Times New Roman" w:cs="Times New Roman" w:eastAsia="Times New Roman" w:hAnsi="Times New Roman"/>
          <w:sz w:val="14"/>
          <w:szCs w:val="14"/>
          <w:color w:val="auto"/>
        </w:rPr>
        <w:t>For more information on revenue recognition and the nature of services provided, see Note 2 "Summary of Significant Accounting Policies" and Note 12 "Revenues from Contracts with Customers" to the Consolidated Financial Statements of the Company's 2023 Annual Report on Form 10-K.</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Disaggregation of Revenues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tables present the Company’s revenue from contracts with customers disaggregated by service, and timing of revenue recognition, reconciled to the Company’s segments, for the three months ended March 31, 2024 and 2023:</w:t>
      </w:r>
    </w:p>
    <w:p>
      <w:pPr>
        <w:spacing w:after="0" w:line="332" w:lineRule="exact"/>
        <w:rPr>
          <w:sz w:val="20"/>
          <w:szCs w:val="20"/>
          <w:color w:val="auto"/>
        </w:rPr>
      </w:pPr>
    </w:p>
    <w:tbl>
      <w:tblPr>
        <w:tblLayout w:type="fixed"/>
        <w:tblInd w:w="52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300" w:type="dxa"/>
            <w:vAlign w:val="bottom"/>
            <w:tcBorders>
              <w:bottom w:val="single" w:sz="8" w:color="auto"/>
            </w:tcBorders>
            <w:gridSpan w:val="3"/>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12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4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53"/>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Commissions, net</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7,202</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78,210</w:t>
            </w:r>
          </w:p>
        </w:tc>
        <w:tc>
          <w:tcPr>
            <w:tcW w:w="80" w:type="dxa"/>
            <w:vAlign w:val="bottom"/>
          </w:tcPr>
          <w:p>
            <w:pPr>
              <w:spacing w:after="0"/>
              <w:rPr>
                <w:sz w:val="13"/>
                <w:szCs w:val="13"/>
                <w:color w:val="auto"/>
              </w:rPr>
            </w:pPr>
          </w:p>
        </w:tc>
        <w:tc>
          <w:tcPr>
            <w:tcW w:w="102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85,412</w:t>
            </w:r>
          </w:p>
        </w:tc>
      </w:tr>
      <w:tr>
        <w:trPr>
          <w:trHeight w:val="165"/>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Workflow technology</w:t>
            </w:r>
          </w:p>
        </w:tc>
        <w:tc>
          <w:tcPr>
            <w:tcW w:w="18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23,918</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23,918</w:t>
            </w:r>
          </w:p>
        </w:tc>
      </w:tr>
      <w:tr>
        <w:trPr>
          <w:trHeight w:val="153"/>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Analytics</w:t>
            </w:r>
          </w:p>
        </w:tc>
        <w:tc>
          <w:tcPr>
            <w:tcW w:w="1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9,281</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9,281</w:t>
            </w:r>
          </w:p>
        </w:tc>
      </w:tr>
      <w:tr>
        <w:trPr>
          <w:trHeight w:val="156"/>
        </w:trPr>
        <w:tc>
          <w:tcPr>
            <w:tcW w:w="4140" w:type="dxa"/>
            <w:vAlign w:val="bottom"/>
            <w:tcBorders>
              <w:top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7,202</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111,409</w:t>
            </w:r>
          </w:p>
        </w:tc>
        <w:tc>
          <w:tcPr>
            <w:tcW w:w="8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118,611</w:t>
            </w:r>
          </w:p>
        </w:tc>
      </w:tr>
      <w:tr>
        <w:trPr>
          <w:trHeight w:val="212"/>
        </w:trPr>
        <w:tc>
          <w:tcPr>
            <w:tcW w:w="4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5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Other sources of revenue</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513,806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6,379</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4,043</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524,228</w:t>
            </w:r>
          </w:p>
        </w:tc>
      </w:tr>
      <w:tr>
        <w:trPr>
          <w:trHeight w:val="212"/>
        </w:trPr>
        <w:tc>
          <w:tcPr>
            <w:tcW w:w="40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75"/>
        </w:trPr>
        <w:tc>
          <w:tcPr>
            <w:tcW w:w="4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521,008</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117,788</w:t>
            </w:r>
          </w:p>
        </w:tc>
        <w:tc>
          <w:tcPr>
            <w:tcW w:w="8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4,043</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642,839</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Timing of revenue recognition: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Services transferred at a point in time</w:t>
            </w:r>
          </w:p>
        </w:tc>
        <w:tc>
          <w:tcPr>
            <w:tcW w:w="18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521,008</w:t>
            </w:r>
          </w:p>
        </w:tc>
        <w:tc>
          <w:tcPr>
            <w:tcW w:w="100" w:type="dxa"/>
            <w:vAlign w:val="bottom"/>
          </w:tcPr>
          <w:p>
            <w:pPr>
              <w:spacing w:after="0"/>
              <w:rPr>
                <w:sz w:val="13"/>
                <w:szCs w:val="13"/>
                <w:color w:val="auto"/>
              </w:rPr>
            </w:pP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100,137</w:t>
            </w:r>
          </w:p>
        </w:tc>
        <w:tc>
          <w:tcPr>
            <w:tcW w:w="80" w:type="dxa"/>
            <w:vAlign w:val="bottom"/>
          </w:tcPr>
          <w:p>
            <w:pPr>
              <w:spacing w:after="0"/>
              <w:rPr>
                <w:sz w:val="13"/>
                <w:szCs w:val="13"/>
                <w:color w:val="auto"/>
              </w:rPr>
            </w:pPr>
          </w:p>
        </w:tc>
        <w:tc>
          <w:tcPr>
            <w:tcW w:w="102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4,043</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625,188</w:t>
            </w:r>
          </w:p>
        </w:tc>
      </w:tr>
      <w:tr>
        <w:trPr>
          <w:trHeight w:val="159"/>
        </w:trPr>
        <w:tc>
          <w:tcPr>
            <w:tcW w:w="41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Services transferred over time</w:t>
            </w:r>
          </w:p>
        </w:tc>
        <w:tc>
          <w:tcPr>
            <w:tcW w:w="1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17,651</w:t>
            </w:r>
          </w:p>
        </w:tc>
        <w:tc>
          <w:tcPr>
            <w:tcW w:w="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17,651</w:t>
            </w:r>
          </w:p>
        </w:tc>
      </w:tr>
      <w:tr>
        <w:trPr>
          <w:trHeight w:val="156"/>
        </w:trPr>
        <w:tc>
          <w:tcPr>
            <w:tcW w:w="41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521,008</w:t>
            </w:r>
          </w:p>
        </w:tc>
        <w:tc>
          <w:tcPr>
            <w:tcW w:w="10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117,788</w:t>
            </w:r>
          </w:p>
        </w:tc>
        <w:tc>
          <w:tcPr>
            <w:tcW w:w="80" w:type="dxa"/>
            <w:vAlign w:val="bottom"/>
          </w:tcPr>
          <w:p>
            <w:pPr>
              <w:spacing w:after="0"/>
              <w:rPr>
                <w:sz w:val="13"/>
                <w:szCs w:val="13"/>
                <w:color w:val="auto"/>
              </w:rPr>
            </w:pPr>
          </w:p>
        </w:tc>
        <w:tc>
          <w:tcPr>
            <w:tcW w:w="1020" w:type="dxa"/>
            <w:vAlign w:val="bottom"/>
            <w:tcBorders>
              <w:top w:val="single" w:sz="8" w:color="auto"/>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4,043</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642,839</w:t>
            </w: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730" w:right="439" w:bottom="1440" w:gutter="0" w:footer="0" w:header="0"/>
        </w:sectPr>
      </w:pPr>
    </w:p>
    <w:bookmarkStart w:id="30" w:name="page31"/>
    <w:bookmarkEnd w:id="30"/>
    <w:tbl>
      <w:tblPr>
        <w:tblLayout w:type="fixed"/>
        <w:tblInd w:w="520" w:type="dxa"/>
        <w:tblCellMar>
          <w:top w:w="0" w:type="dxa"/>
          <w:left w:w="0" w:type="dxa"/>
          <w:bottom w:w="0" w:type="dxa"/>
          <w:right w:w="0" w:type="dxa"/>
        </w:tblCellMar>
      </w:tblPr>
      <w:tr>
        <w:trPr>
          <w:trHeight w:val="158"/>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4"/>
        </w:trPr>
        <w:tc>
          <w:tcPr>
            <w:tcW w:w="41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60" w:type="dxa"/>
            <w:vAlign w:val="bottom"/>
          </w:tcPr>
          <w:p>
            <w:pPr>
              <w:spacing w:after="0"/>
              <w:rPr>
                <w:sz w:val="13"/>
                <w:szCs w:val="13"/>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4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 from contracts with customers:</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r>
      <w:tr>
        <w:trPr>
          <w:trHeight w:val="153"/>
        </w:trPr>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Commissions, net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9,701</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77,257</w:t>
            </w:r>
          </w:p>
        </w:tc>
        <w:tc>
          <w:tcPr>
            <w:tcW w:w="100" w:type="dxa"/>
            <w:vAlign w:val="bottom"/>
          </w:tcPr>
          <w:p>
            <w:pPr>
              <w:spacing w:after="0"/>
              <w:rPr>
                <w:sz w:val="13"/>
                <w:szCs w:val="13"/>
                <w:color w:val="auto"/>
              </w:rPr>
            </w:pP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86,958</w:t>
            </w:r>
          </w:p>
        </w:tc>
      </w:tr>
      <w:tr>
        <w:trPr>
          <w:trHeight w:val="165"/>
        </w:trPr>
        <w:tc>
          <w:tcPr>
            <w:tcW w:w="4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Workflow technology</w:t>
            </w:r>
          </w:p>
        </w:tc>
        <w:tc>
          <w:tcPr>
            <w:tcW w:w="1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24,957</w:t>
            </w: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24,957</w:t>
            </w:r>
          </w:p>
        </w:tc>
      </w:tr>
      <w:tr>
        <w:trPr>
          <w:trHeight w:val="153"/>
        </w:trPr>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Analytics</w:t>
            </w:r>
          </w:p>
        </w:tc>
        <w:tc>
          <w:tcPr>
            <w:tcW w:w="180" w:type="dxa"/>
            <w:vAlign w:val="bottom"/>
          </w:tcPr>
          <w:p>
            <w:pPr>
              <w:spacing w:after="0"/>
              <w:rPr>
                <w:sz w:val="13"/>
                <w:szCs w:val="13"/>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9,529</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9,529</w:t>
            </w:r>
          </w:p>
        </w:tc>
      </w:tr>
      <w:tr>
        <w:trPr>
          <w:trHeight w:val="156"/>
        </w:trPr>
        <w:tc>
          <w:tcPr>
            <w:tcW w:w="4160" w:type="dxa"/>
            <w:vAlign w:val="bottom"/>
            <w:tcBorders>
              <w:top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 from contracts with customers</w:t>
            </w:r>
          </w:p>
        </w:tc>
        <w:tc>
          <w:tcPr>
            <w:tcW w:w="18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9,701</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111,743</w:t>
            </w: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121,444</w:t>
            </w:r>
          </w:p>
        </w:tc>
      </w:tr>
      <w:tr>
        <w:trPr>
          <w:trHeight w:val="212"/>
        </w:trPr>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159"/>
        </w:trPr>
        <w:tc>
          <w:tcPr>
            <w:tcW w:w="41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Other sources of revenue</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489,220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6,735</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498,936</w:t>
            </w:r>
          </w:p>
        </w:tc>
      </w:tr>
      <w:tr>
        <w:trPr>
          <w:trHeight w:val="212"/>
        </w:trPr>
        <w:tc>
          <w:tcPr>
            <w:tcW w:w="40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175"/>
        </w:trPr>
        <w:tc>
          <w:tcPr>
            <w:tcW w:w="41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498,921</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118,478</w:t>
            </w:r>
          </w:p>
        </w:tc>
        <w:tc>
          <w:tcPr>
            <w:tcW w:w="1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620,380</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5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Timing of revenue recognition:</w:t>
            </w:r>
          </w:p>
        </w:tc>
        <w:tc>
          <w:tcPr>
            <w:tcW w:w="18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153"/>
        </w:trPr>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Services transferred at a point in time</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498,921</w:t>
            </w:r>
          </w:p>
        </w:tc>
        <w:tc>
          <w:tcPr>
            <w:tcW w:w="8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100,480</w:t>
            </w:r>
          </w:p>
        </w:tc>
        <w:tc>
          <w:tcPr>
            <w:tcW w:w="100" w:type="dxa"/>
            <w:vAlign w:val="bottom"/>
          </w:tcPr>
          <w:p>
            <w:pPr>
              <w:spacing w:after="0"/>
              <w:rPr>
                <w:sz w:val="13"/>
                <w:szCs w:val="13"/>
                <w:color w:val="auto"/>
              </w:rPr>
            </w:pPr>
          </w:p>
        </w:tc>
        <w:tc>
          <w:tcPr>
            <w:tcW w:w="1000" w:type="dxa"/>
            <w:vAlign w:val="bottom"/>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602,382</w:t>
            </w:r>
          </w:p>
        </w:tc>
      </w:tr>
      <w:tr>
        <w:trPr>
          <w:trHeight w:val="159"/>
        </w:trPr>
        <w:tc>
          <w:tcPr>
            <w:tcW w:w="41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Services transferred over time</w:t>
            </w:r>
          </w:p>
        </w:tc>
        <w:tc>
          <w:tcPr>
            <w:tcW w:w="1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17,998</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20" w:type="dxa"/>
            <w:vAlign w:val="bottom"/>
            <w:shd w:val="clear" w:color="auto" w:fill="CCEEFF"/>
          </w:tcPr>
          <w:p>
            <w:pPr>
              <w:spacing w:after="0"/>
              <w:rPr>
                <w:sz w:val="13"/>
                <w:szCs w:val="13"/>
                <w:color w:val="auto"/>
              </w:rPr>
            </w:pP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17,998</w:t>
            </w:r>
          </w:p>
        </w:tc>
      </w:tr>
      <w:tr>
        <w:trPr>
          <w:trHeight w:val="156"/>
        </w:trPr>
        <w:tc>
          <w:tcPr>
            <w:tcW w:w="416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Total revenues</w:t>
            </w: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498,921</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12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118,478</w:t>
            </w:r>
          </w:p>
        </w:tc>
        <w:tc>
          <w:tcPr>
            <w:tcW w:w="100" w:type="dxa"/>
            <w:vAlign w:val="bottom"/>
          </w:tcPr>
          <w:p>
            <w:pPr>
              <w:spacing w:after="0"/>
              <w:rPr>
                <w:sz w:val="13"/>
                <w:szCs w:val="13"/>
                <w:color w:val="auto"/>
              </w:rPr>
            </w:pPr>
          </w:p>
        </w:tc>
        <w:tc>
          <w:tcPr>
            <w:tcW w:w="1000" w:type="dxa"/>
            <w:vAlign w:val="bottom"/>
            <w:tcBorders>
              <w:top w:val="single" w:sz="8" w:color="auto"/>
              <w:bottom w:val="single" w:sz="8" w:color="auto"/>
            </w:tcBorders>
          </w:tcPr>
          <w:p>
            <w:pPr>
              <w:jc w:val="right"/>
              <w:ind w:right="883"/>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620,380</w:t>
            </w: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Remaining Performance Obligations and Revenue Recognized from Past Performance Obligations</w:t>
      </w:r>
    </w:p>
    <w:p>
      <w:pPr>
        <w:spacing w:after="0" w:line="202" w:lineRule="exact"/>
        <w:rPr>
          <w:sz w:val="20"/>
          <w:szCs w:val="20"/>
          <w:color w:val="auto"/>
        </w:rPr>
      </w:pPr>
    </w:p>
    <w:p>
      <w:pPr>
        <w:ind w:right="380" w:firstLine="509"/>
        <w:spacing w:after="0" w:line="287" w:lineRule="auto"/>
        <w:rPr>
          <w:sz w:val="20"/>
          <w:szCs w:val="20"/>
          <w:color w:val="auto"/>
        </w:rPr>
      </w:pPr>
      <w:r>
        <w:rPr>
          <w:rFonts w:ascii="Times New Roman" w:cs="Times New Roman" w:eastAsia="Times New Roman" w:hAnsi="Times New Roman"/>
          <w:sz w:val="14"/>
          <w:szCs w:val="14"/>
          <w:color w:val="auto"/>
        </w:rPr>
        <w:t>As of March 31, 2024 and 2023, the aggregate amount of the transaction price allocated to the performance obligations relating to workflow technology and analytics revenues that are unsatisfied (or partially unsatisfied) was not material.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Contract Assets and Contract Liabilities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timing of the revenue recognition may differ from the timing of payment from customers. The Company records a receivable when revenue is recognized prior to payment, and when the Company has an unconditional right to payment. The Company records a contract liability when payment is received prior to the time at which the satisfaction of the service obligation occurs.</w:t>
      </w:r>
    </w:p>
    <w:p>
      <w:pPr>
        <w:spacing w:after="0" w:line="145"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Receivables related to revenues from contracts with customers amounted to $57.6 million and $56.4 million as of March 31, 2024 and December 31, 2023, respectively. The Company did not identify any contract assets. There were no impairment losses on receivables as of March 31, 2024.</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Deferred revenue primarily relates to deferred commissions allocated to analytics products and subscription fees billed in advance of satisfying the performance obligations. Deferred revenue related to contracts with customers was $9.5 million and $8.4 million as of March 31, 2024 and December 31, 2023, respectively. The Company recognized the full amount of revenue during the three months ended March 31, 2024 and 2023, that had been recorded as deferred revenue in the respective prior year.</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not identified any costs to obtain or fulfill its contracts under ASC 606.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94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color w:val="auto"/>
        </w:rPr>
        <w:t>13. Income Taxes</w:t>
      </w:r>
    </w:p>
    <w:p>
      <w:pPr>
        <w:spacing w:after="0" w:line="19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14"/>
          <w:szCs w:val="14"/>
          <w:color w:val="auto"/>
        </w:rPr>
        <w:t>The Company is subject to U.S. federal, state and local income tax at the rate applicable to corporations less the rate attributable to the noncontrolling interest in Virtu Financial. These noncontrolling interests are subject to U.S. taxation as partnerships. Accordingly, for the three months ended March 31, 2024 and 2023, the income attributable to these noncontrolling interests was reported in the Condensed Consolidated Statements of Comprehensive Income, but the related U.S. income tax expense attributable to these noncontrolling interests was not reported by the Company as it is the obligation of the individual partners. The Company’s non-U.S. subsidiaries are subject to foreign income taxes in the jurisdictions in which they operate. The Company’s provisions for income taxes and effective tax rates were $28.5 million, and 20.4%, and $24.7 million, and 18.3% for the three months ended March 31, 2024 and 2023, respectively. Income tax expense is also affected by the differing effective tax rates in foreign, state and local jurisdictions where certain of the Company’s subsidiaries are subject to corporate taxation.</w:t>
      </w:r>
    </w:p>
    <w:p>
      <w:pPr>
        <w:spacing w:after="0" w:line="17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Included in Other assets on the Condensed Consolidated Statements of Financial Condition at March 31, 2024 and December 31, 2023 are current income tax receivables of $54.7 million and $44.3 million, respectively. The balances at March 31, 2024 and December 31, 2023 primarily comprised income tax benefits due to the Company from federal, state, local, and foreign tax jurisdictions based on income before taxes. Included in Accounts payable, accrued expenses and other liabilities on the Condensed Consolidated Statements of Financial Condition at March 31, 2024 and December 31, 2023 are current tax liabilities of $10.6 million and $6.8 million, respectively. The balances at March 31, 2024 and December 31, 2023 primarily comprise income taxes owed to federal, state and local, and foreign tax jurisdictions based on income before taxes.</w:t>
      </w:r>
    </w:p>
    <w:p>
      <w:pPr>
        <w:spacing w:after="0" w:line="164"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Deferred income taxes arise primarily due to the amortization of the deferred tax assets recognized in connection with the IPO (see Note 4 “Tax Receivable Agreements”), the Acquisition of KCG, and the ITG Acquisition, differences in the valuation of financial assets and liabilities, and other temporary differences arising from the deductibility of compensation, depreciation, and other expenses in different time periods for book and income tax return purposes.</w:t>
      </w:r>
    </w:p>
    <w:p>
      <w:pPr>
        <w:spacing w:after="0" w:line="157"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There are no expiration dates on the deferred tax assets.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At March 31, 2024 and December 31, 2023, the Company did not have any U.S. federal, state or local net operating loss carryforwards and therefore the Company did not record a deferred tax asset related to any federal net operating loss carryforwards.</w:t>
      </w:r>
    </w:p>
    <w:p>
      <w:pPr>
        <w:spacing w:after="0" w:line="154" w:lineRule="exact"/>
        <w:rPr>
          <w:sz w:val="20"/>
          <w:szCs w:val="20"/>
          <w:color w:val="auto"/>
        </w:rPr>
      </w:pPr>
    </w:p>
    <w:p>
      <w:pPr>
        <w:ind w:right="40" w:firstLine="509"/>
        <w:spacing w:after="0" w:line="243" w:lineRule="auto"/>
        <w:rPr>
          <w:sz w:val="20"/>
          <w:szCs w:val="20"/>
          <w:color w:val="auto"/>
        </w:rPr>
      </w:pPr>
      <w:r>
        <w:rPr>
          <w:rFonts w:ascii="Times New Roman" w:cs="Times New Roman" w:eastAsia="Times New Roman" w:hAnsi="Times New Roman"/>
          <w:sz w:val="14"/>
          <w:szCs w:val="14"/>
          <w:color w:val="auto"/>
        </w:rPr>
        <w:t>As a result of the acquisitions of ITG and KCG, the Company has non-U.S. net operating losses at March 31, 2024 and December 31, 2023, of $303.4 million and $304.5 million, respectively, and has recorded related deferred tax assets of $56.9 million and $57.1 million, respectively. A full valuation allowance was recorded against these deferred tax assets at March 31, 2024 and December 31, 2023 as it is more likely than not that these deferred tax assets will not be realized. No valuation allowance against the remaining deferred taxes was recorded as of March 31, 2024 and December 31, 2023 because it is more likely than not that these deferred tax assets will be fully realized.</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The Company is subject to taxation in U.S. federal, state, local and foreign jurisdictions. As of March 31, 2024, the Company’s tax years for 2015 through 2022 and 2016 through 2022 were subject to examination by U.S. and non-U.S. tax authorities, respectively. As a result of the ITG Acquisition and the Acquisition of KCG, the Company assumed any ITG and KCG tax exposures. In addition, the Company is subject to state and local income tax examinations in various jurisdictions for the tax years 2013 through 2022. The final outcome of these examinations is not yet determinable. However, the Company anticipates that adjustments related to these examinations, if any, will not result in a material change to its financial condition, results of operations and cash flows.</w:t>
      </w:r>
    </w:p>
    <w:p>
      <w:pPr>
        <w:spacing w:after="0" w:line="164"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The Company’s policy for recording interest and penalties associated with audits is to record such items as a component of income or loss before income taxes and noncontrolling interest. Penalties, if any, are recorded in Operations and administrative expense and interest received or paid is recorded in Other, net or Operations and administrative expense in the Condensed Consolidated Statements of Comprehensive Income, respectively.</w:t>
      </w:r>
    </w:p>
    <w:p>
      <w:pPr>
        <w:spacing w:after="0" w:line="157" w:lineRule="exact"/>
        <w:rPr>
          <w:sz w:val="20"/>
          <w:szCs w:val="20"/>
          <w:color w:val="auto"/>
        </w:rPr>
      </w:pPr>
    </w:p>
    <w:p>
      <w:pPr>
        <w:ind w:right="200" w:firstLine="509"/>
        <w:spacing w:after="0" w:line="287" w:lineRule="auto"/>
        <w:rPr>
          <w:sz w:val="20"/>
          <w:szCs w:val="20"/>
          <w:color w:val="auto"/>
        </w:rPr>
      </w:pPr>
      <w:r>
        <w:rPr>
          <w:rFonts w:ascii="Times New Roman" w:cs="Times New Roman" w:eastAsia="Times New Roman" w:hAnsi="Times New Roman"/>
          <w:sz w:val="14"/>
          <w:szCs w:val="14"/>
          <w:color w:val="auto"/>
        </w:rPr>
        <w:t>The Company had $7.6 million of unrecognized tax benefits as of March 31, 2024, all of which would affect the Company’s effective tax rate if recognized. The Company has determined that there are no uncertain tax positions that would have a material impact on the Company’s financial position as of March 31, 2024.</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color w:val="auto"/>
        </w:rPr>
        <w:t>14. Commitments, Contingencies and Guarantees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and Regulatory Proceedings</w:t>
      </w:r>
    </w:p>
    <w:p>
      <w:pPr>
        <w:spacing w:after="0" w:line="191"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In the ordinary course of business, the nature of the Company’s business subjects it to claims, lawsuits, regulatory examinations or investigations and other proceedings, any of which could result in the imposition of fines, penalties or other sanctions against the Company. The Company and its subsidiaries are subject to several of these matters at the present time. As previously disclosed, the U.S. Securities and Exchange Commission undertook an investigation of aspects of the Company’s internal information access barriers. The Company cooperated with this civil investigation and engaged in settlement discussions but has been unable to reach a settlement. In September 2023, the SEC filed an action against the Company alleging violations of federal securities laws with respect to the Company’s information barriers policies and procedures for a specified time period in and around January 2018 to April 2019 and related statements made by the Company</w:t>
      </w:r>
    </w:p>
    <w:p>
      <w:pPr>
        <w:spacing w:after="0" w:line="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4"/>
          <w:szCs w:val="14"/>
          <w:color w:val="auto"/>
        </w:rPr>
        <w:t>during such period. The Company believes it has meritorious defenses and is defending itself vigorously. Specifically, the Company is asserting, among other defenses, that it maintained reasonable policies, procedures and controls to protect data during the period consistent with applicable law, that related statements made to clients and investors were true and accurate, and that the statute of limitations has expired with respect to certain claims.</w:t>
      </w:r>
    </w:p>
    <w:p>
      <w:pPr>
        <w:spacing w:after="0" w:line="161" w:lineRule="exact"/>
        <w:rPr>
          <w:sz w:val="20"/>
          <w:szCs w:val="20"/>
          <w:color w:val="auto"/>
        </w:rPr>
      </w:pPr>
    </w:p>
    <w:p>
      <w:pPr>
        <w:ind w:right="20" w:firstLine="509"/>
        <w:spacing w:after="0" w:line="243" w:lineRule="auto"/>
        <w:rPr>
          <w:sz w:val="20"/>
          <w:szCs w:val="20"/>
          <w:color w:val="auto"/>
        </w:rPr>
      </w:pPr>
      <w:r>
        <w:rPr>
          <w:rFonts w:ascii="Times New Roman" w:cs="Times New Roman" w:eastAsia="Times New Roman" w:hAnsi="Times New Roman"/>
          <w:sz w:val="14"/>
          <w:szCs w:val="14"/>
          <w:color w:val="auto"/>
        </w:rPr>
        <w:t xml:space="preserve">In matters related to the SEC investigation noted above, the Company and certain of its current and former executive officers were named as defendants on May 19, 2023 in </w:t>
      </w:r>
      <w:r>
        <w:rPr>
          <w:rFonts w:ascii="Times New Roman" w:cs="Times New Roman" w:eastAsia="Times New Roman" w:hAnsi="Times New Roman"/>
          <w:sz w:val="14"/>
          <w:szCs w:val="14"/>
          <w:i w:val="1"/>
          <w:iCs w:val="1"/>
          <w:color w:val="auto"/>
        </w:rPr>
        <w:t>Hiebert v. Virtu</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Financial, Inc., </w:t>
      </w:r>
      <w:r>
        <w:rPr>
          <w:rFonts w:ascii="Times New Roman" w:cs="Times New Roman" w:eastAsia="Times New Roman" w:hAnsi="Times New Roman"/>
          <w:sz w:val="14"/>
          <w:szCs w:val="14"/>
          <w:color w:val="auto"/>
        </w:rPr>
        <w:t>No. 23-cv-03770 and on October 31, 2023 in</w:t>
      </w:r>
      <w:r>
        <w:rPr>
          <w:rFonts w:ascii="Times New Roman" w:cs="Times New Roman" w:eastAsia="Times New Roman" w:hAnsi="Times New Roman"/>
          <w:sz w:val="14"/>
          <w:szCs w:val="14"/>
          <w:i w:val="1"/>
          <w:iCs w:val="1"/>
          <w:color w:val="auto"/>
        </w:rPr>
        <w:t xml:space="preserve"> City of Birmingham Retirement and Relief System v. Virtu Financial, Inc., </w:t>
      </w:r>
      <w:r>
        <w:rPr>
          <w:rFonts w:ascii="Times New Roman" w:cs="Times New Roman" w:eastAsia="Times New Roman" w:hAnsi="Times New Roman"/>
          <w:sz w:val="14"/>
          <w:szCs w:val="14"/>
          <w:color w:val="auto"/>
        </w:rPr>
        <w:t>No. 23-cv-08123. The complaints were each filed by purported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stockholders in the Eastern District of New York on behalf of a putative class and assert that the Company made materially false and misleading statements and omissions in its public filings in violation of federal securities laws. The complaints were subsequently consolidated and recaptioned in </w:t>
      </w:r>
      <w:r>
        <w:rPr>
          <w:rFonts w:ascii="Times New Roman" w:cs="Times New Roman" w:eastAsia="Times New Roman" w:hAnsi="Times New Roman"/>
          <w:sz w:val="14"/>
          <w:szCs w:val="14"/>
          <w:i w:val="1"/>
          <w:iCs w:val="1"/>
          <w:color w:val="auto"/>
        </w:rPr>
        <w:t>re Virtu Financial, Inc. Securities Litigation</w:t>
      </w:r>
      <w:r>
        <w:rPr>
          <w:rFonts w:ascii="Times New Roman" w:cs="Times New Roman" w:eastAsia="Times New Roman" w:hAnsi="Times New Roman"/>
          <w:sz w:val="14"/>
          <w:szCs w:val="14"/>
          <w:color w:val="auto"/>
        </w:rPr>
        <w:t>, No. 23-cv-03770. The Company also has received requests for information related to the SEC investigation pursuant to Section 220 of the Delaware General Corporation Law from counsel for purported stockholders. The Company believes it has meritorious defenses against pending or contemplated claims that its public disclosures were inadequate or misleading. The Company maintains that such disclosures were true and accurate and compliant with applicable law and will defend itself vigorously.</w:t>
      </w:r>
    </w:p>
    <w:p>
      <w:pPr>
        <w:spacing w:after="0" w:line="164" w:lineRule="exact"/>
        <w:rPr>
          <w:sz w:val="20"/>
          <w:szCs w:val="20"/>
          <w:color w:val="auto"/>
        </w:rPr>
      </w:pPr>
    </w:p>
    <w:p>
      <w:pPr>
        <w:ind w:right="40" w:firstLine="509"/>
        <w:spacing w:after="0" w:line="246" w:lineRule="auto"/>
        <w:rPr>
          <w:sz w:val="20"/>
          <w:szCs w:val="20"/>
          <w:color w:val="auto"/>
        </w:rPr>
      </w:pPr>
      <w:r>
        <w:rPr>
          <w:rFonts w:ascii="Times New Roman" w:cs="Times New Roman" w:eastAsia="Times New Roman" w:hAnsi="Times New Roman"/>
          <w:sz w:val="14"/>
          <w:szCs w:val="14"/>
          <w:color w:val="auto"/>
        </w:rPr>
        <w:t xml:space="preserve">On November 30, 2020, the Company was named as a defendant in </w:t>
      </w:r>
      <w:r>
        <w:rPr>
          <w:rFonts w:ascii="Times New Roman" w:cs="Times New Roman" w:eastAsia="Times New Roman" w:hAnsi="Times New Roman"/>
          <w:sz w:val="14"/>
          <w:szCs w:val="14"/>
          <w:i w:val="1"/>
          <w:iCs w:val="1"/>
          <w:color w:val="auto"/>
        </w:rPr>
        <w:t>In re United States Oil Fund, LP Securities Litigation</w:t>
      </w:r>
      <w:r>
        <w:rPr>
          <w:rFonts w:ascii="Times New Roman" w:cs="Times New Roman" w:eastAsia="Times New Roman" w:hAnsi="Times New Roman"/>
          <w:sz w:val="14"/>
          <w:szCs w:val="14"/>
          <w:color w:val="auto"/>
        </w:rPr>
        <w:t>, No. 20-cv-4740. The consolidated amended complaint was filed in federal district court in New York on behalf of a putative class, and asserts claims against the Company and numerous other financial institutions under Section 11 of the Securities Act of 1933 in connection with trading in United States Oil Fund, LP, a crude oil ETF. The complaint also names the ETF, its sponsor, and related individuals as defendants. The complaint did not specify the amount of alleged damages. Defendants moved to dismiss the consolidated amended complaint on January 29, 2021; the motion is fully briefed and pending before the court. The Company believes that the claims are without merit and is defending itself vigorously.</w:t>
      </w:r>
    </w:p>
    <w:p>
      <w:pPr>
        <w:spacing w:after="0" w:line="151" w:lineRule="exact"/>
        <w:rPr>
          <w:sz w:val="20"/>
          <w:szCs w:val="20"/>
          <w:color w:val="auto"/>
        </w:rPr>
      </w:pPr>
    </w:p>
    <w:p>
      <w:pPr>
        <w:ind w:right="60" w:firstLine="509"/>
        <w:spacing w:after="0" w:line="244" w:lineRule="auto"/>
        <w:rPr>
          <w:sz w:val="20"/>
          <w:szCs w:val="20"/>
          <w:color w:val="auto"/>
        </w:rPr>
      </w:pPr>
      <w:r>
        <w:rPr>
          <w:rFonts w:ascii="Times New Roman" w:cs="Times New Roman" w:eastAsia="Times New Roman" w:hAnsi="Times New Roman"/>
          <w:sz w:val="14"/>
          <w:szCs w:val="14"/>
          <w:color w:val="auto"/>
        </w:rPr>
        <w:t xml:space="preserve">On March 7, 2022, the Company was named as a defendant in </w:t>
      </w:r>
      <w:r>
        <w:rPr>
          <w:rFonts w:ascii="Times New Roman" w:cs="Times New Roman" w:eastAsia="Times New Roman" w:hAnsi="Times New Roman"/>
          <w:sz w:val="14"/>
          <w:szCs w:val="14"/>
          <w:i w:val="1"/>
          <w:iCs w:val="1"/>
          <w:color w:val="auto"/>
        </w:rPr>
        <w:t>Iron Workers Local No. 55 Pension Fund v. Virtu Financial, Inc.</w:t>
      </w:r>
      <w:r>
        <w:rPr>
          <w:rFonts w:ascii="Times New Roman" w:cs="Times New Roman" w:eastAsia="Times New Roman" w:hAnsi="Times New Roman"/>
          <w:sz w:val="14"/>
          <w:szCs w:val="14"/>
          <w:color w:val="auto"/>
        </w:rPr>
        <w:t>, No. 2022-0211-PAF pending in the Court of Chancery of the State of Delaware. The complaint, filed by a purported stockholder, seeks to compel the inspection of certain Company books and records pursuant to Section 220 of the Delaware General Corporation Law. The complaint alleges that the stockholder seeks Company information to investigate (a) whether wrongdoing or mismanagement occurred in connection with distributions made to the partners of Virtu Financial pursuant to the Company’s Up-C corporate structure; (b) the independence and disinterestedness of the Company’s directors and/or officers and whether the directors breached their fiduciary duties; and (c) potential damages relating thereto. The Company has made substantial productions of documents and other information in response to plaintiff's requests. Though no substantive claim has been brought, the Company believes that any potential allegations of wrongdoing are without merit and is defending itself vigorously.</w:t>
      </w:r>
    </w:p>
    <w:p>
      <w:pPr>
        <w:spacing w:after="0" w:line="174"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4"/>
          <w:szCs w:val="14"/>
          <w:color w:val="auto"/>
        </w:rPr>
        <w:t xml:space="preserve">On October 17, 2022, the Company’s subsidiary, along with several other parties, was named as a defendant in </w:t>
      </w:r>
      <w:r>
        <w:rPr>
          <w:rFonts w:ascii="Times New Roman" w:cs="Times New Roman" w:eastAsia="Times New Roman" w:hAnsi="Times New Roman"/>
          <w:sz w:val="14"/>
          <w:szCs w:val="14"/>
          <w:i w:val="1"/>
          <w:iCs w:val="1"/>
          <w:color w:val="auto"/>
        </w:rPr>
        <w:t>Mallinckrodt PLC, et al. (Reorganized Debtors); Opioid Master Disbursement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Trust II v. Argos Capital Appreciation Master Fund LP et al </w:t>
      </w:r>
      <w:r>
        <w:rPr>
          <w:rFonts w:ascii="Times New Roman" w:cs="Times New Roman" w:eastAsia="Times New Roman" w:hAnsi="Times New Roman"/>
          <w:sz w:val="14"/>
          <w:szCs w:val="14"/>
          <w:color w:val="auto"/>
        </w:rPr>
        <w:t>No. 20-12522. The complaint alleges that Mallinckrodt PLC engaged in a share repurchase program from 2015 through 2018 pursuant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which it repurchased its own shares in various open market transactions, a period during which it was allegedly insolvent. The plaintiff is seeking to unwind the transactions consummated under the program, alleging such transactions constituted fraudulent transfers by the debtor. The Company believes it has meritorious defenses against any unwinding of transactions, which it has asserted, and will continue to defend itself vigorously.</w:t>
      </w:r>
    </w:p>
    <w:p>
      <w:pPr>
        <w:spacing w:after="0" w:line="150" w:lineRule="exact"/>
        <w:rPr>
          <w:sz w:val="20"/>
          <w:szCs w:val="20"/>
          <w:color w:val="auto"/>
        </w:rPr>
      </w:pPr>
    </w:p>
    <w:p>
      <w:pPr>
        <w:ind w:right="160" w:firstLine="509"/>
        <w:spacing w:after="0" w:line="246" w:lineRule="auto"/>
        <w:rPr>
          <w:sz w:val="20"/>
          <w:szCs w:val="20"/>
          <w:color w:val="auto"/>
        </w:rPr>
      </w:pPr>
      <w:r>
        <w:rPr>
          <w:rFonts w:ascii="Times New Roman" w:cs="Times New Roman" w:eastAsia="Times New Roman" w:hAnsi="Times New Roman"/>
          <w:sz w:val="14"/>
          <w:szCs w:val="14"/>
          <w:color w:val="auto"/>
        </w:rPr>
        <w:t>On December 1, 2022, the Company’s subsidiary, along with several other parties, was named as a defendant in N</w:t>
      </w:r>
      <w:r>
        <w:rPr>
          <w:rFonts w:ascii="Times New Roman" w:cs="Times New Roman" w:eastAsia="Times New Roman" w:hAnsi="Times New Roman"/>
          <w:sz w:val="14"/>
          <w:szCs w:val="14"/>
          <w:i w:val="1"/>
          <w:iCs w:val="1"/>
          <w:color w:val="auto"/>
        </w:rPr>
        <w:t>orthwest Biotherapeutics, Inc. v. Canaccord Genuity LLC, et al</w:t>
      </w:r>
      <w:r>
        <w:rPr>
          <w:rFonts w:ascii="Times New Roman" w:cs="Times New Roman" w:eastAsia="Times New Roman" w:hAnsi="Times New Roman"/>
          <w:sz w:val="14"/>
          <w:szCs w:val="14"/>
          <w:color w:val="auto"/>
        </w:rPr>
        <w:t xml:space="preserve"> No. 1:22-cv-10185. The initial complaint alleged that defendants engaged in market manipulation in the plaintiff’s stock during a period from 2018 to 2022. A first amended complaint was filed on April 10, 2023, bringing substantially the same allegations as the initial complaint. The first amended complaint was dismissed with leave to amend on February 14, 2024. Plaintiff filed a second amended complaint on March 18, 2024. Neither the operative complaint nor prior iterations specify the amount of alleged damages. The Company believes that the claims are without merit and is defending itself vigorously.</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33" w:name="page34"/>
    <w:bookmarkEnd w:id="33"/>
    <w:p>
      <w:pPr>
        <w:ind w:firstLine="509"/>
        <w:spacing w:after="0"/>
        <w:rPr>
          <w:sz w:val="20"/>
          <w:szCs w:val="20"/>
          <w:color w:val="auto"/>
        </w:rPr>
      </w:pPr>
      <w:r>
        <w:rPr>
          <w:rFonts w:ascii="Times New Roman" w:cs="Times New Roman" w:eastAsia="Times New Roman" w:hAnsi="Times New Roman"/>
          <w:sz w:val="14"/>
          <w:szCs w:val="14"/>
          <w:color w:val="auto"/>
        </w:rPr>
        <w:t>Given the inherent difficulty of predicting the outcome of litigation and regulatory matters, particularly in regulatory examinations or investigations or other proceedings in which substantial or indeterminate judgments, settlements, disgorgements, restitution, penalties, injunctions, damages or fines are sought, or where such matters are in the early stages, the Company cannot estimate losses or ranges of losses for such matters where there is only a reasonable possibility that a loss may be incurred, and utilizes its judgment in accordance with applicable accounting standards in booking any associated estimated liability. It is not presently possible to determine the ultimate exposure to these matters and it is possible that the resolution of the outstanding matters will significantly exceed any estimated liabilities accrued by the Company. In addition, there are numerous factors that result in a greater degree of complexity in class-action lawsuits as compared to other types of litigation. There can be no assurance that these various legal proceedings will not significantly exceed any estimated liability accrued by the Company or have a material adverse effect on the Company’s results of operations in any future period, and a material judgment, fine or sanction could have a material adverse impact on the Company’s financial condition, results of operations and cash flows. However, it is the opinion of management, after consultation with legal counsel that, based on information currently available, the ultimate outcome of these matters will not have a material adverse impact on the business, financial condition or operating results of the Company, although they might be material to the operating results for any particular reporting period. The Company carries directors’ and officers’ liability insurance coverage and other insurance coverage for potential claims, including securities actions, against the Company and its respective directors and officers.</w:t>
      </w: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Legal and Regulatory Matters</w:t>
      </w:r>
    </w:p>
    <w:p>
      <w:pPr>
        <w:spacing w:after="0" w:line="191" w:lineRule="exact"/>
        <w:rPr>
          <w:sz w:val="20"/>
          <w:szCs w:val="20"/>
          <w:color w:val="auto"/>
        </w:rPr>
      </w:pPr>
    </w:p>
    <w:p>
      <w:pPr>
        <w:ind w:firstLine="509"/>
        <w:spacing w:after="0" w:line="237" w:lineRule="auto"/>
        <w:rPr>
          <w:sz w:val="20"/>
          <w:szCs w:val="20"/>
          <w:color w:val="auto"/>
        </w:rPr>
      </w:pPr>
      <w:r>
        <w:rPr>
          <w:rFonts w:ascii="Times New Roman" w:cs="Times New Roman" w:eastAsia="Times New Roman" w:hAnsi="Times New Roman"/>
          <w:sz w:val="14"/>
          <w:szCs w:val="14"/>
          <w:color w:val="auto"/>
        </w:rPr>
        <w:t>The Company owns subsidiaries including regulated entities that are subject to extensive oversight under federal, state and applicable international laws as well as self-regulatory organization (“SRO”) rules. Changes in market structure and the need to remain competitive require constant changes to the Company's systems, order routing and order handling procedures. The Company makes these changes while continuously endeavoring to comply with many complex laws and rules. Compliance, surveillance and trading issues common in the securities industry are monitored by, reported to, and/or reviewed in the ordinary course of business by the Company's regulators in the U.S. and abroad. As a major order flow execution destination, the Company is named from time to time in, or is asked to respond to a number of regulatory matters brought by U.S. regulators, foreign regulators, SROs, as well as actions brought by private plaintiffs, which arise from its business activities. There has recently been an increased focus by regulators on Anti-Money Laundering and sanctions compliance by broker-dealers and similar entities, as well as an enhanced interest on suspicious activity reporting and transactions involving microcap and low-priced securities. In addition, there has been increased regulatory, congressional and media scrutiny of U.S. equities market structure, the retail trading environment in the U.S., wholesale market making and the relationships between retail broker-dealers and market making firms including, but not limited to, payment for order flow arrangements, other remuneration arrangements such as profit-sharing relationships and exchange fee and rebate structures, alternative trading systems and off-exchange trading more generally, high frequency trading, short selling, market fragmentation, colocation, and access to market data feeds. Specifically, in 2022 the SEC proposed several rule changes focused on equity market structure reform. These proposals include, but are not limited to, (i) Proposed Rule 615 of Regulation NMS, which proposes to dramatically change U.S. equities market structure, the routing, handling and potentially the amount, character and cost of retail order flow, (ii) Regulation Best Execution, which would impose best execution requirements on broker-dealers which would be distinct from, but overlapping with, FINRA’s existing best execution rule (Rule 5310), (iii) proposed rule amendments to minimum pricing increments under Rule 612 or Regulation NMS, access fee caps under Rule 610 of Regulation NMS, acceleration of the implementation of certain Market Data Infrastructure Rules, and amendment to the odd-lot information definition adopted under the MDI rules (collectively referred to as the “tick size, access fees and infostructure rule proposals”), and (iv) amendments to Rule 605 of Regulation NMS, along with a series of amendments to the definition of Exchange and Alternative Trading Systems (ATS), which would expand the scope of exchange and ATS registration and compliance requirements. Further, in 2023, the SEC proposed amendments to expand and update Regulation Systems Compliance and Integrity (SCI) and to restrict volume based tiered pricing by equity exchanges in certain cases, approved an amendment to adopt a revised funding model for the Consolidated Audit Trail (CAT), and has indicated that additional rule proposals may be forthcoming. Additionally, rules to amend the definitions of “dealer” and “government securities dealer” within the Exchange Act were recently adopted, and are expected to broaden the scope of these registrant categories. These pending or potential rule changes, to the extent adopted, could adversely affect the Company’s business or the Company’s industry. As indicated above, from time to time, the Company is the subject of requests for information and documents from the SEC, the Financial Industry Regulatory Authority (“FINRA”), state attorneys general, and other regulators and governmental authorities. It is the Company's practice to cooperate and comply with the requests for information and documents. Additional information regarding legal and regulatory risks is described within the “Risk Factors” section under the sub header of “Legal and Regulatory Risks” in the Company’s Annual Report on Form 10-K for the year ended December 31, 2023.</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As indicated above, the Company is currently the subject of various regulatory reviews and investigations by state, federal and foreign regulators and SROs, including the SEC and FINRA.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some instances, these matters may result in a disciplinary action and/or a civil or administrative action.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Representations and Warranties; Indemnification Arrangements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0" w:right="319" w:bottom="1440" w:gutter="0" w:footer="0" w:header="0"/>
        </w:sectPr>
      </w:pPr>
    </w:p>
    <w:bookmarkStart w:id="34" w:name="page35"/>
    <w:bookmarkEnd w:id="34"/>
    <w:p>
      <w:pPr>
        <w:ind w:right="240" w:firstLine="509"/>
        <w:spacing w:after="0" w:line="270" w:lineRule="auto"/>
        <w:rPr>
          <w:sz w:val="20"/>
          <w:szCs w:val="20"/>
          <w:color w:val="auto"/>
        </w:rPr>
      </w:pPr>
      <w:r>
        <w:rPr>
          <w:rFonts w:ascii="Times New Roman" w:cs="Times New Roman" w:eastAsia="Times New Roman" w:hAnsi="Times New Roman"/>
          <w:sz w:val="14"/>
          <w:szCs w:val="14"/>
          <w:color w:val="auto"/>
        </w:rPr>
        <w:t>In the normal course of its operations, the Company enters into contracts that contain a variety of representations and warranties in addition to indemnification obligations, including indemnification obligations in connection with the Acquisition of KCG and the ITG Acquisition. The Company's maximum exposure under these arrangements is currently unknown, as any such exposure could relate to claims not yet brought or events which have not yet occurred.</w:t>
      </w:r>
    </w:p>
    <w:p>
      <w:pPr>
        <w:spacing w:after="0" w:line="157"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Consistent with standard business practices in the normal course of business, the Company enters into contracts that contain a variety of representations and warranties and general indemnifications. The Company has also provided general indemnifications to its managers, officers, directors, employees, and agents against expenses, legal fees,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Leases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primarily enters into lessee arrangements for corporate office space, data centers, and technology equipment. For more information on lease accounting, see Note 2 "Summary of Significant Accounting Policies" and Note 15 "Leases" to the Consolidated Financial Statements of the Company's 2023 Annual Report on Form 10-K.</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Lease assets and liabilities are summarized as follows:</w:t>
      </w:r>
    </w:p>
    <w:p>
      <w:pPr>
        <w:sectPr>
          <w:pgSz w:w="11900" w:h="16838" w:orient="portrait"/>
          <w:cols w:equalWidth="0" w:num="1">
            <w:col w:w="11240"/>
          </w:cols>
          <w:pgMar w:left="300" w:top="920" w:right="359" w:bottom="1440" w:gutter="0" w:footer="0" w:header="0"/>
        </w:sectPr>
      </w:pPr>
    </w:p>
    <w:p>
      <w:pPr>
        <w:spacing w:after="0" w:line="2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Operating leases</w:t>
      </w:r>
    </w:p>
    <w:p>
      <w:pPr>
        <w:spacing w:after="0" w:line="33" w:lineRule="exact"/>
        <w:rPr>
          <w:sz w:val="20"/>
          <w:szCs w:val="20"/>
          <w:color w:val="auto"/>
        </w:rPr>
      </w:pPr>
    </w:p>
    <w:p>
      <w:pPr>
        <w:ind w:left="200" w:right="480"/>
        <w:spacing w:after="0" w:line="340" w:lineRule="auto"/>
        <w:rPr>
          <w:sz w:val="20"/>
          <w:szCs w:val="20"/>
          <w:color w:val="auto"/>
        </w:rPr>
      </w:pPr>
      <w:r>
        <w:rPr>
          <w:rFonts w:ascii="Times New Roman" w:cs="Times New Roman" w:eastAsia="Times New Roman" w:hAnsi="Times New Roman"/>
          <w:sz w:val="11"/>
          <w:szCs w:val="11"/>
          <w:color w:val="auto"/>
        </w:rPr>
        <w:t>Operating lease right-of-use assets Operating lease liabilities</w:t>
      </w:r>
    </w:p>
    <w:p>
      <w:pPr>
        <w:spacing w:after="0" w:line="1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1"/>
          <w:szCs w:val="11"/>
          <w:color w:val="auto"/>
        </w:rPr>
        <w:t>Finance leases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Property and equipment, at cost</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Accumulated depreciation</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1"/>
          <w:szCs w:val="11"/>
          <w:color w:val="auto"/>
        </w:rPr>
        <w:t>Finance lease liabilities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8"/>
        </w:trPr>
        <w:tc>
          <w:tcPr>
            <w:tcW w:w="432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1"/>
                <w:szCs w:val="11"/>
                <w:b w:val="1"/>
                <w:bCs w:val="1"/>
                <w:color w:val="auto"/>
              </w:rPr>
              <w:t>Financial Statement Location</w:t>
            </w:r>
          </w:p>
        </w:tc>
        <w:tc>
          <w:tcPr>
            <w:tcW w:w="8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29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lease right-of-use assets</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212,689</w:t>
            </w:r>
          </w:p>
        </w:tc>
        <w:tc>
          <w:tcPr>
            <w:tcW w:w="100" w:type="dxa"/>
            <w:vAlign w:val="bottom"/>
          </w:tcPr>
          <w:p>
            <w:pPr>
              <w:spacing w:after="0"/>
              <w:rPr>
                <w:sz w:val="24"/>
                <w:szCs w:val="24"/>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229,499</w:t>
            </w:r>
          </w:p>
        </w:tc>
      </w:tr>
      <w:tr>
        <w:trPr>
          <w:trHeight w:val="15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32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260,483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278,317</w:t>
            </w:r>
          </w:p>
        </w:tc>
      </w:tr>
      <w:tr>
        <w:trPr>
          <w:trHeight w:val="530"/>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equipment, and capitalized software, net</w:t>
            </w:r>
          </w:p>
        </w:tc>
        <w:tc>
          <w:tcPr>
            <w:tcW w:w="320" w:type="dxa"/>
            <w:vAlign w:val="bottom"/>
          </w:tcPr>
          <w:p>
            <w:pPr>
              <w:spacing w:after="0"/>
              <w:rPr>
                <w:sz w:val="24"/>
                <w:szCs w:val="24"/>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40,828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40,857</w:t>
            </w:r>
          </w:p>
        </w:tc>
      </w:tr>
      <w:tr>
        <w:trPr>
          <w:trHeight w:val="15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Property, equipment, and capitalized software, net</w:t>
            </w:r>
          </w:p>
        </w:tc>
        <w:tc>
          <w:tcPr>
            <w:tcW w:w="32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(14,331)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(11,781)</w:t>
            </w:r>
          </w:p>
        </w:tc>
      </w:tr>
      <w:tr>
        <w:trPr>
          <w:trHeight w:val="159"/>
        </w:trPr>
        <w:tc>
          <w:tcPr>
            <w:tcW w:w="440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Accounts payable, accrued expenses, and other liabilities</w:t>
            </w:r>
          </w:p>
        </w:tc>
        <w:tc>
          <w:tcPr>
            <w:tcW w:w="320" w:type="dxa"/>
            <w:vAlign w:val="bottom"/>
          </w:tcPr>
          <w:p>
            <w:pPr>
              <w:spacing w:after="0"/>
              <w:rPr>
                <w:sz w:val="13"/>
                <w:szCs w:val="13"/>
                <w:color w:val="auto"/>
              </w:rPr>
            </w:pPr>
          </w:p>
        </w:tc>
        <w:tc>
          <w:tcPr>
            <w:tcW w:w="15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27,163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29,609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-1821815</wp:posOffset>
            </wp:positionH>
            <wp:positionV relativeFrom="paragraph">
              <wp:posOffset>-627380</wp:posOffset>
            </wp:positionV>
            <wp:extent cx="7053580" cy="1009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53580" cy="10096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-391795</wp:posOffset>
            </wp:positionV>
            <wp:extent cx="7053580" cy="1009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53580" cy="10096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-189230</wp:posOffset>
            </wp:positionV>
            <wp:extent cx="7053580" cy="1009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53580" cy="100965"/>
                    </a:xfrm>
                    <a:prstGeom prst="rect">
                      <a:avLst/>
                    </a:prstGeom>
                    <a:noFill/>
                  </pic:spPr>
                </pic:pic>
              </a:graphicData>
            </a:graphic>
          </wp:anchor>
        </w:drawing>
        <w:drawing>
          <wp:anchor simplePos="0" relativeHeight="251657728" behindDoc="1" locked="0" layoutInCell="0" allowOverlap="1">
            <wp:simplePos x="0" y="0"/>
            <wp:positionH relativeFrom="column">
              <wp:posOffset>-1821815</wp:posOffset>
            </wp:positionH>
            <wp:positionV relativeFrom="paragraph">
              <wp:posOffset>-836295</wp:posOffset>
            </wp:positionV>
            <wp:extent cx="7053580" cy="1079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53580" cy="1079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40" w:space="720"/>
            <w:col w:w="8280"/>
          </w:cols>
          <w:pgMar w:left="300" w:top="920" w:right="359" w:bottom="1440" w:gutter="0" w:footer="0" w:header="0"/>
          <w:type w:val="continuous"/>
        </w:sectPr>
      </w:pP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Weighted average remaining lease term and discount rate are as follows: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158"/>
        </w:trPr>
        <w:tc>
          <w:tcPr>
            <w:tcW w:w="436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9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49"/>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Weighted average remaining lease term</w:t>
            </w:r>
          </w:p>
        </w:tc>
        <w:tc>
          <w:tcPr>
            <w:tcW w:w="14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r>
      <w:tr>
        <w:trPr>
          <w:trHeight w:val="153"/>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Operating leases</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5.12 years</w:t>
            </w:r>
          </w:p>
        </w:tc>
        <w:tc>
          <w:tcPr>
            <w:tcW w:w="1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5.25 years</w:t>
            </w:r>
          </w:p>
        </w:tc>
      </w:tr>
      <w:tr>
        <w:trPr>
          <w:trHeight w:val="16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Finance leases</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3.33 years</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 years</w:t>
            </w:r>
          </w:p>
        </w:tc>
      </w:tr>
      <w:tr>
        <w:trPr>
          <w:trHeight w:val="153"/>
        </w:trPr>
        <w:tc>
          <w:tcPr>
            <w:tcW w:w="5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 average discount rate</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tcPr>
          <w:p>
            <w:pPr>
              <w:spacing w:after="0"/>
              <w:rPr>
                <w:sz w:val="13"/>
                <w:szCs w:val="13"/>
                <w:color w:val="auto"/>
              </w:rPr>
            </w:pPr>
          </w:p>
        </w:tc>
      </w:tr>
      <w:tr>
        <w:trPr>
          <w:trHeight w:val="165"/>
        </w:trPr>
        <w:tc>
          <w:tcPr>
            <w:tcW w:w="57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6.37 %</w:t>
            </w:r>
          </w:p>
        </w:tc>
        <w:tc>
          <w:tcPr>
            <w:tcW w:w="10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6.40 %</w:t>
            </w:r>
          </w:p>
        </w:tc>
      </w:tr>
      <w:tr>
        <w:trPr>
          <w:trHeight w:val="147"/>
        </w:trPr>
        <w:tc>
          <w:tcPr>
            <w:tcW w:w="57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Finance leases</w:t>
            </w: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5.58 %</w:t>
            </w:r>
          </w:p>
        </w:tc>
        <w:tc>
          <w:tcPr>
            <w:tcW w:w="100" w:type="dxa"/>
            <w:vAlign w:val="bottom"/>
          </w:tcPr>
          <w:p>
            <w:pPr>
              <w:spacing w:after="0"/>
              <w:rPr>
                <w:sz w:val="12"/>
                <w:szCs w:val="12"/>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5.51 %</w:t>
            </w: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920" w:right="359" w:bottom="1440" w:gutter="0" w:footer="0" w:header="0"/>
          <w:type w:val="continuous"/>
        </w:sectPr>
      </w:pPr>
    </w:p>
    <w:bookmarkStart w:id="35" w:name="page36"/>
    <w:bookmarkEnd w:id="35"/>
    <w:p>
      <w:pPr>
        <w:ind w:left="520"/>
        <w:spacing w:after="0"/>
        <w:rPr>
          <w:sz w:val="20"/>
          <w:szCs w:val="20"/>
          <w:color w:val="auto"/>
        </w:rPr>
      </w:pPr>
      <w:r>
        <w:rPr>
          <w:rFonts w:ascii="Times New Roman" w:cs="Times New Roman" w:eastAsia="Times New Roman" w:hAnsi="Times New Roman"/>
          <w:sz w:val="14"/>
          <w:szCs w:val="14"/>
          <w:color w:val="auto"/>
        </w:rPr>
        <w:t>The components of lease expense are as follows:</w:t>
      </w:r>
    </w:p>
    <w:p>
      <w:pPr>
        <w:spacing w:after="0" w:line="227" w:lineRule="exact"/>
        <w:rPr>
          <w:sz w:val="20"/>
          <w:szCs w:val="20"/>
          <w:color w:val="auto"/>
        </w:rPr>
      </w:pPr>
    </w:p>
    <w:tbl>
      <w:tblPr>
        <w:tblLayout w:type="fixed"/>
        <w:tblInd w:w="1900" w:type="dxa"/>
        <w:tblCellMar>
          <w:top w:w="0" w:type="dxa"/>
          <w:left w:w="0" w:type="dxa"/>
          <w:bottom w:w="0" w:type="dxa"/>
          <w:right w:w="0" w:type="dxa"/>
        </w:tblCellMar>
      </w:tblPr>
      <w:tr>
        <w:trPr>
          <w:trHeight w:val="158"/>
        </w:trPr>
        <w:tc>
          <w:tcPr>
            <w:tcW w:w="3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980" w:type="dxa"/>
            <w:vAlign w:val="bottom"/>
            <w:tcBorders>
              <w:bottom w:val="single" w:sz="8" w:color="auto"/>
            </w:tcBorders>
          </w:tcPr>
          <w:p>
            <w:pPr>
              <w:spacing w:after="0"/>
              <w:rPr>
                <w:sz w:val="13"/>
                <w:szCs w:val="13"/>
                <w:color w:val="auto"/>
              </w:rPr>
            </w:pPr>
          </w:p>
        </w:tc>
      </w:tr>
      <w:tr>
        <w:trPr>
          <w:trHeight w:val="154"/>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Pr>
          <w:p>
            <w:pPr>
              <w:spacing w:after="0"/>
              <w:rPr>
                <w:sz w:val="13"/>
                <w:szCs w:val="13"/>
                <w:color w:val="auto"/>
              </w:rPr>
            </w:pPr>
          </w:p>
        </w:tc>
        <w:tc>
          <w:tcPr>
            <w:tcW w:w="1300" w:type="dxa"/>
            <w:vAlign w:val="bottom"/>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ind w:right="683"/>
              <w:spacing w:after="0"/>
              <w:rPr>
                <w:sz w:val="20"/>
                <w:szCs w:val="20"/>
                <w:color w:val="auto"/>
              </w:rPr>
            </w:pPr>
            <w:r>
              <w:rPr>
                <w:rFonts w:ascii="Times New Roman" w:cs="Times New Roman" w:eastAsia="Times New Roman" w:hAnsi="Times New Roman"/>
                <w:sz w:val="11"/>
                <w:szCs w:val="11"/>
                <w:b w:val="1"/>
                <w:bCs w:val="1"/>
                <w:color w:val="auto"/>
                <w:w w:val="99"/>
              </w:rPr>
              <w:t>2023</w:t>
            </w:r>
          </w:p>
        </w:tc>
      </w:tr>
      <w:tr>
        <w:trPr>
          <w:trHeight w:val="155"/>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lease cost:</w:t>
            </w:r>
          </w:p>
        </w:tc>
        <w:tc>
          <w:tcPr>
            <w:tcW w:w="10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53"/>
        </w:trPr>
        <w:tc>
          <w:tcPr>
            <w:tcW w:w="396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Fixed</w:t>
            </w:r>
          </w:p>
        </w:tc>
        <w:tc>
          <w:tcPr>
            <w:tcW w:w="40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18,431</w:t>
            </w:r>
          </w:p>
        </w:tc>
        <w:tc>
          <w:tcPr>
            <w:tcW w:w="120" w:type="dxa"/>
            <w:vAlign w:val="bottom"/>
          </w:tcPr>
          <w:p>
            <w:pPr>
              <w:spacing w:after="0"/>
              <w:rPr>
                <w:sz w:val="13"/>
                <w:szCs w:val="13"/>
                <w:color w:val="auto"/>
              </w:rPr>
            </w:pPr>
          </w:p>
        </w:tc>
        <w:tc>
          <w:tcPr>
            <w:tcW w:w="720" w:type="dxa"/>
            <w:vAlign w:val="bottom"/>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18,878</w:t>
            </w:r>
          </w:p>
        </w:tc>
      </w:tr>
      <w:tr>
        <w:trPr>
          <w:trHeight w:val="159"/>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Variable</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1,508</w:t>
            </w:r>
          </w:p>
        </w:tc>
        <w:tc>
          <w:tcPr>
            <w:tcW w:w="12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1,764</w:t>
            </w:r>
          </w:p>
        </w:tc>
      </w:tr>
      <w:tr>
        <w:trPr>
          <w:trHeight w:val="156"/>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Operating lease cost</w:t>
            </w:r>
          </w:p>
        </w:tc>
        <w:tc>
          <w:tcPr>
            <w:tcW w:w="40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19,939</w:t>
            </w:r>
          </w:p>
        </w:tc>
        <w:tc>
          <w:tcPr>
            <w:tcW w:w="120" w:type="dxa"/>
            <w:vAlign w:val="bottom"/>
          </w:tcPr>
          <w:p>
            <w:pPr>
              <w:spacing w:after="0"/>
              <w:rPr>
                <w:sz w:val="13"/>
                <w:szCs w:val="13"/>
                <w:color w:val="auto"/>
              </w:rPr>
            </w:pPr>
          </w:p>
        </w:tc>
        <w:tc>
          <w:tcPr>
            <w:tcW w:w="72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20,642</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31"/>
        </w:trPr>
        <w:tc>
          <w:tcPr>
            <w:tcW w:w="3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Sublease income</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4,692</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4,889</w:t>
            </w:r>
          </w:p>
        </w:tc>
      </w:tr>
      <w:tr>
        <w:trPr>
          <w:trHeight w:val="176"/>
        </w:trPr>
        <w:tc>
          <w:tcPr>
            <w:tcW w:w="3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53"/>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Finance lease cost:</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65"/>
        </w:trPr>
        <w:tc>
          <w:tcPr>
            <w:tcW w:w="39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Amortization of ROU Asset</w:t>
            </w:r>
          </w:p>
        </w:tc>
        <w:tc>
          <w:tcPr>
            <w:tcW w:w="40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2,579</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2,124</w:t>
            </w:r>
          </w:p>
        </w:tc>
      </w:tr>
      <w:tr>
        <w:trPr>
          <w:trHeight w:val="153"/>
        </w:trPr>
        <w:tc>
          <w:tcPr>
            <w:tcW w:w="39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Interest on lease liabilities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w:t>
            </w:r>
          </w:p>
        </w:tc>
        <w:tc>
          <w:tcPr>
            <w:tcW w:w="12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w:t>
            </w:r>
          </w:p>
        </w:tc>
      </w:tr>
      <w:tr>
        <w:trPr>
          <w:trHeight w:val="181"/>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Finance lease cost</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2,991</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2,332</w:t>
            </w: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Future minimum lease payments under operating and finance leases with non-cancelable lease terms, as of March 31, 2024, are as follows:</w:t>
      </w:r>
    </w:p>
    <w:p>
      <w:pPr>
        <w:spacing w:after="0" w:line="227" w:lineRule="exact"/>
        <w:rPr>
          <w:sz w:val="20"/>
          <w:szCs w:val="20"/>
          <w:color w:val="auto"/>
        </w:rPr>
      </w:pPr>
    </w:p>
    <w:tbl>
      <w:tblPr>
        <w:tblLayout w:type="fixed"/>
        <w:tblInd w:w="2600" w:type="dxa"/>
        <w:tblCellMar>
          <w:top w:w="0" w:type="dxa"/>
          <w:left w:w="0" w:type="dxa"/>
          <w:bottom w:w="0" w:type="dxa"/>
          <w:right w:w="0" w:type="dxa"/>
        </w:tblCellMar>
      </w:tblPr>
      <w:tr>
        <w:trPr>
          <w:trHeight w:val="158"/>
        </w:trPr>
        <w:tc>
          <w:tcPr>
            <w:tcW w:w="25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Pr>
          <w:p>
            <w:pPr>
              <w:spacing w:after="0"/>
              <w:rPr>
                <w:sz w:val="13"/>
                <w:szCs w:val="13"/>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260" w:type="dxa"/>
            <w:vAlign w:val="bottom"/>
          </w:tcPr>
          <w:p>
            <w:pPr>
              <w:spacing w:after="0"/>
              <w:rPr>
                <w:sz w:val="13"/>
                <w:szCs w:val="13"/>
                <w:color w:val="auto"/>
              </w:rPr>
            </w:pPr>
          </w:p>
        </w:tc>
        <w:tc>
          <w:tcPr>
            <w:tcW w:w="1400" w:type="dxa"/>
            <w:vAlign w:val="bottom"/>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53"/>
        </w:trPr>
        <w:tc>
          <w:tcPr>
            <w:tcW w:w="24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color w:val="auto"/>
              </w:rPr>
              <w:t>2024</w:t>
            </w:r>
          </w:p>
        </w:tc>
        <w:tc>
          <w:tcPr>
            <w:tcW w:w="100" w:type="dxa"/>
            <w:vAlign w:val="bottom"/>
          </w:tcPr>
          <w:p>
            <w:pPr>
              <w:spacing w:after="0"/>
              <w:rPr>
                <w:sz w:val="13"/>
                <w:szCs w:val="13"/>
                <w:color w:val="auto"/>
              </w:rPr>
            </w:pPr>
          </w:p>
        </w:tc>
        <w:tc>
          <w:tcPr>
            <w:tcW w:w="28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56,242</w:t>
            </w:r>
          </w:p>
        </w:tc>
        <w:tc>
          <w:tcPr>
            <w:tcW w:w="100" w:type="dxa"/>
            <w:vAlign w:val="bottom"/>
          </w:tcPr>
          <w:p>
            <w:pPr>
              <w:spacing w:after="0"/>
              <w:rPr>
                <w:sz w:val="13"/>
                <w:szCs w:val="13"/>
                <w:color w:val="auto"/>
              </w:rPr>
            </w:pPr>
          </w:p>
        </w:tc>
        <w:tc>
          <w:tcPr>
            <w:tcW w:w="260" w:type="dxa"/>
            <w:vAlign w:val="bottom"/>
            <w:tcBorders>
              <w:top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8,406</w:t>
            </w:r>
          </w:p>
        </w:tc>
      </w:tr>
      <w:tr>
        <w:trPr>
          <w:trHeight w:val="16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2025</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68,658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7,677</w:t>
            </w:r>
          </w:p>
        </w:tc>
      </w:tr>
      <w:tr>
        <w:trPr>
          <w:trHeight w:val="153"/>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2026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66,540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6,683</w:t>
            </w:r>
          </w:p>
        </w:tc>
      </w:tr>
      <w:tr>
        <w:trPr>
          <w:trHeight w:val="165"/>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2027</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5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31,137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5,513</w:t>
            </w:r>
          </w:p>
        </w:tc>
      </w:tr>
      <w:tr>
        <w:trPr>
          <w:trHeight w:val="153"/>
        </w:trPr>
        <w:tc>
          <w:tcPr>
            <w:tcW w:w="2440" w:type="dxa"/>
            <w:vAlign w:val="bottom"/>
          </w:tcPr>
          <w:p>
            <w:pPr>
              <w:spacing w:after="0"/>
              <w:rPr>
                <w:sz w:val="20"/>
                <w:szCs w:val="20"/>
                <w:color w:val="auto"/>
              </w:rPr>
            </w:pPr>
            <w:r>
              <w:rPr>
                <w:rFonts w:ascii="Times New Roman" w:cs="Times New Roman" w:eastAsia="Times New Roman" w:hAnsi="Times New Roman"/>
                <w:sz w:val="11"/>
                <w:szCs w:val="11"/>
                <w:color w:val="auto"/>
              </w:rPr>
              <w:t>2028</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1,941</w:t>
            </w:r>
          </w:p>
        </w:tc>
      </w:tr>
      <w:tr>
        <w:trPr>
          <w:trHeight w:val="165"/>
        </w:trPr>
        <w:tc>
          <w:tcPr>
            <w:tcW w:w="2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2029 and thereafter</w:t>
            </w:r>
          </w:p>
        </w:tc>
        <w:tc>
          <w:tcPr>
            <w:tcW w:w="280" w:type="dxa"/>
            <w:vAlign w:val="bottom"/>
            <w:tcBorders>
              <w:bottom w:val="single" w:sz="8" w:color="auto"/>
            </w:tcBorders>
            <w:shd w:val="clear" w:color="auto" w:fill="CCEEFF"/>
          </w:tcPr>
          <w:p>
            <w:pPr>
              <w:spacing w:after="0"/>
              <w:rPr>
                <w:sz w:val="14"/>
                <w:szCs w:val="14"/>
                <w:color w:val="auto"/>
              </w:rPr>
            </w:pPr>
          </w:p>
        </w:tc>
        <w:tc>
          <w:tcPr>
            <w:tcW w:w="15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55,213</w:t>
            </w:r>
          </w:p>
        </w:tc>
        <w:tc>
          <w:tcPr>
            <w:tcW w:w="10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lease payments</w:t>
            </w:r>
          </w:p>
        </w:tc>
        <w:tc>
          <w:tcPr>
            <w:tcW w:w="28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305,789</w:t>
            </w:r>
          </w:p>
        </w:tc>
        <w:tc>
          <w:tcPr>
            <w:tcW w:w="100" w:type="dxa"/>
            <w:vAlign w:val="bottom"/>
          </w:tcPr>
          <w:p>
            <w:pPr>
              <w:spacing w:after="0"/>
              <w:rPr>
                <w:sz w:val="12"/>
                <w:szCs w:val="12"/>
                <w:color w:val="auto"/>
              </w:rPr>
            </w:pPr>
          </w:p>
        </w:tc>
        <w:tc>
          <w:tcPr>
            <w:tcW w:w="260" w:type="dxa"/>
            <w:vAlign w:val="bottom"/>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30,220</w:t>
            </w:r>
          </w:p>
        </w:tc>
      </w:tr>
      <w:tr>
        <w:trPr>
          <w:trHeight w:val="159"/>
        </w:trPr>
        <w:tc>
          <w:tcPr>
            <w:tcW w:w="25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Less imputed interest</w:t>
            </w:r>
          </w:p>
        </w:tc>
        <w:tc>
          <w:tcPr>
            <w:tcW w:w="280" w:type="dxa"/>
            <w:vAlign w:val="bottom"/>
            <w:tcBorders>
              <w:bottom w:val="single" w:sz="8" w:color="auto"/>
            </w:tcBorders>
            <w:shd w:val="clear" w:color="auto" w:fill="CCEEFF"/>
          </w:tcPr>
          <w:p>
            <w:pPr>
              <w:spacing w:after="0"/>
              <w:rPr>
                <w:sz w:val="13"/>
                <w:szCs w:val="1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(45,306)</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(3,057)</w:t>
            </w:r>
          </w:p>
        </w:tc>
      </w:tr>
      <w:tr>
        <w:trPr>
          <w:trHeight w:val="156"/>
        </w:trPr>
        <w:tc>
          <w:tcPr>
            <w:tcW w:w="25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Total lease liability</w:t>
            </w:r>
          </w:p>
        </w:tc>
        <w:tc>
          <w:tcPr>
            <w:tcW w:w="2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260,483</w:t>
            </w:r>
          </w:p>
        </w:tc>
        <w:tc>
          <w:tcPr>
            <w:tcW w:w="100" w:type="dxa"/>
            <w:vAlign w:val="bottom"/>
          </w:tcPr>
          <w:p>
            <w:pPr>
              <w:spacing w:after="0"/>
              <w:rPr>
                <w:sz w:val="13"/>
                <w:szCs w:val="13"/>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27,163</w:t>
            </w: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Cash</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provides a reconciliation of cash and cash equivalents together with restricted or segregated cash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reported within the Condensed Consolidated Statements of Financial Condition to the sum of the same such amounts shown in the Condensed Consolidated Statements of Cash Flows.</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158"/>
        </w:trPr>
        <w:tc>
          <w:tcPr>
            <w:tcW w:w="61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20" w:type="dxa"/>
            <w:vAlign w:val="bottom"/>
          </w:tcPr>
          <w:p>
            <w:pPr>
              <w:spacing w:after="0"/>
              <w:rPr>
                <w:sz w:val="13"/>
                <w:szCs w:val="13"/>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March 31, 2024</w:t>
            </w:r>
          </w:p>
        </w:tc>
        <w:tc>
          <w:tcPr>
            <w:tcW w:w="200" w:type="dxa"/>
            <w:vAlign w:val="bottom"/>
          </w:tcPr>
          <w:p>
            <w:pPr>
              <w:spacing w:after="0"/>
              <w:rPr>
                <w:sz w:val="13"/>
                <w:szCs w:val="13"/>
                <w:color w:val="auto"/>
              </w:rPr>
            </w:pPr>
          </w:p>
        </w:tc>
        <w:tc>
          <w:tcPr>
            <w:tcW w:w="134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59"/>
        </w:trPr>
        <w:tc>
          <w:tcPr>
            <w:tcW w:w="6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399,585</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820,436</w:t>
            </w:r>
          </w:p>
        </w:tc>
      </w:tr>
      <w:tr>
        <w:trPr>
          <w:trHeight w:val="153"/>
        </w:trPr>
        <w:tc>
          <w:tcPr>
            <w:tcW w:w="6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1"/>
                <w:szCs w:val="11"/>
                <w:color w:val="auto"/>
              </w:rPr>
              <w:t>Cash restricted or segregated under regulations and other</w:t>
            </w:r>
          </w:p>
        </w:tc>
        <w:tc>
          <w:tcPr>
            <w:tcW w:w="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29,821</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35,024</w:t>
            </w:r>
          </w:p>
        </w:tc>
      </w:tr>
      <w:tr>
        <w:trPr>
          <w:trHeight w:val="181"/>
        </w:trPr>
        <w:tc>
          <w:tcPr>
            <w:tcW w:w="6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 shown in the statement of cash flows</w:t>
            </w: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429,406</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855,460</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17. Capital Structure</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 has four classes of authorized common stock. The Class A Common Stock and the Class C Common Stock have one vote per share. The Class B Common Stock and the Class D Common Stock have 10 votes per share. Shares of the Company’s common stock generally vote together as a single class on all matters submitted to a vote of the Company’s stockholders. The Founder Member controls approximately 86.5% of the combined voting power of our common stock as a result of its ownership of our Class A, Class C and Class D Common Stock. The Company holds approximately a 57.8% interest in Virtu Financial at March 31, 2024.</w:t>
      </w:r>
    </w:p>
    <w:p>
      <w:pPr>
        <w:spacing w:after="0" w:line="162" w:lineRule="exact"/>
        <w:rPr>
          <w:sz w:val="20"/>
          <w:szCs w:val="20"/>
          <w:color w:val="auto"/>
        </w:rPr>
      </w:pPr>
    </w:p>
    <w:p>
      <w:pPr>
        <w:ind w:right="320" w:firstLine="509"/>
        <w:spacing w:after="0" w:line="287" w:lineRule="auto"/>
        <w:rPr>
          <w:sz w:val="20"/>
          <w:szCs w:val="20"/>
          <w:color w:val="auto"/>
        </w:rPr>
      </w:pPr>
      <w:r>
        <w:rPr>
          <w:rFonts w:ascii="Times New Roman" w:cs="Times New Roman" w:eastAsia="Times New Roman" w:hAnsi="Times New Roman"/>
          <w:sz w:val="14"/>
          <w:szCs w:val="14"/>
          <w:color w:val="auto"/>
        </w:rPr>
        <w:t>During the period prior to the Company's IPO and certain reorganization transactions consummated in connection with the IPO, Class A-2 profits interests and Class B interests in Virtu Financial were issued to Employee Holdco (as defined below) on behalf of certain key employees and stakeholders. In connection with these reorganization transactions, all Class A-2 profits</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36" w:name="page37"/>
    <w:bookmarkEnd w:id="36"/>
    <w:p>
      <w:pPr>
        <w:jc w:val="both"/>
        <w:ind w:right="100"/>
        <w:spacing w:after="0" w:line="270" w:lineRule="auto"/>
        <w:rPr>
          <w:sz w:val="20"/>
          <w:szCs w:val="20"/>
          <w:color w:val="auto"/>
        </w:rPr>
      </w:pPr>
      <w:r>
        <w:rPr>
          <w:rFonts w:ascii="Times New Roman" w:cs="Times New Roman" w:eastAsia="Times New Roman" w:hAnsi="Times New Roman"/>
          <w:sz w:val="14"/>
          <w:szCs w:val="14"/>
          <w:color w:val="auto"/>
        </w:rPr>
        <w:t>interests and Class B interests were reclassified into Virtu Financial Units. As of March 31, 2024 and December 31, 2023, there were 4,040,772 and 4,040,772 Virtu Financial Units outstanding held by Employee Holdco (as defined below), respectively, and none and 173,535 of such Virtu Financial Units and corresponding Class C Common Stock were exchanged into Class A Common Stock, forfeited or repurchased during the three months ended March 31, 2024 and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Amended and Restated 2015 Management Incentive Plan</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Company’s Board of Directors and stockholders adopted the 2015 Management Incentive Plan, which became effective upon consummation of the IPO, and was subsequently amended and restated following receipt of approval from the Company’s stockholders on June 30, 2017, June 5, 2020 and June 2, 2022. The Amended and Restated 2015 Management Incentive Plan provides for the grant of stock options, restricted stock units, and other awards based on an aggregate of 26,000,000 shares of Class A Common Stock, subject to additional sublimits, including limits on the total option grant to any one participant in a single year and the total performance award to any one participant in a single year.</w:t>
      </w:r>
    </w:p>
    <w:p>
      <w:pPr>
        <w:spacing w:after="0" w:line="16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On November 13, 2020, the Company amended its form award agreement for the issuance of RSUs to provide for the continued vesting of outstanding RSU awards upon the occurrence of a qualified retirement (the “RSU Amendment”). A qualified retirement generally means a voluntary resignation by the participant (i) after five years of service, (ii) the participant attaining the age of 50 and (iii) the sum of the participant's age and service at the time of termination equaling or exceeding 65. Continued vesting is subject to the participant entering into a 2 year non-compete. The RSU Amendment was authorized and approved by the Compensation Committee of the Company's Board of Directors. As a result of the RSU Amendment, currently issued and outstanding RSUs held by the Company's employees, including its executive officers, shall be deemed to be subject to the amended terms of the form award agreement, and any future RSU awards shall also be governed by such amended terms.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20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4"/>
          <w:szCs w:val="14"/>
          <w:color w:val="auto"/>
        </w:rPr>
        <w:t>On November 6, 2020, the Company's Board of Directors authorized a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an additional $300 million in Class A Common Stock and Virtu Financial Units and extending the duration of the program through May 4, 2022. On November 3, 2021 the Company's Board of Directors authorized another expansion of the program by an additional $750 million to $1,220 million and extending the duration of the program through November 3, 2023, which was subsequently extended through December 31, 2024.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2024, the Company repurchased approximately 45.6 million shares of Class A Common Stock and Virtu Financial Units for approximately $1,145.4 million. As of March 31, 2024, the Company has approximately $74.6 million remaining capacity for future purchases of shares of Class A Common Stock and Virtu Financial Units under the program.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Exchanges</w:t>
      </w:r>
    </w:p>
    <w:p>
      <w:pPr>
        <w:spacing w:after="0" w:line="202"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During the three months ended March 31, 2024 and 2023, pursuant to the exchange agreement by and among the Company, Virtu Financial and holders of Virtu Financial Units, certain current and former employees elected to exchange none and 152,037 units, respectively in Virtu Financial held directly or on their behalf by Virtu Employee Holdco LLC (“Employee Holdco”) on a one-for-one basis for shares of Class A Common Stock.</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Accumulated Other Comprehensive Income</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presents the changes in Other Comprehensive Income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7" w:name="page38"/>
    <w:bookmarkEnd w:id="37"/>
    <w:tbl>
      <w:tblPr>
        <w:tblLayout w:type="fixed"/>
        <w:tblInd w:w="720" w:type="dxa"/>
        <w:tblCellMar>
          <w:top w:w="0" w:type="dxa"/>
          <w:left w:w="0" w:type="dxa"/>
          <w:bottom w:w="0" w:type="dxa"/>
          <w:right w:w="0" w:type="dxa"/>
        </w:tblCellMar>
      </w:tblPr>
      <w:tr>
        <w:trPr>
          <w:trHeight w:val="158"/>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9"/>
                <w:szCs w:val="9"/>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AOCI Beginning Balance</w:t>
            </w:r>
          </w:p>
        </w:tc>
        <w:tc>
          <w:tcPr>
            <w:tcW w:w="180" w:type="dxa"/>
            <w:vAlign w:val="bottom"/>
          </w:tcPr>
          <w:p>
            <w:pPr>
              <w:spacing w:after="0"/>
              <w:rPr>
                <w:sz w:val="9"/>
                <w:szCs w:val="9"/>
                <w:color w:val="auto"/>
              </w:rPr>
            </w:pPr>
          </w:p>
        </w:tc>
        <w:tc>
          <w:tcPr>
            <w:tcW w:w="136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recorded</w:t>
            </w:r>
          </w:p>
        </w:tc>
        <w:tc>
          <w:tcPr>
            <w:tcW w:w="80" w:type="dxa"/>
            <w:vAlign w:val="bottom"/>
          </w:tcPr>
          <w:p>
            <w:pPr>
              <w:spacing w:after="0"/>
              <w:rPr>
                <w:sz w:val="9"/>
                <w:szCs w:val="9"/>
                <w:color w:val="auto"/>
              </w:rPr>
            </w:pPr>
          </w:p>
        </w:tc>
        <w:tc>
          <w:tcPr>
            <w:tcW w:w="14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reclassified from</w:t>
            </w:r>
          </w:p>
        </w:tc>
        <w:tc>
          <w:tcPr>
            <w:tcW w:w="14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AOCI Ending Balance</w:t>
            </w:r>
          </w:p>
        </w:tc>
        <w:tc>
          <w:tcPr>
            <w:tcW w:w="0" w:type="dxa"/>
            <w:vAlign w:val="bottom"/>
          </w:tcPr>
          <w:p>
            <w:pPr>
              <w:spacing w:after="0"/>
              <w:rPr>
                <w:sz w:val="1"/>
                <w:szCs w:val="1"/>
                <w:color w:val="auto"/>
              </w:rPr>
            </w:pPr>
          </w:p>
        </w:tc>
      </w:tr>
      <w:tr>
        <w:trPr>
          <w:trHeight w:val="153"/>
        </w:trPr>
        <w:tc>
          <w:tcPr>
            <w:tcW w:w="37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AOCI</w:t>
            </w: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AOCI to income</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change in unrealized cash flow hedges gains (losses) (1)</w:t>
            </w: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23,416</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1"/>
                <w:szCs w:val="11"/>
                <w:color w:val="auto"/>
              </w:rPr>
              <w:t>9,682</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(8,788)</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24,310</w:t>
            </w:r>
          </w:p>
        </w:tc>
        <w:tc>
          <w:tcPr>
            <w:tcW w:w="0" w:type="dxa"/>
            <w:vAlign w:val="bottom"/>
          </w:tcPr>
          <w:p>
            <w:pPr>
              <w:spacing w:after="0"/>
              <w:rPr>
                <w:sz w:val="1"/>
                <w:szCs w:val="1"/>
                <w:color w:val="auto"/>
              </w:rPr>
            </w:pPr>
          </w:p>
        </w:tc>
      </w:tr>
      <w:tr>
        <w:trPr>
          <w:trHeight w:val="153"/>
        </w:trPr>
        <w:tc>
          <w:tcPr>
            <w:tcW w:w="374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Foreign exchange translation adjustment</w:t>
            </w:r>
          </w:p>
        </w:tc>
        <w:tc>
          <w:tcPr>
            <w:tcW w:w="100" w:type="dxa"/>
            <w:vAlign w:val="bottom"/>
          </w:tcPr>
          <w:p>
            <w:pPr>
              <w:spacing w:after="0"/>
              <w:rPr>
                <w:sz w:val="13"/>
                <w:szCs w:val="13"/>
                <w:color w:val="auto"/>
              </w:rPr>
            </w:pPr>
          </w:p>
        </w:tc>
        <w:tc>
          <w:tcPr>
            <w:tcW w:w="1340" w:type="dxa"/>
            <w:vAlign w:val="bottom"/>
          </w:tcPr>
          <w:p>
            <w:pPr>
              <w:ind w:left="1000"/>
              <w:spacing w:after="0"/>
              <w:rPr>
                <w:sz w:val="20"/>
                <w:szCs w:val="20"/>
                <w:color w:val="auto"/>
              </w:rPr>
            </w:pPr>
            <w:r>
              <w:rPr>
                <w:rFonts w:ascii="Times New Roman" w:cs="Times New Roman" w:eastAsia="Times New Roman" w:hAnsi="Times New Roman"/>
                <w:sz w:val="11"/>
                <w:szCs w:val="11"/>
                <w:color w:val="auto"/>
                <w:w w:val="99"/>
              </w:rPr>
              <w:t>(6,369)</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center"/>
              <w:ind w:left="843"/>
              <w:spacing w:after="0"/>
              <w:rPr>
                <w:sz w:val="20"/>
                <w:szCs w:val="20"/>
                <w:color w:val="auto"/>
              </w:rPr>
            </w:pPr>
            <w:r>
              <w:rPr>
                <w:rFonts w:ascii="Times New Roman" w:cs="Times New Roman" w:eastAsia="Times New Roman" w:hAnsi="Times New Roman"/>
                <w:sz w:val="11"/>
                <w:szCs w:val="11"/>
                <w:color w:val="auto"/>
                <w:w w:val="99"/>
              </w:rPr>
              <w:t>(2,037)</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tcPr>
          <w:p>
            <w:pPr>
              <w:ind w:left="980"/>
              <w:spacing w:after="0"/>
              <w:rPr>
                <w:sz w:val="20"/>
                <w:szCs w:val="20"/>
                <w:color w:val="auto"/>
              </w:rPr>
            </w:pPr>
            <w:r>
              <w:rPr>
                <w:rFonts w:ascii="Times New Roman" w:cs="Times New Roman" w:eastAsia="Times New Roman" w:hAnsi="Times New Roman"/>
                <w:sz w:val="11"/>
                <w:szCs w:val="11"/>
                <w:color w:val="auto"/>
              </w:rPr>
              <w:t>(8,406)</w:t>
            </w:r>
          </w:p>
        </w:tc>
        <w:tc>
          <w:tcPr>
            <w:tcW w:w="0" w:type="dxa"/>
            <w:vAlign w:val="bottom"/>
          </w:tcPr>
          <w:p>
            <w:pPr>
              <w:spacing w:after="0"/>
              <w:rPr>
                <w:sz w:val="1"/>
                <w:szCs w:val="1"/>
                <w:color w:val="auto"/>
              </w:rPr>
            </w:pPr>
          </w:p>
        </w:tc>
      </w:tr>
      <w:tr>
        <w:trPr>
          <w:trHeight w:val="157"/>
        </w:trPr>
        <w:tc>
          <w:tcPr>
            <w:tcW w:w="37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17,047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bottom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1"/>
                <w:szCs w:val="11"/>
                <w:color w:val="auto"/>
              </w:rPr>
              <w:t>7,645</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(8,788)</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1"/>
                <w:szCs w:val="11"/>
                <w:color w:val="auto"/>
              </w:rPr>
              <w:t>15,904</w:t>
            </w:r>
          </w:p>
        </w:tc>
        <w:tc>
          <w:tcPr>
            <w:tcW w:w="0" w:type="dxa"/>
            <w:vAlign w:val="bottom"/>
          </w:tcPr>
          <w:p>
            <w:pPr>
              <w:spacing w:after="0"/>
              <w:rPr>
                <w:sz w:val="1"/>
                <w:szCs w:val="1"/>
                <w:color w:val="auto"/>
              </w:rPr>
            </w:pPr>
          </w:p>
        </w:tc>
      </w:tr>
    </w:tbl>
    <w:p>
      <w:pPr>
        <w:ind w:left="720" w:right="1020" w:firstLine="10"/>
        <w:spacing w:after="0" w:line="230" w:lineRule="auto"/>
        <w:tabs>
          <w:tab w:leader="none" w:pos="860" w:val="left"/>
        </w:tabs>
        <w:numPr>
          <w:ilvl w:val="0"/>
          <w:numId w:val="1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reclassified from AOCI to income are included within Financing interest expense on long-term borrowings on the Consolidated Statements of Comprehensive Income. As of March 31, 2024, the Company expects approximately $28.4 million to be reclassified from AOCI into earnings over the next 12 months. The timing of the reclassification is based on the interest payment schedule of the long-term borrowings.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-132715</wp:posOffset>
            </wp:positionV>
            <wp:extent cx="388048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80" w:lineRule="exact"/>
        <w:rPr>
          <w:sz w:val="20"/>
          <w:szCs w:val="20"/>
          <w:color w:val="auto"/>
        </w:rPr>
      </w:pPr>
    </w:p>
    <w:tbl>
      <w:tblPr>
        <w:tblLayout w:type="fixed"/>
        <w:tblInd w:w="720" w:type="dxa"/>
        <w:tblCellMar>
          <w:top w:w="0" w:type="dxa"/>
          <w:left w:w="0" w:type="dxa"/>
          <w:bottom w:w="0" w:type="dxa"/>
          <w:right w:w="0" w:type="dxa"/>
        </w:tblCellMar>
      </w:tblPr>
      <w:tr>
        <w:trPr>
          <w:trHeight w:val="158"/>
        </w:trPr>
        <w:tc>
          <w:tcPr>
            <w:tcW w:w="37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1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7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0" w:type="dxa"/>
            <w:vAlign w:val="bottom"/>
          </w:tcPr>
          <w:p>
            <w:pPr>
              <w:spacing w:after="0"/>
              <w:rPr>
                <w:sz w:val="9"/>
                <w:szCs w:val="9"/>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AOCI Beginning Balance</w:t>
            </w:r>
          </w:p>
        </w:tc>
        <w:tc>
          <w:tcPr>
            <w:tcW w:w="180" w:type="dxa"/>
            <w:vAlign w:val="bottom"/>
          </w:tcPr>
          <w:p>
            <w:pPr>
              <w:spacing w:after="0"/>
              <w:rPr>
                <w:sz w:val="9"/>
                <w:szCs w:val="9"/>
                <w:color w:val="auto"/>
              </w:rPr>
            </w:pPr>
          </w:p>
        </w:tc>
        <w:tc>
          <w:tcPr>
            <w:tcW w:w="1360" w:type="dxa"/>
            <w:vAlign w:val="bottom"/>
            <w:gridSpan w:val="2"/>
          </w:tcPr>
          <w:p>
            <w:pPr>
              <w:jc w:val="center"/>
              <w:ind w:right="2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recorded</w:t>
            </w:r>
          </w:p>
        </w:tc>
        <w:tc>
          <w:tcPr>
            <w:tcW w:w="80" w:type="dxa"/>
            <w:vAlign w:val="bottom"/>
          </w:tcPr>
          <w:p>
            <w:pPr>
              <w:spacing w:after="0"/>
              <w:rPr>
                <w:sz w:val="9"/>
                <w:szCs w:val="9"/>
                <w:color w:val="auto"/>
              </w:rPr>
            </w:pPr>
          </w:p>
        </w:tc>
        <w:tc>
          <w:tcPr>
            <w:tcW w:w="14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Amounts reclassified from</w:t>
            </w:r>
          </w:p>
        </w:tc>
        <w:tc>
          <w:tcPr>
            <w:tcW w:w="140" w:type="dxa"/>
            <w:vAlign w:val="bottom"/>
          </w:tcPr>
          <w:p>
            <w:pPr>
              <w:spacing w:after="0"/>
              <w:rPr>
                <w:sz w:val="9"/>
                <w:szCs w:val="9"/>
                <w:color w:val="auto"/>
              </w:rPr>
            </w:pPr>
          </w:p>
        </w:tc>
        <w:tc>
          <w:tcPr>
            <w:tcW w:w="1340" w:type="dxa"/>
            <w:vAlign w:val="bottom"/>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AOCI Ending Balance</w:t>
            </w:r>
          </w:p>
        </w:tc>
        <w:tc>
          <w:tcPr>
            <w:tcW w:w="0" w:type="dxa"/>
            <w:vAlign w:val="bottom"/>
          </w:tcPr>
          <w:p>
            <w:pPr>
              <w:spacing w:after="0"/>
              <w:rPr>
                <w:sz w:val="1"/>
                <w:szCs w:val="1"/>
                <w:color w:val="auto"/>
              </w:rPr>
            </w:pPr>
          </w:p>
        </w:tc>
      </w:tr>
      <w:tr>
        <w:trPr>
          <w:trHeight w:val="153"/>
        </w:trPr>
        <w:tc>
          <w:tcPr>
            <w:tcW w:w="3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in AOCI</w:t>
            </w:r>
          </w:p>
        </w:tc>
        <w:tc>
          <w:tcPr>
            <w:tcW w:w="80" w:type="dxa"/>
            <w:vAlign w:val="bottom"/>
          </w:tcPr>
          <w:p>
            <w:pPr>
              <w:spacing w:after="0"/>
              <w:rPr>
                <w:sz w:val="13"/>
                <w:szCs w:val="13"/>
                <w:color w:val="auto"/>
              </w:rPr>
            </w:pP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AOCI to income</w:t>
            </w:r>
          </w:p>
        </w:tc>
        <w:tc>
          <w:tcPr>
            <w:tcW w:w="1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change in unrealized cash flow hedges gains (losses) (1)</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center"/>
              <w:ind w:left="883"/>
              <w:spacing w:after="0"/>
              <w:rPr>
                <w:sz w:val="20"/>
                <w:szCs w:val="20"/>
                <w:color w:val="auto"/>
              </w:rPr>
            </w:pPr>
            <w:r>
              <w:rPr>
                <w:rFonts w:ascii="Times New Roman" w:cs="Times New Roman" w:eastAsia="Times New Roman" w:hAnsi="Times New Roman"/>
                <w:sz w:val="11"/>
                <w:szCs w:val="11"/>
                <w:color w:val="auto"/>
              </w:rPr>
              <w:t>44,925</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(1,330)</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1"/>
                <w:szCs w:val="11"/>
                <w:color w:val="auto"/>
                <w:w w:val="99"/>
              </w:rPr>
              <w:t>37,091</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20"/>
                <w:szCs w:val="20"/>
                <w:color w:val="auto"/>
              </w:rPr>
            </w:pPr>
            <w:r>
              <w:rPr>
                <w:rFonts w:ascii="Times New Roman" w:cs="Times New Roman" w:eastAsia="Times New Roman" w:hAnsi="Times New Roman"/>
                <w:sz w:val="11"/>
                <w:szCs w:val="11"/>
                <w:color w:val="auto"/>
              </w:rPr>
              <w:t>Foreign exchange translation adjustment</w:t>
            </w:r>
          </w:p>
        </w:tc>
        <w:tc>
          <w:tcPr>
            <w:tcW w:w="100" w:type="dxa"/>
            <w:vAlign w:val="bottom"/>
          </w:tcPr>
          <w:p>
            <w:pPr>
              <w:spacing w:after="0"/>
              <w:rPr>
                <w:sz w:val="13"/>
                <w:szCs w:val="13"/>
                <w:color w:val="auto"/>
              </w:rPr>
            </w:pPr>
          </w:p>
        </w:tc>
        <w:tc>
          <w:tcPr>
            <w:tcW w:w="1340" w:type="dxa"/>
            <w:vAlign w:val="bottom"/>
          </w:tcPr>
          <w:p>
            <w:pPr>
              <w:jc w:val="center"/>
              <w:ind w:left="863"/>
              <w:spacing w:after="0"/>
              <w:rPr>
                <w:sz w:val="20"/>
                <w:szCs w:val="20"/>
                <w:color w:val="auto"/>
              </w:rPr>
            </w:pPr>
            <w:r>
              <w:rPr>
                <w:rFonts w:ascii="Times New Roman" w:cs="Times New Roman" w:eastAsia="Times New Roman" w:hAnsi="Times New Roman"/>
                <w:sz w:val="11"/>
                <w:szCs w:val="11"/>
                <w:color w:val="auto"/>
              </w:rPr>
              <w:t>(13,321)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80" w:type="dxa"/>
            <w:vAlign w:val="bottom"/>
            <w:gridSpan w:val="2"/>
          </w:tcPr>
          <w:p>
            <w:pPr>
              <w:ind w:left="124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340" w:type="dxa"/>
            <w:vAlign w:val="bottom"/>
          </w:tcPr>
          <w:p>
            <w:pPr>
              <w:jc w:val="center"/>
              <w:ind w:left="843"/>
              <w:spacing w:after="0"/>
              <w:rPr>
                <w:sz w:val="20"/>
                <w:szCs w:val="20"/>
                <w:color w:val="auto"/>
              </w:rPr>
            </w:pPr>
            <w:r>
              <w:rPr>
                <w:rFonts w:ascii="Times New Roman" w:cs="Times New Roman" w:eastAsia="Times New Roman" w:hAnsi="Times New Roman"/>
                <w:sz w:val="11"/>
                <w:szCs w:val="11"/>
                <w:color w:val="auto"/>
              </w:rPr>
              <w:t>(12,341)</w:t>
            </w:r>
          </w:p>
        </w:tc>
        <w:tc>
          <w:tcPr>
            <w:tcW w:w="0" w:type="dxa"/>
            <w:vAlign w:val="bottom"/>
          </w:tcPr>
          <w:p>
            <w:pPr>
              <w:spacing w:after="0"/>
              <w:rPr>
                <w:sz w:val="1"/>
                <w:szCs w:val="1"/>
                <w:color w:val="auto"/>
              </w:rPr>
            </w:pPr>
          </w:p>
        </w:tc>
      </w:tr>
      <w:tr>
        <w:trPr>
          <w:trHeight w:val="157"/>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jc w:val="center"/>
              <w:ind w:left="883"/>
              <w:spacing w:after="0"/>
              <w:rPr>
                <w:sz w:val="20"/>
                <w:szCs w:val="20"/>
                <w:color w:val="auto"/>
              </w:rPr>
            </w:pPr>
            <w:r>
              <w:rPr>
                <w:rFonts w:ascii="Times New Roman" w:cs="Times New Roman" w:eastAsia="Times New Roman" w:hAnsi="Times New Roman"/>
                <w:sz w:val="11"/>
                <w:szCs w:val="11"/>
                <w:color w:val="auto"/>
              </w:rPr>
              <w:t>31,604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top w:val="single" w:sz="8" w:color="auto"/>
              <w:bottom w:val="single" w:sz="8" w:color="auto"/>
            </w:tcBorders>
            <w:shd w:val="clear" w:color="auto" w:fill="CCEEFF"/>
          </w:tcPr>
          <w:p>
            <w:pPr>
              <w:jc w:val="center"/>
              <w:ind w:left="863"/>
              <w:spacing w:after="0"/>
              <w:rPr>
                <w:sz w:val="20"/>
                <w:szCs w:val="20"/>
                <w:color w:val="auto"/>
              </w:rPr>
            </w:pPr>
            <w:r>
              <w:rPr>
                <w:rFonts w:ascii="Times New Roman" w:cs="Times New Roman" w:eastAsia="Times New Roman" w:hAnsi="Times New Roman"/>
                <w:sz w:val="11"/>
                <w:szCs w:val="11"/>
                <w:color w:val="auto"/>
                <w:w w:val="99"/>
              </w:rPr>
              <w:t>24,750</w:t>
            </w:r>
          </w:p>
        </w:tc>
        <w:tc>
          <w:tcPr>
            <w:tcW w:w="0" w:type="dxa"/>
            <w:vAlign w:val="bottom"/>
          </w:tcPr>
          <w:p>
            <w:pPr>
              <w:spacing w:after="0"/>
              <w:rPr>
                <w:sz w:val="1"/>
                <w:szCs w:val="1"/>
                <w:color w:val="auto"/>
              </w:rPr>
            </w:pPr>
          </w:p>
        </w:tc>
      </w:tr>
    </w:tbl>
    <w:p>
      <w:pPr>
        <w:ind w:left="880" w:hanging="150"/>
        <w:spacing w:after="0"/>
        <w:tabs>
          <w:tab w:leader="none" w:pos="880" w:val="left"/>
        </w:tabs>
        <w:numPr>
          <w:ilvl w:val="1"/>
          <w:numId w:val="1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Amounts reclassified from AOCI to income are included within Financing interest expense on long-term borrowings on the Consolidated Statements of Comprehensive Income.</w:t>
      </w:r>
    </w:p>
    <w:p>
      <w:pPr>
        <w:spacing w:after="0" w:line="356" w:lineRule="exact"/>
        <w:rPr>
          <w:rFonts w:ascii="Times New Roman" w:cs="Times New Roman" w:eastAsia="Times New Roman" w:hAnsi="Times New Roman"/>
          <w:sz w:val="10"/>
          <w:szCs w:val="10"/>
          <w:color w:val="auto"/>
        </w:rPr>
      </w:pPr>
    </w:p>
    <w:p>
      <w:pPr>
        <w:ind w:left="220" w:hanging="215"/>
        <w:spacing w:after="0"/>
        <w:tabs>
          <w:tab w:leader="none" w:pos="22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2832735</wp:posOffset>
            </wp:positionH>
            <wp:positionV relativeFrom="paragraph">
              <wp:posOffset>-394335</wp:posOffset>
            </wp:positionV>
            <wp:extent cx="388048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80485" cy="6985"/>
                    </a:xfrm>
                    <a:prstGeom prst="rect">
                      <a:avLst/>
                    </a:prstGeom>
                    <a:noFill/>
                  </pic:spPr>
                </pic:pic>
              </a:graphicData>
            </a:graphic>
          </wp:anchor>
        </w:drawing>
      </w:r>
    </w:p>
    <w:p>
      <w:pPr>
        <w:spacing w:after="0" w:line="18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Pursuant to the Amended and Restated 2015 Management Incentive Plan as described in Note 17 “Capital Structure”, and in connection with the IPO, non-qualified stock options to purchase shares of Class A Common Stock were granted, each of which vests in equal annual installments over a period of four years from grant date and expires not later than 10 years from the date of grant.</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activity related to stock options for the three months ended March 31, 2024 and 2023:</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Options Outstanding</w:t>
            </w:r>
          </w:p>
        </w:tc>
        <w:tc>
          <w:tcPr>
            <w:tcW w:w="16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823"/>
              <w:spacing w:after="0"/>
              <w:rPr>
                <w:sz w:val="20"/>
                <w:szCs w:val="20"/>
                <w:color w:val="auto"/>
              </w:rPr>
            </w:pPr>
            <w:r>
              <w:rPr>
                <w:rFonts w:ascii="Times New Roman" w:cs="Times New Roman" w:eastAsia="Times New Roman" w:hAnsi="Times New Roman"/>
                <w:sz w:val="11"/>
                <w:szCs w:val="11"/>
                <w:b w:val="1"/>
                <w:bCs w:val="1"/>
                <w:color w:val="auto"/>
              </w:rPr>
              <w:t>Options Exercisable</w:t>
            </w:r>
          </w:p>
        </w:tc>
        <w:tc>
          <w:tcPr>
            <w:tcW w:w="0" w:type="dxa"/>
            <w:vAlign w:val="bottom"/>
          </w:tcPr>
          <w:p>
            <w:pPr>
              <w:spacing w:after="0"/>
              <w:rPr>
                <w:sz w:val="1"/>
                <w:szCs w:val="1"/>
                <w:color w:val="auto"/>
              </w:rPr>
            </w:pPr>
          </w:p>
        </w:tc>
      </w:tr>
      <w:tr>
        <w:trPr>
          <w:trHeight w:val="106"/>
        </w:trPr>
        <w:tc>
          <w:tcPr>
            <w:tcW w:w="40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restart"/>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172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Weighted Average Remaining</w:t>
            </w: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tcPr>
          <w:p>
            <w:pPr>
              <w:jc w:val="center"/>
              <w:ind w:right="23"/>
              <w:spacing w:after="0" w:line="106" w:lineRule="exact"/>
              <w:rPr>
                <w:sz w:val="20"/>
                <w:szCs w:val="20"/>
                <w:color w:val="auto"/>
              </w:rPr>
            </w:pPr>
            <w:r>
              <w:rPr>
                <w:rFonts w:ascii="Times New Roman" w:cs="Times New Roman" w:eastAsia="Times New Roman" w:hAnsi="Times New Roman"/>
                <w:sz w:val="11"/>
                <w:szCs w:val="11"/>
                <w:b w:val="1"/>
                <w:bCs w:val="1"/>
                <w:color w:val="auto"/>
              </w:rPr>
              <w:t>Weighted Average Exercise</w:t>
            </w:r>
          </w:p>
        </w:tc>
        <w:tc>
          <w:tcPr>
            <w:tcW w:w="0" w:type="dxa"/>
            <w:vAlign w:val="bottom"/>
          </w:tcPr>
          <w:p>
            <w:pPr>
              <w:spacing w:after="0"/>
              <w:rPr>
                <w:sz w:val="1"/>
                <w:szCs w:val="1"/>
                <w:color w:val="auto"/>
              </w:rPr>
            </w:pPr>
          </w:p>
        </w:tc>
      </w:tr>
      <w:tr>
        <w:trPr>
          <w:trHeight w:val="117"/>
        </w:trPr>
        <w:tc>
          <w:tcPr>
            <w:tcW w:w="4040" w:type="dxa"/>
            <w:vAlign w:val="bottom"/>
          </w:tcPr>
          <w:p>
            <w:pPr>
              <w:spacing w:after="0"/>
              <w:rPr>
                <w:sz w:val="10"/>
                <w:szCs w:val="10"/>
                <w:color w:val="auto"/>
              </w:rPr>
            </w:pPr>
          </w:p>
        </w:tc>
        <w:tc>
          <w:tcPr>
            <w:tcW w:w="112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1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b w:val="1"/>
                <w:bCs w:val="1"/>
                <w:color w:val="auto"/>
              </w:rPr>
              <w:t>Number of Options</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jc w:val="center"/>
              <w:ind w:right="43"/>
              <w:spacing w:after="0" w:line="117" w:lineRule="exact"/>
              <w:rPr>
                <w:sz w:val="20"/>
                <w:szCs w:val="20"/>
                <w:color w:val="auto"/>
              </w:rPr>
            </w:pPr>
            <w:r>
              <w:rPr>
                <w:rFonts w:ascii="Times New Roman" w:cs="Times New Roman" w:eastAsia="Times New Roman" w:hAnsi="Times New Roman"/>
                <w:sz w:val="11"/>
                <w:szCs w:val="11"/>
                <w:b w:val="1"/>
                <w:bCs w:val="1"/>
                <w:color w:val="auto"/>
              </w:rPr>
              <w:t>Price</w:t>
            </w:r>
          </w:p>
        </w:tc>
        <w:tc>
          <w:tcPr>
            <w:tcW w:w="0" w:type="dxa"/>
            <w:vAlign w:val="bottom"/>
          </w:tcPr>
          <w:p>
            <w:pPr>
              <w:spacing w:after="0"/>
              <w:rPr>
                <w:sz w:val="1"/>
                <w:szCs w:val="1"/>
                <w:color w:val="auto"/>
              </w:rPr>
            </w:pPr>
          </w:p>
        </w:tc>
      </w:tr>
      <w:tr>
        <w:trPr>
          <w:trHeight w:val="154"/>
        </w:trPr>
        <w:tc>
          <w:tcPr>
            <w:tcW w:w="40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vMerge w:val="continue"/>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1"/>
                <w:szCs w:val="11"/>
                <w:b w:val="1"/>
                <w:bCs w:val="1"/>
                <w:color w:val="auto"/>
              </w:rPr>
              <w:t>Price Per Share</w:t>
            </w:r>
          </w:p>
        </w:tc>
        <w:tc>
          <w:tcPr>
            <w:tcW w:w="1720" w:type="dxa"/>
            <w:vAlign w:val="bottom"/>
            <w:tcBorders>
              <w:bottom w:val="single" w:sz="8" w:color="CCEEFF"/>
            </w:tcBorders>
            <w:gridSpan w:val="2"/>
          </w:tcPr>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Contractual Life</w:t>
            </w:r>
          </w:p>
        </w:tc>
        <w:tc>
          <w:tcPr>
            <w:tcW w:w="11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0" w:type="dxa"/>
            <w:vAlign w:val="bottom"/>
          </w:tcPr>
          <w:p>
            <w:pPr>
              <w:spacing w:after="0"/>
              <w:rPr>
                <w:sz w:val="1"/>
                <w:szCs w:val="1"/>
                <w:color w:val="auto"/>
              </w:rPr>
            </w:pPr>
          </w:p>
        </w:tc>
      </w:tr>
      <w:tr>
        <w:trPr>
          <w:trHeight w:val="155"/>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 December 31, 2022</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1,521,776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620" w:type="dxa"/>
            <w:vAlign w:val="bottom"/>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2.24</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1,521,776</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53"/>
        </w:trPr>
        <w:tc>
          <w:tcPr>
            <w:tcW w:w="4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Granted</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Exercised</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Forfeited or expired</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Borders>
              <w:bottom w:val="single" w:sz="8" w:color="CCEEFF"/>
            </w:tcBorders>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 March 31, 2023</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1,521,776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620" w:type="dxa"/>
            <w:vAlign w:val="bottom"/>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1.99</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1,521,776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70"/>
        </w:trPr>
        <w:tc>
          <w:tcPr>
            <w:tcW w:w="4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rPr>
              <w:t>At December 31, 2023</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1,511,776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620" w:type="dxa"/>
            <w:vAlign w:val="bottom"/>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1.24</w:t>
            </w: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1,511,776</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153"/>
        </w:trPr>
        <w:tc>
          <w:tcPr>
            <w:tcW w:w="40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Granted</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40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Exercised</w:t>
            </w: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gridSpan w:val="2"/>
            <w:shd w:val="clear" w:color="auto" w:fill="CCEEFF"/>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4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Forfeited or expired</w:t>
            </w: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720" w:type="dxa"/>
            <w:vAlign w:val="bottom"/>
            <w:tcBorders>
              <w:bottom w:val="single" w:sz="8" w:color="CCEEFF"/>
            </w:tcBorders>
            <w:gridSpan w:val="2"/>
          </w:tcPr>
          <w:p>
            <w:pPr>
              <w:jc w:val="center"/>
              <w:ind w:left="1243"/>
              <w:spacing w:after="0"/>
              <w:rPr>
                <w:sz w:val="20"/>
                <w:szCs w:val="20"/>
                <w:color w:val="auto"/>
              </w:rPr>
            </w:pPr>
            <w:r>
              <w:rPr>
                <w:rFonts w:ascii="Times New Roman" w:cs="Times New Roman" w:eastAsia="Times New Roman" w:hAnsi="Times New Roman"/>
                <w:sz w:val="11"/>
                <w:szCs w:val="11"/>
                <w:color w:val="auto"/>
                <w:w w:val="90"/>
              </w:rPr>
              <w:t>—</w:t>
            </w:r>
          </w:p>
        </w:tc>
        <w:tc>
          <w:tcPr>
            <w:tcW w:w="11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1"/>
        </w:trPr>
        <w:tc>
          <w:tcPr>
            <w:tcW w:w="4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At March 31, 2024</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1,511,776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1620" w:type="dxa"/>
            <w:vAlign w:val="bottom"/>
            <w:tcBorders>
              <w:bottom w:val="single" w:sz="8" w:color="CCEEFF"/>
            </w:tcBorders>
            <w:shd w:val="clear" w:color="auto" w:fill="CCEEFF"/>
          </w:tcPr>
          <w:p>
            <w:pPr>
              <w:jc w:val="center"/>
              <w:ind w:left="1323"/>
              <w:spacing w:after="0"/>
              <w:rPr>
                <w:sz w:val="20"/>
                <w:szCs w:val="20"/>
                <w:color w:val="auto"/>
              </w:rPr>
            </w:pPr>
            <w:r>
              <w:rPr>
                <w:rFonts w:ascii="Times New Roman" w:cs="Times New Roman" w:eastAsia="Times New Roman" w:hAnsi="Times New Roman"/>
                <w:sz w:val="11"/>
                <w:szCs w:val="11"/>
                <w:color w:val="auto"/>
              </w:rPr>
              <w:t>1.00</w:t>
            </w: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1,511,776</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19.00</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0"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The expected life was determined based on an average of vesting and contractual period. The risk-free interest rate was determined based on the yields available on U.S. Treasury zero-coupon issues. The expected stock price volatility was determined based on historical volatilities of comparable companies. The expected dividend yield was determined based on estimated future dividend payments divided by the IPO stock price.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7"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i w:val="1"/>
          <w:iCs w:val="1"/>
          <w:color w:val="auto"/>
        </w:rPr>
        <w:t>Class A Common Stock, Restricted Stock Units and Restricted Stock Awards</w:t>
      </w:r>
    </w:p>
    <w:p>
      <w:pPr>
        <w:spacing w:after="0" w:line="202" w:lineRule="exact"/>
        <w:rPr>
          <w:sz w:val="20"/>
          <w:szCs w:val="20"/>
          <w:color w:val="auto"/>
        </w:rPr>
      </w:pPr>
    </w:p>
    <w:p>
      <w:pPr>
        <w:ind w:right="80" w:firstLine="509"/>
        <w:spacing w:after="0" w:line="257" w:lineRule="auto"/>
        <w:rPr>
          <w:sz w:val="20"/>
          <w:szCs w:val="20"/>
          <w:color w:val="auto"/>
        </w:rPr>
      </w:pPr>
      <w:r>
        <w:rPr>
          <w:rFonts w:ascii="Times New Roman" w:cs="Times New Roman" w:eastAsia="Times New Roman" w:hAnsi="Times New Roman"/>
          <w:sz w:val="14"/>
          <w:szCs w:val="14"/>
          <w:color w:val="auto"/>
        </w:rPr>
        <w:t>Pursuant to the Amended and Restated 2015 Management Incentive Plan as described in Note 17 “Capital Structure”, subsequent to the IPO, shares of immediately vested Class A Common Stock, restricted stock units (“RSUs”) and restricted stock awards (“RSAs”) were granted, with RSUs and RSAs vesting over a period of up to 4 years. The fair value of the Class A Common Stock and RSUs was determined based on a volume weighted average price and the expense is recognized on a straight-line basis over the vesting period. The fair value of the RSAs was determined based on the closing price as of the date of grant and the expense is recognized from the date that achievement of the performance target becomes probable through the remainder of the vesting period. Performance targets are based on the Company's adjusted EBITDA for certain future periods. For the three months ended March 31, 2024 and 2023, respectively, there were 878,091 and 868,315 shares of immediately vested Class A Common Stock granted as part of year-end compensation. In addition, the Company accrued compensation expense of $4.9 million and $5.9 million for the three months ended March 31, 2024 and 2023, respectively, related to immediately vested Class A Common Stock expected to be awarded as part of year-end incentive compensation, which was included in Employee compensation and payroll taxes on the Condensed Consolidated Statements of Comprehensive Income and Accounts payable, accrued expenses and other liabilities on the Condensed Consolidated Statements of Financial Condition.</w:t>
      </w:r>
    </w:p>
    <w:p>
      <w:pPr>
        <w:spacing w:after="0" w:line="1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summarizes activity related to RSUs (including the Assumed Awards) and RSAs for the three months ended March 31, 2024 and 2023:</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64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RSUs and RSAs</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53"/>
        </w:trPr>
        <w:tc>
          <w:tcPr>
            <w:tcW w:w="864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Average Fair Value</w:t>
            </w:r>
          </w:p>
        </w:tc>
        <w:tc>
          <w:tcPr>
            <w:tcW w:w="0" w:type="dxa"/>
            <w:vAlign w:val="bottom"/>
          </w:tcPr>
          <w:p>
            <w:pPr>
              <w:spacing w:after="0"/>
              <w:rPr>
                <w:sz w:val="1"/>
                <w:szCs w:val="1"/>
                <w:color w:val="auto"/>
              </w:rPr>
            </w:pPr>
          </w:p>
        </w:tc>
      </w:tr>
      <w:tr>
        <w:trPr>
          <w:trHeight w:val="154"/>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3,954,833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28.13</w:t>
            </w:r>
          </w:p>
        </w:tc>
        <w:tc>
          <w:tcPr>
            <w:tcW w:w="0" w:type="dxa"/>
            <w:vAlign w:val="bottom"/>
          </w:tcPr>
          <w:p>
            <w:pPr>
              <w:spacing w:after="0"/>
              <w:rPr>
                <w:sz w:val="1"/>
                <w:szCs w:val="1"/>
                <w:color w:val="auto"/>
              </w:rPr>
            </w:pPr>
          </w:p>
        </w:tc>
      </w:tr>
      <w:tr>
        <w:trPr>
          <w:trHeight w:val="153"/>
        </w:trPr>
        <w:tc>
          <w:tcPr>
            <w:tcW w:w="8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Granted (1)</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3,440,682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19.41</w:t>
            </w:r>
          </w:p>
        </w:tc>
        <w:tc>
          <w:tcPr>
            <w:tcW w:w="0" w:type="dxa"/>
            <w:vAlign w:val="bottom"/>
          </w:tcPr>
          <w:p>
            <w:pPr>
              <w:spacing w:after="0"/>
              <w:rPr>
                <w:sz w:val="1"/>
                <w:szCs w:val="1"/>
                <w:color w:val="auto"/>
              </w:rPr>
            </w:pPr>
          </w:p>
        </w:tc>
      </w:tr>
      <w:tr>
        <w:trPr>
          <w:trHeight w:val="165"/>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(71,475)</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30.58</w:t>
            </w:r>
          </w:p>
        </w:tc>
        <w:tc>
          <w:tcPr>
            <w:tcW w:w="0" w:type="dxa"/>
            <w:vAlign w:val="bottom"/>
          </w:tcPr>
          <w:p>
            <w:pPr>
              <w:spacing w:after="0"/>
              <w:rPr>
                <w:sz w:val="1"/>
                <w:szCs w:val="1"/>
                <w:color w:val="auto"/>
              </w:rPr>
            </w:pPr>
          </w:p>
        </w:tc>
      </w:tr>
      <w:tr>
        <w:trPr>
          <w:trHeight w:val="153"/>
        </w:trPr>
        <w:tc>
          <w:tcPr>
            <w:tcW w:w="8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(2,393,550)</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21.60</w:t>
            </w:r>
          </w:p>
        </w:tc>
        <w:tc>
          <w:tcPr>
            <w:tcW w:w="0" w:type="dxa"/>
            <w:vAlign w:val="bottom"/>
          </w:tcPr>
          <w:p>
            <w:pPr>
              <w:spacing w:after="0"/>
              <w:rPr>
                <w:sz w:val="1"/>
                <w:szCs w:val="1"/>
                <w:color w:val="auto"/>
              </w:rPr>
            </w:pPr>
          </w:p>
        </w:tc>
      </w:tr>
      <w:tr>
        <w:trPr>
          <w:trHeight w:val="181"/>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March 31, 2023</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4,930,490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25.18</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86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December 31, 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4,903,174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23.90</w:t>
            </w:r>
          </w:p>
        </w:tc>
        <w:tc>
          <w:tcPr>
            <w:tcW w:w="0" w:type="dxa"/>
            <w:vAlign w:val="bottom"/>
          </w:tcPr>
          <w:p>
            <w:pPr>
              <w:spacing w:after="0"/>
              <w:rPr>
                <w:sz w:val="1"/>
                <w:szCs w:val="1"/>
                <w:color w:val="auto"/>
              </w:rPr>
            </w:pPr>
          </w:p>
        </w:tc>
      </w:tr>
      <w:tr>
        <w:trPr>
          <w:trHeight w:val="153"/>
        </w:trPr>
        <w:tc>
          <w:tcPr>
            <w:tcW w:w="86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Granted (1)</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2,492,452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16.98</w:t>
            </w:r>
          </w:p>
        </w:tc>
        <w:tc>
          <w:tcPr>
            <w:tcW w:w="0" w:type="dxa"/>
            <w:vAlign w:val="bottom"/>
          </w:tcPr>
          <w:p>
            <w:pPr>
              <w:spacing w:after="0"/>
              <w:rPr>
                <w:sz w:val="1"/>
                <w:szCs w:val="1"/>
                <w:color w:val="auto"/>
              </w:rPr>
            </w:pPr>
          </w:p>
        </w:tc>
      </w:tr>
      <w:tr>
        <w:trPr>
          <w:trHeight w:val="165"/>
        </w:trPr>
        <w:tc>
          <w:tcPr>
            <w:tcW w:w="8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Forfeited</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(68,049)</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23.76</w:t>
            </w:r>
          </w:p>
        </w:tc>
        <w:tc>
          <w:tcPr>
            <w:tcW w:w="0" w:type="dxa"/>
            <w:vAlign w:val="bottom"/>
          </w:tcPr>
          <w:p>
            <w:pPr>
              <w:spacing w:after="0"/>
              <w:rPr>
                <w:sz w:val="1"/>
                <w:szCs w:val="1"/>
                <w:color w:val="auto"/>
              </w:rPr>
            </w:pPr>
          </w:p>
        </w:tc>
      </w:tr>
      <w:tr>
        <w:trPr>
          <w:trHeight w:val="153"/>
        </w:trPr>
        <w:tc>
          <w:tcPr>
            <w:tcW w:w="8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1"/>
                <w:szCs w:val="11"/>
                <w:color w:val="auto"/>
              </w:rPr>
              <w:t>Vested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(2,596,226)</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1"/>
                <w:szCs w:val="11"/>
                <w:color w:val="auto"/>
              </w:rPr>
              <w:t>19.79</w:t>
            </w:r>
          </w:p>
        </w:tc>
        <w:tc>
          <w:tcPr>
            <w:tcW w:w="0" w:type="dxa"/>
            <w:vAlign w:val="bottom"/>
          </w:tcPr>
          <w:p>
            <w:pPr>
              <w:spacing w:after="0"/>
              <w:rPr>
                <w:sz w:val="1"/>
                <w:szCs w:val="1"/>
                <w:color w:val="auto"/>
              </w:rPr>
            </w:pPr>
          </w:p>
        </w:tc>
      </w:tr>
      <w:tr>
        <w:trPr>
          <w:trHeight w:val="157"/>
        </w:trPr>
        <w:tc>
          <w:tcPr>
            <w:tcW w:w="8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 March 31, 2024</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4,731,351</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22.51</w:t>
            </w:r>
          </w:p>
        </w:tc>
        <w:tc>
          <w:tcPr>
            <w:tcW w:w="0" w:type="dxa"/>
            <w:vAlign w:val="bottom"/>
          </w:tcPr>
          <w:p>
            <w:pPr>
              <w:spacing w:after="0"/>
              <w:rPr>
                <w:sz w:val="1"/>
                <w:szCs w:val="1"/>
                <w:color w:val="auto"/>
              </w:rPr>
            </w:pPr>
          </w:p>
        </w:tc>
      </w:tr>
    </w:tbl>
    <w:p>
      <w:pPr>
        <w:ind w:left="20"/>
        <w:spacing w:after="0"/>
        <w:rPr>
          <w:sz w:val="20"/>
          <w:szCs w:val="20"/>
          <w:color w:val="auto"/>
        </w:rPr>
      </w:pPr>
      <w:r>
        <w:rPr>
          <w:rFonts w:ascii="Times New Roman" w:cs="Times New Roman" w:eastAsia="Times New Roman" w:hAnsi="Times New Roman"/>
          <w:sz w:val="10"/>
          <w:szCs w:val="10"/>
          <w:color w:val="auto"/>
        </w:rPr>
        <w:t>(1) Excluded in the number of RSUs and RSAs are 487,500 and 37,500 participating RSAs for March 31, 2024 and 2023, respectively, where the grant date has not been achieved because the performance conditions have not been met.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5487035</wp:posOffset>
            </wp:positionH>
            <wp:positionV relativeFrom="paragraph">
              <wp:posOffset>-65405</wp:posOffset>
            </wp:positionV>
            <wp:extent cx="875665"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75665" cy="6985"/>
                    </a:xfrm>
                    <a:prstGeom prst="rect">
                      <a:avLst/>
                    </a:prstGeom>
                    <a:noFill/>
                  </pic:spPr>
                </pic:pic>
              </a:graphicData>
            </a:graphic>
          </wp:anchor>
        </w:drawing>
      </w:r>
    </w:p>
    <w:p>
      <w:pPr>
        <w:spacing w:after="0" w:line="264"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The Company recognized $10.2 million and $10.1 million for the three months ended March 31, 2024 and 2023, respectively, of compensation expense in relation to RSUs. As of March 31, 2024 and December 31, 2023, total unrecognized share-based compensation expense related to unvested RSUs was $67.0 million and $55.2 million, respectively, and this amount is to be recognized over a weighted average period of 1.4 years and 0.9 years, respectively. Awards in which the specific performance conditions have not been met are not included in unrecognized share-based compensation expense.</w:t>
      </w:r>
    </w:p>
    <w:p>
      <w:pPr>
        <w:spacing w:after="0" w:line="162"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On November 13, 2020, the Company adopted the Virtu Financial, Inc. Deferred Compensation Plan (the “DCP”). The DCP permits eligible executive officers and other employees to defer cash or equity-based compensation beginning in the calendar year ending December 31, 2021, subject to certain limitations and restrictions. Deferrals of cash compensation may also be directed to notional investments in certain of the employee investment opportunities.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19. Regulatory Requirement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 Subsidiary</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Company's U.S. broker-dealer subsidiaries VAL and RFQ-Hub Americas LLC (“RAL”), are subject to the SEC Uniform Net Capital Rule 15c3-1, which requires the maintenance of minimum net capital as detailed in the table below. RAL became a U.S. broker-dealer in June 2023. Pursuant to New York Stock Exchange (“NYSE”) rules, VAL was also required to maintain $1.0 million of capital in connection with the operation of its designated market maker (“DMM”) business as of March 31, 2024. The required amount is determined under the exchange rules as the greater of (i) $1.0 million or (ii) $75,000 for every 0.1% of NYSE transaction dollar volume in each of the securities for which the Company is registered as the DMM.</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19" w:right="319" w:bottom="1440" w:gutter="0" w:footer="0" w:header="0"/>
        </w:sectPr>
      </w:pPr>
    </w:p>
    <w:bookmarkStart w:id="39" w:name="page40"/>
    <w:bookmarkEnd w:id="39"/>
    <w:p>
      <w:pPr>
        <w:ind w:left="520"/>
        <w:spacing w:after="0"/>
        <w:rPr>
          <w:sz w:val="20"/>
          <w:szCs w:val="20"/>
          <w:color w:val="auto"/>
        </w:rPr>
      </w:pPr>
      <w:r>
        <w:rPr>
          <w:rFonts w:ascii="Times New Roman" w:cs="Times New Roman" w:eastAsia="Times New Roman" w:hAnsi="Times New Roman"/>
          <w:sz w:val="14"/>
          <w:szCs w:val="14"/>
          <w:color w:val="auto"/>
        </w:rPr>
        <w:t>The regulatory capital and regulatory capital requirements of the Company's U.S. subsidiaries as of March 31, 2024 was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Virtu Americas LLC</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386,622</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384,952</w:t>
            </w:r>
          </w:p>
        </w:tc>
      </w:tr>
      <w:tr>
        <w:trPr>
          <w:trHeight w:val="147"/>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RFQ-Hub Americas LLC</w:t>
            </w:r>
          </w:p>
        </w:tc>
        <w:tc>
          <w:tcPr>
            <w:tcW w:w="20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1,235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1,216</w:t>
            </w:r>
          </w:p>
        </w:tc>
      </w:tr>
    </w:tbl>
    <w:p>
      <w:pPr>
        <w:spacing w:after="0" w:line="303"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color w:val="auto"/>
        </w:rPr>
        <w:t xml:space="preserve">As of March 31, 2024, VAL had $23.4 million of cash in special reserve bank accounts for the benefit of customers pursuant to SEC Rule 15c3-3, </w:t>
      </w:r>
      <w:r>
        <w:rPr>
          <w:rFonts w:ascii="Times New Roman" w:cs="Times New Roman" w:eastAsia="Times New Roman" w:hAnsi="Times New Roman"/>
          <w:sz w:val="14"/>
          <w:szCs w:val="14"/>
          <w:i w:val="1"/>
          <w:iCs w:val="1"/>
          <w:color w:val="auto"/>
        </w:rPr>
        <w:t>Computation for Determination of Reserve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Requirements, </w:t>
      </w:r>
      <w:r>
        <w:rPr>
          <w:rFonts w:ascii="Times New Roman" w:cs="Times New Roman" w:eastAsia="Times New Roman" w:hAnsi="Times New Roman"/>
          <w:sz w:val="14"/>
          <w:szCs w:val="14"/>
          <w:color w:val="auto"/>
        </w:rPr>
        <w:t>and $6.2 million of cash in reserve bank accounts for the benefit of proprietary accounts of brokers. The balances are included within Cash restricted or segregated under regulations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other on the Condensed Consolidated Statements of Financial Condition.</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regulatory capital and regulatory capital requirements of the Company's U.S. subsidiaries as of December 31, 2023 was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Virtu Americas LLC</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412,626</w:t>
            </w:r>
          </w:p>
        </w:tc>
        <w:tc>
          <w:tcPr>
            <w:tcW w:w="100" w:type="dxa"/>
            <w:vAlign w:val="bottom"/>
            <w:tcBorders>
              <w:top w:val="single" w:sz="8" w:color="CCEEFF"/>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1,000</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411,626</w:t>
            </w:r>
          </w:p>
        </w:tc>
      </w:tr>
      <w:tr>
        <w:trPr>
          <w:trHeight w:val="147"/>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RFQ-Hub Americas LLC</w:t>
            </w:r>
          </w:p>
        </w:tc>
        <w:tc>
          <w:tcPr>
            <w:tcW w:w="200" w:type="dxa"/>
            <w:vAlign w:val="bottom"/>
          </w:tcPr>
          <w:p>
            <w:pPr>
              <w:spacing w:after="0"/>
              <w:rPr>
                <w:sz w:val="12"/>
                <w:szCs w:val="12"/>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1,425</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1,410</w:t>
            </w:r>
          </w:p>
        </w:tc>
      </w:tr>
    </w:tbl>
    <w:p>
      <w:pPr>
        <w:spacing w:after="0" w:line="272" w:lineRule="exact"/>
        <w:rPr>
          <w:sz w:val="20"/>
          <w:szCs w:val="20"/>
          <w:color w:val="auto"/>
        </w:rPr>
      </w:pPr>
    </w:p>
    <w:p>
      <w:pPr>
        <w:ind w:right="260" w:firstLine="509"/>
        <w:spacing w:after="0" w:line="290" w:lineRule="auto"/>
        <w:rPr>
          <w:sz w:val="20"/>
          <w:szCs w:val="20"/>
          <w:color w:val="auto"/>
        </w:rPr>
      </w:pPr>
      <w:r>
        <w:rPr>
          <w:rFonts w:ascii="Times New Roman" w:cs="Times New Roman" w:eastAsia="Times New Roman" w:hAnsi="Times New Roman"/>
          <w:sz w:val="14"/>
          <w:szCs w:val="14"/>
          <w:color w:val="auto"/>
        </w:rPr>
        <w:t xml:space="preserve">As of December 31, 2023, VAL had $28.7 million of cash in special reserve bank accounts for the benefit of customers pursuant to SEC Rule 15c3-3, </w:t>
      </w:r>
      <w:r>
        <w:rPr>
          <w:rFonts w:ascii="Times New Roman" w:cs="Times New Roman" w:eastAsia="Times New Roman" w:hAnsi="Times New Roman"/>
          <w:sz w:val="14"/>
          <w:szCs w:val="14"/>
          <w:i w:val="1"/>
          <w:iCs w:val="1"/>
          <w:color w:val="auto"/>
        </w:rPr>
        <w:t>Computation for Determination of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Reserve Requirements, </w:t>
      </w:r>
      <w:r>
        <w:rPr>
          <w:rFonts w:ascii="Times New Roman" w:cs="Times New Roman" w:eastAsia="Times New Roman" w:hAnsi="Times New Roman"/>
          <w:sz w:val="14"/>
          <w:szCs w:val="14"/>
          <w:color w:val="auto"/>
        </w:rPr>
        <w:t>and $6.1 million of cash in reserve bank accounts for the benefit of proprietary accounts of brokers.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Foreign Subsidiaries</w:t>
      </w:r>
    </w:p>
    <w:p>
      <w:pPr>
        <w:spacing w:after="0" w:line="19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4"/>
          <w:szCs w:val="14"/>
          <w:color w:val="auto"/>
        </w:rPr>
        <w:t>The Company’s foreign subsidiaries are subject to regulatory capital requirements set by local regulatory bodies, including the Canadian Investment Regulatory Organization (“CIRO”), the Central Bank of Ireland (“CBI”), the Financial Conduct Authority (“FCA”) in the United Kingdom, the Australian Securities and Investments Commission (“ASIC”), the Securities and Futures Commission in Hong Kong (“SFC”), and the Monetary Authority of Singapore (“MAS”).</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regulatory net capital balances and regulatory capital requirements applicable to the Company's foreign subsidiaries as of March 31, 2024 were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Canada</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Canada Corp (1)</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13,049</w:t>
            </w:r>
          </w:p>
        </w:tc>
        <w:tc>
          <w:tcPr>
            <w:tcW w:w="100" w:type="dxa"/>
            <w:vAlign w:val="bottom"/>
          </w:tcPr>
          <w:p>
            <w:pPr>
              <w:spacing w:after="0"/>
              <w:rPr>
                <w:sz w:val="13"/>
                <w:szCs w:val="13"/>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12,864</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Financial Canada ULC</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1,002</w:t>
            </w:r>
          </w:p>
        </w:tc>
      </w:tr>
      <w:tr>
        <w:trPr>
          <w:trHeight w:val="154"/>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Ireland</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4"/>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Europe Trading Limited (1)</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112,345</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26,637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85,708</w:t>
            </w: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Financial Ireland Limited (1)</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86,933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39,547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47,386</w:t>
            </w:r>
          </w:p>
        </w:tc>
      </w:tr>
      <w:tr>
        <w:trPr>
          <w:trHeight w:val="16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United Kingdom</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UK Limited (1)</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2,023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947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1,076</w:t>
            </w:r>
          </w:p>
        </w:tc>
      </w:tr>
      <w:tr>
        <w:trPr>
          <w:trHeight w:val="16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Australia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24,133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15,287</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ITG Hong Kong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3,107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2,724</w:t>
            </w: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Singapore Pte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897</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786</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Financial Singapore Pte. Ltd.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184,176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95,464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88,712</w:t>
            </w:r>
          </w:p>
        </w:tc>
      </w:tr>
      <w:tr>
        <w:trPr>
          <w:trHeight w:val="128"/>
        </w:trPr>
        <w:tc>
          <w:tcPr>
            <w:tcW w:w="57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(1) Preliminary</w:t>
            </w:r>
          </w:p>
        </w:tc>
        <w:tc>
          <w:tcPr>
            <w:tcW w:w="2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tcPr>
          <w:p>
            <w:pPr>
              <w:spacing w:after="0"/>
              <w:rPr>
                <w:sz w:val="11"/>
                <w:szCs w:val="11"/>
                <w:color w:val="auto"/>
              </w:rPr>
            </w:pPr>
          </w:p>
        </w:tc>
      </w:tr>
    </w:tbl>
    <w:p>
      <w:pPr>
        <w:spacing w:after="0" w:line="80"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As of March 31, 2024, Virtu Europe Trading Limited had $40 thousand of segregated funds on deposit for trade clearing and settlement activity, and Virtu ITG Hong Kong Ltd. had $30 thousand of segregated balances under a collateral account control agreement for the benefit of certain customers.</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920" w:right="379" w:bottom="1440" w:gutter="0" w:footer="0" w:header="0"/>
        </w:sectPr>
      </w:pPr>
    </w:p>
    <w:bookmarkStart w:id="40" w:name="page41"/>
    <w:bookmarkEnd w:id="40"/>
    <w:p>
      <w:pPr>
        <w:ind w:left="520"/>
        <w:spacing w:after="0"/>
        <w:rPr>
          <w:sz w:val="20"/>
          <w:szCs w:val="20"/>
          <w:color w:val="auto"/>
        </w:rPr>
      </w:pPr>
      <w:r>
        <w:rPr>
          <w:rFonts w:ascii="Times New Roman" w:cs="Times New Roman" w:eastAsia="Times New Roman" w:hAnsi="Times New Roman"/>
          <w:sz w:val="14"/>
          <w:szCs w:val="14"/>
          <w:color w:val="auto"/>
        </w:rPr>
        <w:t>The regulatory net capital balances and regulatory capital requirements applicable to the Company's foreign subsidiaries as of December 31, 2023 were as follows:</w:t>
      </w:r>
    </w:p>
    <w:p>
      <w:pPr>
        <w:spacing w:after="0" w:line="36"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Pr>
          <w:p>
            <w:pPr>
              <w:spacing w:after="0"/>
              <w:rPr>
                <w:sz w:val="13"/>
                <w:szCs w:val="13"/>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Regulatory Capital</w:t>
            </w: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Regulatory Capital Requirement</w:t>
            </w:r>
          </w:p>
        </w:tc>
        <w:tc>
          <w:tcPr>
            <w:tcW w:w="120" w:type="dxa"/>
            <w:vAlign w:val="bottom"/>
          </w:tcPr>
          <w:p>
            <w:pPr>
              <w:spacing w:after="0"/>
              <w:rPr>
                <w:sz w:val="13"/>
                <w:szCs w:val="13"/>
                <w:color w:val="auto"/>
              </w:rPr>
            </w:pPr>
          </w:p>
        </w:tc>
        <w:tc>
          <w:tcPr>
            <w:tcW w:w="1540" w:type="dxa"/>
            <w:vAlign w:val="bottom"/>
          </w:tcPr>
          <w:p>
            <w:pPr>
              <w:jc w:val="right"/>
              <w:ind w:right="143"/>
              <w:spacing w:after="0"/>
              <w:rPr>
                <w:sz w:val="20"/>
                <w:szCs w:val="20"/>
                <w:color w:val="auto"/>
              </w:rPr>
            </w:pPr>
            <w:r>
              <w:rPr>
                <w:rFonts w:ascii="Times New Roman" w:cs="Times New Roman" w:eastAsia="Times New Roman" w:hAnsi="Times New Roman"/>
                <w:sz w:val="11"/>
                <w:szCs w:val="11"/>
                <w:b w:val="1"/>
                <w:bCs w:val="1"/>
                <w:color w:val="auto"/>
              </w:rPr>
              <w:t>Excess Regulatory Capital</w:t>
            </w:r>
          </w:p>
        </w:tc>
      </w:tr>
      <w:tr>
        <w:trPr>
          <w:trHeight w:val="159"/>
        </w:trPr>
        <w:tc>
          <w:tcPr>
            <w:tcW w:w="5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Canada</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540" w:type="dxa"/>
            <w:vAlign w:val="bottom"/>
            <w:tcBorders>
              <w:top w:val="single" w:sz="8" w:color="auto"/>
            </w:tcBorders>
            <w:shd w:val="clear" w:color="auto" w:fill="CCEEFF"/>
          </w:tcPr>
          <w:p>
            <w:pPr>
              <w:spacing w:after="0"/>
              <w:rPr>
                <w:sz w:val="13"/>
                <w:szCs w:val="13"/>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Canada Corp</w:t>
            </w:r>
          </w:p>
        </w:tc>
        <w:tc>
          <w:tcPr>
            <w:tcW w:w="2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14,630</w:t>
            </w:r>
          </w:p>
        </w:tc>
        <w:tc>
          <w:tcPr>
            <w:tcW w:w="100" w:type="dxa"/>
            <w:vAlign w:val="bottom"/>
          </w:tcPr>
          <w:p>
            <w:pPr>
              <w:spacing w:after="0"/>
              <w:rPr>
                <w:sz w:val="13"/>
                <w:szCs w:val="13"/>
                <w:color w:val="auto"/>
              </w:rPr>
            </w:pPr>
          </w:p>
        </w:tc>
        <w:tc>
          <w:tcPr>
            <w:tcW w:w="680" w:type="dxa"/>
            <w:vAlign w:val="bottom"/>
          </w:tcPr>
          <w:p>
            <w:pPr>
              <w:jc w:val="right"/>
              <w:ind w:right="5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tcPr>
          <w:p>
            <w:pPr>
              <w:spacing w:after="0"/>
              <w:rPr>
                <w:sz w:val="13"/>
                <w:szCs w:val="13"/>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14,441</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Financial Canada ULC</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1,197</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189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1,008</w:t>
            </w:r>
          </w:p>
        </w:tc>
      </w:tr>
      <w:tr>
        <w:trPr>
          <w:trHeight w:val="154"/>
        </w:trPr>
        <w:tc>
          <w:tcPr>
            <w:tcW w:w="57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Ireland</w:t>
            </w: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4"/>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Europe Trading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86,370</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27,821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58,549</w:t>
            </w: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Financial Ireland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88,939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40,459</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48,480</w:t>
            </w:r>
          </w:p>
        </w:tc>
      </w:tr>
      <w:tr>
        <w:trPr>
          <w:trHeight w:val="16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United Kingdom</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UK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2,040</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955</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1,085</w:t>
            </w:r>
          </w:p>
        </w:tc>
      </w:tr>
      <w:tr>
        <w:trPr>
          <w:trHeight w:val="165"/>
        </w:trPr>
        <w:tc>
          <w:tcPr>
            <w:tcW w:w="5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Asia Pacific</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Australia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24,788</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3,856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20,932</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ITG Hong Kong Limited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2,786</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2,341</w:t>
            </w:r>
          </w:p>
        </w:tc>
      </w:tr>
      <w:tr>
        <w:trPr>
          <w:trHeight w:val="153"/>
        </w:trPr>
        <w:tc>
          <w:tcPr>
            <w:tcW w:w="572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Virtu ITG Singapore Pte Limited</w:t>
            </w: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953</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823</w:t>
            </w:r>
          </w:p>
        </w:tc>
      </w:tr>
      <w:tr>
        <w:trPr>
          <w:trHeight w:val="165"/>
        </w:trPr>
        <w:tc>
          <w:tcPr>
            <w:tcW w:w="57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Virtu Financial Singapore Pte. Ltd.</w:t>
            </w: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126,022</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73,407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52,615</w:t>
            </w:r>
          </w:p>
        </w:tc>
      </w:tr>
    </w:tbl>
    <w:p>
      <w:pPr>
        <w:spacing w:after="0" w:line="261"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As of December 31, 2023, Virtu Europe Trading Limited had $36 thousand of segregated funds on deposit for trade clearing and settlement activity, and Virtu ITG Hong Kong Ltd had $30 thousand of segregated balances under a collateral account control agreement for the benefit of certain customers.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 Geographic Information and Business Segments</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The Company operates its business in the U.S. and internationally, primarily in Europe and Asia. Significant transactions and balances between geographic regions occur primarily as a result of certain of the Company’s subsidiaries incurring operating expenses such as employee compensation, communications and data processing and other overhead costs, for the purpose of providing execution, clearing and other support services to affiliates. Charges for transactions between regions are designed to approximate full costs. Intra-region income and expenses and related balances have been eliminated in the geographic information presented below to accurately reflect the external business conducted in each geographical region. The revenues are attributed to countries based on the locations of the subsidiaries. The following table presents total revenues by geographic area for the three months ended March 31, 2024 and 2023</w:t>
      </w:r>
      <w:r>
        <w:rPr>
          <w:rFonts w:ascii="Times New Roman" w:cs="Times New Roman" w:eastAsia="Times New Roman" w:hAnsi="Times New Roman"/>
          <w:sz w:val="12"/>
          <w:szCs w:val="12"/>
          <w:color w:val="auto"/>
        </w:rPr>
        <w:t>:</w:t>
      </w:r>
    </w:p>
    <w:p>
      <w:pPr>
        <w:spacing w:after="0" w:line="139" w:lineRule="exact"/>
        <w:rPr>
          <w:sz w:val="20"/>
          <w:szCs w:val="20"/>
          <w:color w:val="auto"/>
        </w:rPr>
      </w:pPr>
    </w:p>
    <w:tbl>
      <w:tblPr>
        <w:tblLayout w:type="fixed"/>
        <w:tblInd w:w="192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4"/>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446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3"/>
                <w:szCs w:val="13"/>
                <w:color w:val="auto"/>
              </w:rPr>
            </w:pPr>
          </w:p>
        </w:tc>
        <w:tc>
          <w:tcPr>
            <w:tcW w:w="11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r>
      <w:tr>
        <w:trPr>
          <w:trHeight w:val="153"/>
        </w:trPr>
        <w:tc>
          <w:tcPr>
            <w:tcW w:w="446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United States</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522,069</w:t>
            </w:r>
          </w:p>
        </w:tc>
        <w:tc>
          <w:tcPr>
            <w:tcW w:w="120" w:type="dxa"/>
            <w:vAlign w:val="bottom"/>
          </w:tcPr>
          <w:p>
            <w:pPr>
              <w:spacing w:after="0"/>
              <w:rPr>
                <w:sz w:val="13"/>
                <w:szCs w:val="13"/>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522,629</w:t>
            </w:r>
          </w:p>
        </w:tc>
      </w:tr>
      <w:tr>
        <w:trPr>
          <w:trHeight w:val="165"/>
        </w:trPr>
        <w:tc>
          <w:tcPr>
            <w:tcW w:w="4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Ireland</w:t>
            </w: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63,018</w:t>
            </w: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53,959</w:t>
            </w:r>
          </w:p>
        </w:tc>
      </w:tr>
      <w:tr>
        <w:trPr>
          <w:trHeight w:val="153"/>
        </w:trPr>
        <w:tc>
          <w:tcPr>
            <w:tcW w:w="44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1"/>
                <w:szCs w:val="11"/>
                <w:color w:val="auto"/>
              </w:rPr>
              <w:t>Others</w:t>
            </w: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57,752</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43,792</w:t>
            </w:r>
          </w:p>
        </w:tc>
      </w:tr>
      <w:tr>
        <w:trPr>
          <w:trHeight w:val="181"/>
        </w:trPr>
        <w:tc>
          <w:tcPr>
            <w:tcW w:w="44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Total revenues</w:t>
            </w: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642,839</w:t>
            </w: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620,380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Company has two operating segments: (i) Market Making and (ii) Execution Services; and one non-operating segment: Corporate.</w:t>
      </w:r>
    </w:p>
    <w:p>
      <w:pPr>
        <w:spacing w:after="0" w:line="200"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4"/>
          <w:szCs w:val="14"/>
          <w:color w:val="auto"/>
        </w:rPr>
        <w:t>The Market Making segment principally consists of market making in the cash, futures, and options markets across global equities, fixed income, currencies, and commodities. As a market maker, the Company commits capital on a principal basis by offering to buy securities from, or sell securities to, broker-dealers, banks and institutions. The Company engages in principal trading in the Market Making segment direct to clients as well as in a supplemental capacity on exchanges, Electronic Communications Networks (“ECNs”) and alternative trading systems (“ATSs”). The Company is an active participant on all major global equity and futures exchanges and also trades on substantially all domestic electronic options exchanges. As a complement to electronic market making, the cash trading business handles specialized orders and also transacts on the OTC Link ATS operated by OTC Markets Group Inc.</w:t>
      </w:r>
    </w:p>
    <w:p>
      <w:pPr>
        <w:spacing w:after="0" w:line="164"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Execution Services segment comprises client-based trading and trading venues, offering execution services in global equities, options, futures and fixed income on behalf of institutions, banks and broker-dealers. The Company earns commissions and commission equivalents as an agent on behalf of clients as well as between principals to transactions; in addition, the Company will commit capital on behalf of clients as needed. Client-based, execution-only trading in the segment</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1" w:name="page42"/>
    <w:bookmarkEnd w:id="41"/>
    <w:p>
      <w:pPr>
        <w:spacing w:after="0" w:line="258" w:lineRule="auto"/>
        <w:rPr>
          <w:sz w:val="20"/>
          <w:szCs w:val="20"/>
          <w:color w:val="auto"/>
        </w:rPr>
      </w:pPr>
      <w:r>
        <w:rPr>
          <w:rFonts w:ascii="Times New Roman" w:cs="Times New Roman" w:eastAsia="Times New Roman" w:hAnsi="Times New Roman"/>
          <w:sz w:val="14"/>
          <w:szCs w:val="14"/>
          <w:color w:val="auto"/>
        </w:rPr>
        <w:t>is done primarily through a variety of access points including: (i) algorithmic trading and order routing in global equities and options; (ii) institutional sales traders who offer portfolio trading and single stock sales trading which provides execution expertise for program, block and riskless principal trades in global equities and ETFs; and (iii) matching of client conditional orders in POSIT Alert and client orders in the Company's ATSs, including Virtu MatchIt, and POSIT. The Execution Services segment also includes revenues derived from providing (a) proprietary risk management and trading infrastructure technology to select third parties for a service fee, (b) workflow technology, the Company’s integrated, broker-neutral trading tools delivered across the globe including trade order and execution management and order management software applications and network connectivity and (c) trading analytics, including (1) tools enabling portfolio managers and traders to improve pre-trade, real-time and post-trade execution performance, (2) portfolio construction and optimization decisions and (3) securities valuation. The segment also includes the results of the Company's capital markets business, in which the Company acts as an agent for issuers in connection with at-the-market offerings and buyback programs.</w:t>
      </w:r>
    </w:p>
    <w:p>
      <w:pPr>
        <w:spacing w:after="0" w:line="168"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The Corporate segment contains the Company's investments, principally in strategic trading-related opportunities and maintains corporate overhead expenses and all other income and expenses that are not attributable to the Company's other segments.</w:t>
      </w:r>
    </w:p>
    <w:p>
      <w:pPr>
        <w:spacing w:after="0" w:line="145" w:lineRule="exact"/>
        <w:rPr>
          <w:sz w:val="20"/>
          <w:szCs w:val="20"/>
          <w:color w:val="auto"/>
        </w:rPr>
      </w:pPr>
    </w:p>
    <w:p>
      <w:pPr>
        <w:ind w:right="220" w:firstLine="509"/>
        <w:spacing w:after="0" w:line="270" w:lineRule="auto"/>
        <w:rPr>
          <w:sz w:val="20"/>
          <w:szCs w:val="20"/>
          <w:color w:val="auto"/>
        </w:rPr>
      </w:pPr>
      <w:r>
        <w:rPr>
          <w:rFonts w:ascii="Times New Roman" w:cs="Times New Roman" w:eastAsia="Times New Roman" w:hAnsi="Times New Roman"/>
          <w:sz w:val="14"/>
          <w:szCs w:val="14"/>
          <w:color w:val="auto"/>
        </w:rPr>
        <w:t>Management evaluates the performance of its segments on a pre-tax basis. Segment assets and liabilities are not used for evaluating segment performance or in deciding how to allocate resources to segments. The Company’s total revenues and income before income taxes and noncontrolling interest (“Pre-tax earnings”) by segment for the three months ended March 31, 2024 and 2023 are summarized in the following table:</w:t>
      </w:r>
    </w:p>
    <w:p>
      <w:pPr>
        <w:spacing w:after="0" w:line="322" w:lineRule="exact"/>
        <w:rPr>
          <w:sz w:val="20"/>
          <w:szCs w:val="20"/>
          <w:color w:val="auto"/>
        </w:rPr>
      </w:pPr>
    </w:p>
    <w:tbl>
      <w:tblPr>
        <w:tblLayout w:type="fixed"/>
        <w:tblInd w:w="300" w:type="dxa"/>
        <w:tblCellMar>
          <w:top w:w="0" w:type="dxa"/>
          <w:left w:w="0" w:type="dxa"/>
          <w:bottom w:w="0" w:type="dxa"/>
          <w:right w:w="0" w:type="dxa"/>
        </w:tblCellMar>
      </w:tblPr>
      <w:tr>
        <w:trPr>
          <w:trHeight w:val="158"/>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6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20" w:type="dxa"/>
            <w:vAlign w:val="bottom"/>
          </w:tcPr>
          <w:p>
            <w:pPr>
              <w:spacing w:after="0"/>
              <w:rPr>
                <w:sz w:val="13"/>
                <w:szCs w:val="13"/>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200" w:type="dxa"/>
            <w:vAlign w:val="bottom"/>
          </w:tcPr>
          <w:p>
            <w:pPr>
              <w:spacing w:after="0"/>
              <w:rPr>
                <w:sz w:val="13"/>
                <w:szCs w:val="13"/>
                <w:color w:val="auto"/>
              </w:rPr>
            </w:pPr>
          </w:p>
        </w:tc>
        <w:tc>
          <w:tcPr>
            <w:tcW w:w="110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100" w:type="dxa"/>
            <w:vAlign w:val="bottom"/>
          </w:tcPr>
          <w:p>
            <w:pPr>
              <w:spacing w:after="0"/>
              <w:rPr>
                <w:sz w:val="13"/>
                <w:szCs w:val="13"/>
                <w:color w:val="auto"/>
              </w:rPr>
            </w:pP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Consolidated Total</w:t>
            </w:r>
          </w:p>
        </w:tc>
      </w:tr>
      <w:tr>
        <w:trPr>
          <w:trHeight w:val="154"/>
        </w:trPr>
        <w:tc>
          <w:tcPr>
            <w:tcW w:w="4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2024</w:t>
            </w:r>
          </w:p>
        </w:tc>
        <w:tc>
          <w:tcPr>
            <w:tcW w:w="14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r>
      <w:tr>
        <w:trPr>
          <w:trHeight w:val="164"/>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revenue</w:t>
            </w: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521,008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117,788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642,839</w:t>
            </w:r>
          </w:p>
        </w:tc>
      </w:tr>
      <w:tr>
        <w:trPr>
          <w:trHeight w:val="153"/>
        </w:trPr>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1460" w:type="dxa"/>
            <w:vAlign w:val="bottom"/>
          </w:tcPr>
          <w:p>
            <w:pPr>
              <w:spacing w:after="0"/>
              <w:rPr>
                <w:sz w:val="13"/>
                <w:szCs w:val="13"/>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126,953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9,243</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139,820</w:t>
            </w:r>
          </w:p>
        </w:tc>
      </w:tr>
      <w:tr>
        <w:trPr>
          <w:trHeight w:val="176"/>
        </w:trPr>
        <w:tc>
          <w:tcPr>
            <w:tcW w:w="42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54"/>
        </w:trPr>
        <w:tc>
          <w:tcPr>
            <w:tcW w:w="42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2023</w:t>
            </w:r>
          </w:p>
        </w:tc>
        <w:tc>
          <w:tcPr>
            <w:tcW w:w="14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4"/>
        </w:trPr>
        <w:tc>
          <w:tcPr>
            <w:tcW w:w="4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revenue</w:t>
            </w:r>
          </w:p>
        </w:tc>
        <w:tc>
          <w:tcPr>
            <w:tcW w:w="14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498,921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118,478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620,380</w:t>
            </w:r>
          </w:p>
        </w:tc>
      </w:tr>
      <w:tr>
        <w:trPr>
          <w:trHeight w:val="147"/>
        </w:trPr>
        <w:tc>
          <w:tcPr>
            <w:tcW w:w="424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Income (loss) before income taxes and noncontrolling interest</w:t>
            </w:r>
          </w:p>
        </w:tc>
        <w:tc>
          <w:tcPr>
            <w:tcW w:w="1460" w:type="dxa"/>
            <w:vAlign w:val="bottom"/>
          </w:tcPr>
          <w:p>
            <w:pPr>
              <w:spacing w:after="0"/>
              <w:rPr>
                <w:sz w:val="12"/>
                <w:szCs w:val="12"/>
                <w:color w:val="auto"/>
              </w:rPr>
            </w:pPr>
          </w:p>
        </w:tc>
        <w:tc>
          <w:tcPr>
            <w:tcW w:w="10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124,109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9,015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134,765</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21. Related Party Transactions</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The Company incurs expenses and maintains balances with its affiliates in the ordinary course of business. As of March 31, 2024 and December 31, 2023 the Company had net payables to its affiliates of $1.8 million and payables to its affiliates of $1.5 million, respectively.</w:t>
      </w:r>
    </w:p>
    <w:p>
      <w:pPr>
        <w:spacing w:after="0" w:line="145"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held a minority interest in JNX since 2016 (see Note 9 “Financial Assets and Liabilities”). The Company pays exchange fees to JNX for the trading activities conducted on its proprietary trading system. The Company paid $2.2 million and $2.5 million for the three months ended March 31, 2024 and 2023, respectively, to JNX for these trading activities.</w:t>
      </w:r>
    </w:p>
    <w:p>
      <w:pPr>
        <w:spacing w:after="0" w:line="145" w:lineRule="exact"/>
        <w:rPr>
          <w:sz w:val="20"/>
          <w:szCs w:val="20"/>
          <w:color w:val="auto"/>
        </w:rPr>
      </w:pPr>
    </w:p>
    <w:p>
      <w:pPr>
        <w:ind w:right="280" w:firstLine="509"/>
        <w:spacing w:after="0" w:line="270" w:lineRule="auto"/>
        <w:rPr>
          <w:sz w:val="20"/>
          <w:szCs w:val="20"/>
          <w:color w:val="auto"/>
        </w:rPr>
      </w:pPr>
      <w:r>
        <w:rPr>
          <w:rFonts w:ascii="Times New Roman" w:cs="Times New Roman" w:eastAsia="Times New Roman" w:hAnsi="Times New Roman"/>
          <w:sz w:val="14"/>
          <w:szCs w:val="14"/>
          <w:color w:val="auto"/>
        </w:rPr>
        <w:t>The Company pays monthly use fees to two JVs in which it holds interests (see Note 11 “Variable Interest Entities”). These monthly fees are for the use of microwave communication networks operated by each of these JVs and are recorded within Communications and data processing on the Condensed Consolidated Statements of Comprehensive Income. The Company made payments to these JVs of $7.4 million and $6.3 million for the three months ended March 31, 2024 and 2023, respectively.</w:t>
      </w:r>
    </w:p>
    <w:p>
      <w:pPr>
        <w:spacing w:after="0" w:line="157"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Company has an interest in Members Exchange, a member-owned equities exchange. The Company pays regulatory and transaction fees and receives rebates from trading activities. The Company made payments of $1.5 million and $0.1 million for the three months ended March 31, 2024 and 2023, respectively.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22. Subsequent Events</w:t>
      </w:r>
    </w:p>
    <w:p>
      <w:pPr>
        <w:spacing w:after="0" w:line="202" w:lineRule="exact"/>
        <w:rPr>
          <w:sz w:val="20"/>
          <w:szCs w:val="20"/>
          <w:color w:val="auto"/>
        </w:rPr>
      </w:pPr>
    </w:p>
    <w:p>
      <w:pPr>
        <w:ind w:right="100" w:firstLine="509"/>
        <w:spacing w:after="0" w:line="287" w:lineRule="auto"/>
        <w:rPr>
          <w:sz w:val="20"/>
          <w:szCs w:val="20"/>
          <w:color w:val="auto"/>
        </w:rPr>
      </w:pPr>
      <w:r>
        <w:rPr>
          <w:rFonts w:ascii="Times New Roman" w:cs="Times New Roman" w:eastAsia="Times New Roman" w:hAnsi="Times New Roman"/>
          <w:sz w:val="14"/>
          <w:szCs w:val="14"/>
          <w:color w:val="auto"/>
        </w:rPr>
        <w:t>The Company has evaluated subsequent events for adjustment to or disclosure in its Condensed Consolidated Financial Statements through the date of this report, and has not identified any recordable or disclosable events, not otherwise reported in these Condensed Consolidated Financial Statements or the notes thereto, except for the following:</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42" w:name="page43"/>
    <w:bookmarkEnd w:id="42"/>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On April 19, 2024, the Company entered into an agreement to sell a 49% interest in the multi-asset request-for-quote communication platform JV previously formed in 2022 and referenced in Note 11 “Variable Interest Entities”. The sale is subject to various closing conditions including the receipt of certain regulatory approvals. Upon the closing of the sale, the Company will retain a minority stake in the JV.</w:t>
      </w:r>
    </w:p>
    <w:p>
      <w:pPr>
        <w:spacing w:after="0" w:line="157"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On April 24, 2024, the Company’s Board of Directors declared a dividend of $0.24 per share of Class A Common Stock and Class B Common Stock and per participating Restricted Stock Unit and Restricted Stock Award that will be paid on June 15, 2024 to holders of record as of June 1, 2024.</w:t>
      </w:r>
    </w:p>
    <w:p>
      <w:pPr>
        <w:spacing w:after="0" w:line="135" w:lineRule="exact"/>
        <w:rPr>
          <w:sz w:val="20"/>
          <w:szCs w:val="20"/>
          <w:color w:val="auto"/>
        </w:rPr>
      </w:pPr>
    </w:p>
    <w:p>
      <w:pPr>
        <w:ind w:firstLine="509"/>
        <w:spacing w:after="0" w:line="248" w:lineRule="auto"/>
        <w:rPr>
          <w:sz w:val="20"/>
          <w:szCs w:val="20"/>
          <w:color w:val="auto"/>
        </w:rPr>
      </w:pPr>
      <w:r>
        <w:rPr>
          <w:rFonts w:ascii="Times New Roman" w:cs="Times New Roman" w:eastAsia="Times New Roman" w:hAnsi="Times New Roman"/>
          <w:sz w:val="14"/>
          <w:szCs w:val="14"/>
          <w:color w:val="auto"/>
        </w:rPr>
        <w:t>On April 24, 2024, the Company’s Board of Directors authorized the expansion of the Company’s current share repurchase program, increasing the total authorized amount by $500 million to $1,720 million and extended the duration through April 24, 2026. Since the inception of the program through April 19, 2024, the Company repurchased approximately 45.9 million shares of Class A Common Stock and Virtu Financial Units for approximately $1,151.4 million. Including the additional $500 million authorization by its Board, the Company has approximately $568.6 million remaining capacity for future purchase of shares of Class A Common Stock and Virtu Financial Units under the program.</w:t>
      </w: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921" w:right="3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4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management’s discussion and analysis covers the three months ended March 31, 2024, and 2023 should be read in conjunction with the Condensed Consolidated Financial Statements and accompanying notes for the period ended March 31, 2024, which are included in Part I, Item 1 of this Quarterly Report on Form 10-Q, and the audited consolidated financial statements and accompanying notes and MD&amp;A for the year ended December 31, 2023, which are included in Item 8 and 7 respectively, of the Company’s Annual Report on Form 10-K for the year ended December 31, 2023. This management’s discussion and analysis contains forward-looking statements that involve risks and uncertainties. Our actual results could differ materially from those discussed below. Unless otherwise stated, all amounts are presented in thousands of dollars.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9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forward-looking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Quarterly Report on Form 10-Q. By their nature, forward-looking statements involve known and unknown risks and uncertainties, including those described under the heading “Risk Factors” in our Annual Report on Form 10-K for the year ended December 31, 2023, as filed with the Securities and Exchange Commission (“SEC”) on February 16, 2024 (the “2023 Form 10-K”), because they relate to events and depend on circumstances that may or may not occur in the future. Although we believe that the forward-looking statements contained in this Quarterly Report on Form 10-Q are based on reasonable assumptions, you should be aware that many factors, including those described under the heading “Risk Factors” in our 2023 Form 10-K, could affect our actual financial results or results of operations and cash flows, and could cause actual results to differ materially from those in such forward-looking statements, including but not limited to:</w:t>
      </w:r>
    </w:p>
    <w:p>
      <w:pPr>
        <w:spacing w:after="0" w:line="68" w:lineRule="exact"/>
        <w:rPr>
          <w:sz w:val="20"/>
          <w:szCs w:val="20"/>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volatility in levels of overall trading activity;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upon trading counterparties, clients and clearing houses performing their obligations to us;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failures of our customized trading platform;</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inherent to the electronic market making business and trading generally;</w:t>
      </w:r>
    </w:p>
    <w:p>
      <w:pPr>
        <w:spacing w:after="0" w:line="93" w:lineRule="exact"/>
        <w:rPr>
          <w:rFonts w:ascii="Times New Roman" w:cs="Times New Roman" w:eastAsia="Times New Roman" w:hAnsi="Times New Roman"/>
          <w:sz w:val="14"/>
          <w:szCs w:val="14"/>
          <w:color w:val="auto"/>
        </w:rPr>
      </w:pPr>
    </w:p>
    <w:p>
      <w:pPr>
        <w:ind w:left="760" w:hanging="119"/>
        <w:spacing w:after="0" w:line="269" w:lineRule="auto"/>
        <w:tabs>
          <w:tab w:leader="none" w:pos="756" w:val="left"/>
        </w:tabs>
        <w:numPr>
          <w:ilvl w:val="0"/>
          <w:numId w:val="13"/>
        </w:numPr>
        <w:rPr>
          <w:rFonts w:ascii="Arial" w:cs="Arial" w:eastAsia="Arial" w:hAnsi="Arial"/>
          <w:sz w:val="14"/>
          <w:szCs w:val="14"/>
          <w:color w:val="auto"/>
        </w:rPr>
      </w:pPr>
      <w:r>
        <w:rPr>
          <w:rFonts w:ascii="Times New Roman" w:cs="Times New Roman" w:eastAsia="Times New Roman" w:hAnsi="Times New Roman"/>
          <w:sz w:val="14"/>
          <w:szCs w:val="14"/>
          <w:color w:val="auto"/>
        </w:rPr>
        <w:t>recent SEC proposals focused on equity markets which may, if adopted, materially change U.S. equity market structure, including by reducing overall trading volumes, reducing off-exchange trading and market making opportunities, requiring additional tools, platforms and services to register as an ATS or exchange, and generally increasing the implicit and explicit cost as well as the complexity of the U.S. equities eco-system for all participants;</w:t>
      </w:r>
    </w:p>
    <w:p>
      <w:pPr>
        <w:spacing w:after="0" w:line="52" w:lineRule="exact"/>
        <w:rPr>
          <w:rFonts w:ascii="Arial" w:cs="Arial" w:eastAsia="Arial" w:hAnsi="Arial"/>
          <w:sz w:val="14"/>
          <w:szCs w:val="14"/>
          <w:color w:val="auto"/>
        </w:rPr>
      </w:pPr>
    </w:p>
    <w:p>
      <w:pPr>
        <w:ind w:left="760" w:right="40" w:hanging="119"/>
        <w:spacing w:after="0" w:line="270" w:lineRule="auto"/>
        <w:tabs>
          <w:tab w:leader="none" w:pos="756"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additionally, enhanced regulatory, congressional, and media scrutiny, including attention to electronic trading, wholesale market making and off-exchange trading, payment for order flow, and other market structure topics may result in additional potential changes in regulation or law which could have an adverse effect on our business as well as adversely impact the public's perception of us or of companies in our industry;</w:t>
      </w:r>
    </w:p>
    <w:p>
      <w:pPr>
        <w:spacing w:after="0" w:line="50"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competition in market making activities and execution services;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continued access to sources of liquidity;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self-clearing and other operational elements of our business, including but limited to risks related to funding and liquidity;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comply with applicable regulatory capital requirements;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litigation or other legal and regulatory-based liabilities;</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97" w:right="339" w:bottom="1440" w:gutter="0" w:footer="0" w:header="0"/>
        </w:sectPr>
      </w:pPr>
    </w:p>
    <w:bookmarkStart w:id="44" w:name="page45"/>
    <w:bookmarkEnd w:id="44"/>
    <w:p>
      <w:pPr>
        <w:ind w:left="760" w:right="20" w:hanging="119"/>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rules or regulations, including proposed legislation that would impose taxes on certain financial transactions in the European Union, the U.S. (and certain states therein) and other jurisdictions and other potential changes which could increase our corporate or other tax obligations in one or more jurisdictions;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obligations to comply with laws and regulations applicable to our operations in the U.S. and abroad;</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need to maintain and continue developing proprietary technologies;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capacity constraints, system failures, and delays;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dependence on third-party infrastructure or systems;</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open source software;</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or enforce our intellectual property rights in our proprietary technology;</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confidential and proprietary information;</w:t>
      </w:r>
    </w:p>
    <w:p>
      <w:pPr>
        <w:spacing w:after="0" w:line="93" w:lineRule="exact"/>
        <w:rPr>
          <w:rFonts w:ascii="Times New Roman" w:cs="Times New Roman" w:eastAsia="Times New Roman" w:hAnsi="Times New Roman"/>
          <w:sz w:val="14"/>
          <w:szCs w:val="14"/>
          <w:color w:val="auto"/>
        </w:rPr>
      </w:pPr>
    </w:p>
    <w:p>
      <w:pPr>
        <w:ind w:left="760" w:right="40" w:hanging="119"/>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protect our systems from internal or external cyber threats that could result in damage to our computer systems, business interruption, loss of data, monetary payment demands or other consequences;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international operations and expansion, including failed acquisitions or dispositions;</w:t>
      </w:r>
    </w:p>
    <w:p>
      <w:pPr>
        <w:spacing w:after="0" w:line="93" w:lineRule="exact"/>
        <w:rPr>
          <w:rFonts w:ascii="Times New Roman" w:cs="Times New Roman" w:eastAsia="Times New Roman" w:hAnsi="Times New Roman"/>
          <w:sz w:val="14"/>
          <w:szCs w:val="14"/>
          <w:color w:val="auto"/>
        </w:rPr>
      </w:pPr>
    </w:p>
    <w:p>
      <w:pPr>
        <w:ind w:left="760" w:hanging="119"/>
        <w:spacing w:after="0" w:line="270"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and changes in economic conditions (such as volatility in the financial markets, increased inflation, monetary conditions and foreign currency and continued or exacerbated exchange rate fluctuations, foreign currency controls and/or government mandated pricing controls, as well as in trade, monetary, fiscal and tax policies in international markets), political conditions (such as military actions and terrorist activities), and other global events such as fires, geopolitical conflicts, natural disasters, pandemics or extreme weather;</w:t>
      </w:r>
    </w:p>
    <w:p>
      <w:pPr>
        <w:spacing w:after="0" w:line="50"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potential growth and associated corporate actions;</w:t>
      </w:r>
    </w:p>
    <w:p>
      <w:pPr>
        <w:spacing w:after="0" w:line="93" w:lineRule="exact"/>
        <w:rPr>
          <w:rFonts w:ascii="Times New Roman" w:cs="Times New Roman" w:eastAsia="Times New Roman" w:hAnsi="Times New Roman"/>
          <w:sz w:val="14"/>
          <w:szCs w:val="14"/>
          <w:color w:val="auto"/>
        </w:rPr>
      </w:pPr>
    </w:p>
    <w:p>
      <w:pPr>
        <w:ind w:left="760" w:right="120" w:hanging="119"/>
        <w:spacing w:after="0" w:line="287" w:lineRule="auto"/>
        <w:tabs>
          <w:tab w:leader="none" w:pos="75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new and emerging asset classes and eco-systems in which we may participate, including digital assets, including risks related to volatility in the underlying assets, regulatory uncertainty, evolving industry practices and standards around custody, clearing and settlement, and other risks inherent in a new and evolving asset class;</w:t>
      </w:r>
    </w:p>
    <w:p>
      <w:pPr>
        <w:spacing w:after="0" w:line="39"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access, or delay in accessing, the capital markets to sell shares or raise additional capital;</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executives and failure to recruit and retain qualified personnel; and</w:t>
      </w:r>
    </w:p>
    <w:p>
      <w:pPr>
        <w:spacing w:after="0" w:line="93" w:lineRule="exact"/>
        <w:rPr>
          <w:rFonts w:ascii="Times New Roman" w:cs="Times New Roman" w:eastAsia="Times New Roman" w:hAnsi="Times New Roman"/>
          <w:sz w:val="14"/>
          <w:szCs w:val="14"/>
          <w:color w:val="auto"/>
        </w:rPr>
      </w:pPr>
    </w:p>
    <w:p>
      <w:pPr>
        <w:ind w:left="760" w:hanging="119"/>
        <w:spacing w:after="0"/>
        <w:tabs>
          <w:tab w:leader="none" w:pos="7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risks associated with losing access to a significant exchange or other trading venue.</w:t>
      </w:r>
    </w:p>
    <w:p>
      <w:pPr>
        <w:spacing w:after="0" w:line="200"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Our forward-looking statements made herein are made only as of the date of this Quarterly Report on Form 10-Q.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 on Form 10-Q.</w:t>
      </w:r>
    </w:p>
    <w:p>
      <w:pPr>
        <w:spacing w:after="0" w:line="16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Unless the context otherwise requires, the terms “we,” “us,” “our,” “Virtu” and the “Company” refer to Virtu Financial, Inc., a Delaware corporation, and its consolidated subsidiaries and the term “Virtu Financial” refers to Virtu Financial LLC, a Delaware limited liability company and a consolidated subsidiary of ours.</w:t>
      </w: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20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4"/>
          <w:szCs w:val="14"/>
          <w:color w:val="auto"/>
        </w:rPr>
        <w:t>We are a leading financial services firm that leverages cutting edge technology to deliver liquidity to the global markets and innovative, transparent trading solutions to our clients. Leveraging our global market structure expertise and scaled, multi-asset technology infrastructure, we provide our clients with a robust product suite including offerings in execution, liquidity sourcing, analytics and broker-neutral, multi-dealer platforms in workflow technology. Our product offerings allow our clients to trade on hundreds of venues across over 50 countries and in multiple asset classes, including global equities, ETFs, options, foreign exchange, futures, fixed income, cryptocurrencies and other commodities. Our integrated, multi-asset analytics platform provides a range of pre- and post-trade services, data products and compliance tools that our clients rely upon to invest, trade and manage risk across global markets. We believe that our broad diversification, in combination with our proprietary technology platform and low-cost structure gives us the scale necessary to grow our business around the globe as we service clients and facilitate risk transfer between global capital markets participants by providing liquidity, while at the same time earning attractive margins and returns.</w:t>
      </w:r>
    </w:p>
    <w:p>
      <w:pPr>
        <w:spacing w:after="0" w:line="168" w:lineRule="exact"/>
        <w:rPr>
          <w:sz w:val="20"/>
          <w:szCs w:val="20"/>
          <w:color w:val="auto"/>
        </w:rPr>
      </w:pPr>
    </w:p>
    <w:p>
      <w:pPr>
        <w:jc w:val="both"/>
        <w:ind w:right="300" w:firstLine="509"/>
        <w:spacing w:after="0" w:line="264" w:lineRule="auto"/>
        <w:rPr>
          <w:sz w:val="20"/>
          <w:szCs w:val="20"/>
          <w:color w:val="auto"/>
        </w:rPr>
      </w:pPr>
      <w:r>
        <w:rPr>
          <w:rFonts w:ascii="Times New Roman" w:cs="Times New Roman" w:eastAsia="Times New Roman" w:hAnsi="Times New Roman"/>
          <w:sz w:val="14"/>
          <w:szCs w:val="14"/>
          <w:color w:val="auto"/>
        </w:rPr>
        <w:t>Technology and operational efficiency are at the core of our business, and our focus on technology is a key element of our success. We have developed a proprietary, multi-asset, multi-currency technology platform that is highly reliable, scalable and modular, and we integrate directly with exchanges, liquidity centers, and our clients. Our market data, order routing, transaction processing, risk management and market surveillance technology modules manage our market making and execution services activities in an efficient manner and enable us to scale our activities globally across additional securities and other financial instruments and asset classes without significant incremental costs or third-party licensing or processing fees.</w:t>
      </w:r>
    </w:p>
    <w:p>
      <w:pPr>
        <w:spacing w:after="0" w:line="162" w:lineRule="exact"/>
        <w:rPr>
          <w:sz w:val="20"/>
          <w:szCs w:val="20"/>
          <w:color w:val="auto"/>
        </w:rPr>
      </w:pPr>
    </w:p>
    <w:p>
      <w:pPr>
        <w:jc w:val="both"/>
        <w:ind w:right="140" w:firstLine="509"/>
        <w:spacing w:after="0" w:line="270" w:lineRule="auto"/>
        <w:rPr>
          <w:sz w:val="20"/>
          <w:szCs w:val="20"/>
          <w:color w:val="auto"/>
        </w:rPr>
      </w:pPr>
      <w:r>
        <w:rPr>
          <w:rFonts w:ascii="Times New Roman" w:cs="Times New Roman" w:eastAsia="Times New Roman" w:hAnsi="Times New Roman"/>
          <w:sz w:val="14"/>
          <w:szCs w:val="14"/>
          <w:color w:val="auto"/>
        </w:rPr>
        <w:t>We believe that technology-enabled market makers and execution services providers like Virtu serve an important role in maintaining and enhancing the overall health and efficiency of the global capital markets by ensuring that market participants have an efficient means to invest, transfer risk and analyze the quality of executions. We believe that market participants benefit from the increased liquidity, lower overall trading costs and execution transparency that Virtu provides.</w:t>
      </w:r>
    </w:p>
    <w:p>
      <w:pPr>
        <w:spacing w:after="0" w:line="157" w:lineRule="exact"/>
        <w:rPr>
          <w:sz w:val="20"/>
          <w:szCs w:val="20"/>
          <w:color w:val="auto"/>
        </w:rPr>
      </w:pPr>
    </w:p>
    <w:p>
      <w:pPr>
        <w:ind w:right="60" w:firstLine="509"/>
        <w:spacing w:after="0" w:line="270" w:lineRule="auto"/>
        <w:rPr>
          <w:sz w:val="20"/>
          <w:szCs w:val="20"/>
          <w:color w:val="auto"/>
        </w:rPr>
      </w:pPr>
      <w:r>
        <w:rPr>
          <w:rFonts w:ascii="Times New Roman" w:cs="Times New Roman" w:eastAsia="Times New Roman" w:hAnsi="Times New Roman"/>
          <w:sz w:val="14"/>
          <w:szCs w:val="14"/>
          <w:color w:val="auto"/>
        </w:rPr>
        <w:t>Our execution services and client solutions products are designed to be transparent, because we believe transparency makes markets more efficient and helps investors make better, more informed decisions. We use the latest technology to create and deliver liquidity to global markets and innovative trading solutions and analytics tools to our clients. We interact directly with hundreds of retail brokers, Registered Investment Advisors, private client networks, sell-side brokers, and buy-side institutions.</w:t>
      </w:r>
    </w:p>
    <w:p>
      <w:pPr>
        <w:spacing w:after="0" w:line="157" w:lineRule="exact"/>
        <w:rPr>
          <w:sz w:val="20"/>
          <w:szCs w:val="20"/>
          <w:color w:val="auto"/>
        </w:rPr>
      </w:pPr>
    </w:p>
    <w:p>
      <w:pPr>
        <w:ind w:right="420" w:firstLine="509"/>
        <w:spacing w:after="0" w:line="287" w:lineRule="auto"/>
        <w:rPr>
          <w:sz w:val="20"/>
          <w:szCs w:val="20"/>
          <w:color w:val="auto"/>
        </w:rPr>
      </w:pPr>
      <w:r>
        <w:rPr>
          <w:rFonts w:ascii="Times New Roman" w:cs="Times New Roman" w:eastAsia="Times New Roman" w:hAnsi="Times New Roman"/>
          <w:sz w:val="14"/>
          <w:szCs w:val="14"/>
          <w:color w:val="auto"/>
        </w:rPr>
        <w:t>We have two operating segments: Market Making and Execution Services, and one non-operating segment: Corporate. Our management allocates resources, assesses performance and manages our business according to these segments.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Market Making</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We leverage cutting edge technology to provide competitive and deep liquidity that helps to create more efficient markets around the world. As a market maker and liquidity provider, we stand ready, at any time, to buy or sell a broad range of securities and other financial instruments, and we generate profits by buying and selling large volumes of securities and other financial instruments and earning small bid/ask spreads. Our market structure expertise, broad diversification, and scalable execution technology enable us to provide competitive bids and offers in over 25,000 securities and other financial instruments, on over 235 venues, in 36 countries worldwide. We use the latest technology to create and deliver liquidity to the global markets and automate our market making, risk controls, and post-trade processes. As a market maker, we interact directly with hundreds of retail brokers, Registered Investment Advisors, private client networks, sell-side brokers, and buy-side institutions.</w:t>
      </w:r>
    </w:p>
    <w:p>
      <w:pPr>
        <w:spacing w:after="0" w:line="15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4"/>
          <w:szCs w:val="14"/>
          <w:color w:val="auto"/>
        </w:rPr>
        <w:t>We believe the overall level of volumes and realized volatility as well as the attractiveness of the order flow we interact with and the level of retail participation in the various markets we serve have the greatest impact on the financial performance of our market making businesses. Increases in market volatility can cause bid/ask spreads to widen as market participants are more willing to pay market makers like us to transact immediately and as a result, market makers’ capture rate per notional amount transacted may increase.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88"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i w:val="1"/>
          <w:iCs w:val="1"/>
          <w:color w:val="auto"/>
        </w:rPr>
        <w:t>Execution Services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offer client execution services and trading venues that provide transparent trading in global equities, ETFs, fixed income, currencies, and commodities to institutions, banks and broker-dealers. We generally earn commissions when transacting as an agent for our clients. Client-based, execution-only trading within this segment is done through a variety of access points including: (a) algorithmic trading and order routing; (b) institutional sales traders who offer portfolio trading and single stock sales trading which provides execution expertise for program, block and riskless principal trades in global equities and ETFs; and (c) matching of client conditional orders in POSIT Alert and in our ATSs, including Virtu MatchIt and POSIT. We also earn revenues (a) by providing our proprietary technology and infrastructure to select third parties for a service fee, (b) through workflow technology and our integrated, broker-neutral trading tools delivered across the globe, including order and execution management systems and order management software applications and network connectivity and (c) through trading analytics, including (1) tools enabling portfolio managers and traders to improve pre-trade, real-time and post-trade execution performance, (2) portfolio construction and optimization decisions and (3) securities valuation. The segment also includes the results of our capital markets business, in which we act as an agent for issuers in connection with at-the-market offerings and buyback programs.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Corporate</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Our Corporate segment contains investments principally in strategic financial services-oriented opportunities and maintains corporate overhead expenses and all other income and expenses that are not attributable to our other segments.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Credit Agreement</w:t>
      </w:r>
    </w:p>
    <w:p>
      <w:pPr>
        <w:spacing w:after="0" w:line="20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4"/>
          <w:szCs w:val="14"/>
          <w:color w:val="auto"/>
        </w:rPr>
        <w:t>On March 1, 2019, the “ITG Closing Date”, we announced the completed acquisition of Investment Technology Group, Inc. and its subsidiaries (“ITG”) in an all-cash transaction (the “ITG Acquisition”). In connection with the ITG Acquisition, Virtu Financial, VFH Parent LLC, a Delaware limited liability company and a subsidiary of Virtu Financial (“VFH”), and Impala Borrower LLC (the “Acquisition Borrower”), a subsidiary of the Company, entered into a credit agreement, with the lenders party thereto, Jefferies Finance LLC, as administrative agent and Jefferies Finance LLC and RBC Capital Markets, as joint lead arrangers and joint bookrunners (the “Acquisition Credit Agreement”). The Acquisition Credit Agreement provided (i) a senior secured first lien term loan (together with the Acquisition Incremental Term Loans, as defined below; the “Acquisition First Lien Term Loan Facility”) in an aggregate principal amount of $1,500.0 million, drawn in its entirety on the ITG Closing Date, of which approximately $404.5 million was borrowed by VFH to repay all amounts outstanding under a previous term loan facility and the remaining approximately $1,095.0 million borrowed by the Acquisition Borrower to finance the consideration and fees and expenses paid in connection with the ITG Acquisition, and (ii) a $50.0 million senior secured first lien revolving facility to VFH (the “Acquisition First Lien Revolving Facility”), with a $5.0 million letter of credit subfacility and a $5.0 million swingline subfacility. After the ITG Closing Date, VFH assumed the obligations of the Acquisition Borrower in respect of the acquisition term loans. On October 9, 2019, VFH entered into an amendment (“Amendment No. 1”), which amended the Acquisition Credit Agreement dated as of March 1, 2019, to, among other things, provide for $525.0 million in aggregate principal amount of incremental term loans (the “Acquisition Incremental Term Loans”), and amend the related collateral agreement. On March 2, 2020, VFH entered into a second amendment (“Amendment No. 2”), which further amended the Acquisition Credit Agreement to, among other things, reduce the interest rate spread over adjusted London Interbank Offered Rate (“LIBOR”) or the alternate base rate by 0.50% per annum and eliminated any step-down in the spread based on VFH’s first lien leverage ratio.</w:t>
      </w:r>
    </w:p>
    <w:p>
      <w:pPr>
        <w:spacing w:after="0" w:line="164" w:lineRule="exact"/>
        <w:rPr>
          <w:sz w:val="20"/>
          <w:szCs w:val="20"/>
          <w:color w:val="auto"/>
        </w:rPr>
      </w:pPr>
    </w:p>
    <w:p>
      <w:pPr>
        <w:ind w:right="40" w:firstLine="509"/>
        <w:spacing w:after="0" w:line="244" w:lineRule="auto"/>
        <w:rPr>
          <w:sz w:val="20"/>
          <w:szCs w:val="20"/>
          <w:color w:val="auto"/>
        </w:rPr>
      </w:pPr>
      <w:r>
        <w:rPr>
          <w:rFonts w:ascii="Times New Roman" w:cs="Times New Roman" w:eastAsia="Times New Roman" w:hAnsi="Times New Roman"/>
          <w:sz w:val="14"/>
          <w:szCs w:val="14"/>
          <w:color w:val="auto"/>
        </w:rPr>
        <w:t>On January 13, 2022 (the “Credit Agreement Closing Date”), VFH and Virtu Financial entered into a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color w:val="auto"/>
        </w:rPr>
        <w:t>Amended and Restated 2015 Management Incentive Plan</w:t>
      </w:r>
    </w:p>
    <w:p>
      <w:pPr>
        <w:spacing w:after="0" w:line="191"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The Company’s Board of Directors and stockholders adopted the 2015 Management Incentive Plan, which became effective upon consummation of the Company’s IPO and was subsequently amended and restated following receipt of approval from the Company’s stockholders on June 30, 2017 (the “Amended and Restated 2015 Management Incentive Plan”). The Amended and Restated 2015 Management Incentive Plan provides for the grant of stock options, restricted stock units, and other awards based on an aggregate of 16,000,000 shares of Class A Common Stock, par value $0.00001 per share (the “Class A Common Stock”), subject to additional sublimits, including limits on the total option grant to any one participant in a single year and the total performance award to any one participant in a single year. On April 23, 2020, the Company’s Board of Directors adopted an amendment to the Company’s Amended and Restated 2015 Management Incentive Plan in order to increase the number of shares of the Company’s Class A Common Stock reserved for issuance, and in respect of which awards may be granted under the Amended and Restated 2015 Plan from 16,000,000 to an aggregate of 21,000,000 shares of Class A Common Stock. On April 22, 2022, the Company’s Board of Directors adopted another amendment to the Company’s Amended and Restated 2015 Management Incentive Plan to increase the number of shares to an aggregate of 26,000,000 shares of Class A Common Stock and the amendment was approved by the Company’s shareholders at the Company’s annual meeting of shareholders on June 2, 2022.</w:t>
      </w:r>
    </w:p>
    <w:p>
      <w:pPr>
        <w:spacing w:after="0" w:line="180"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In connection with the IPO, non-qualified stock options to purchase 9,228,000 shares were granted at the IPO per share price, each of which vested in equal annual installments over a period of four years from the grant date and expire not later than 10 years from the grant date. Subsequent to the IPO and through March 31, 2024, options to purchase 1,643,750 shares in the aggregate were forfeited and 6,072,474 options were exercised. The fair value of the stock option grants was determined through the application of the Black-Scholes-Merton model and was recognized on a straight-line basis over the vesting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Parent Company Financial Information</w:t>
      </w:r>
    </w:p>
    <w:p>
      <w:pPr>
        <w:spacing w:after="0" w:line="202"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4"/>
          <w:szCs w:val="14"/>
          <w:color w:val="auto"/>
        </w:rPr>
        <w:t>There are no material differences between our condensed consolidated financial statements and the financial statements of Virtu Financial except as follows: (i) cash and cash equivalents reflected on our Condensed Consolidated Statements of Financial Condition as of March 31, 2024 in the amount of $5.6 million; (ii) deferred tax assets reflected on our Condensed Consolidated Statements of Financial Condition as of March 31, 2024 in the amount of $125.2 million and tax receivable agreement obligation in the amount of $196.3 million, in each case as described in greater detail in Note 4 “Tax Receivable Agreements” of Part I Item 1 “Financial Statements” of this Quarterly Report on Form 10-Q; (iii) a portion of the member’s equity of Virtu Financial is represented as noncontrolling interest on our Condensed Consolidated Statements of Financial Condition as of March 31, 2024; and (iv) provision for corporate income tax in the amount of $19.2 million reflected on our Condensed Consolidated Statements of Comprehensive Income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color w:val="auto"/>
        </w:rPr>
        <w:t>Components of Our Results of Operations</w:t>
      </w:r>
    </w:p>
    <w:p>
      <w:pPr>
        <w:spacing w:after="0" w:line="202" w:lineRule="exact"/>
        <w:rPr>
          <w:sz w:val="20"/>
          <w:szCs w:val="20"/>
          <w:color w:val="auto"/>
        </w:rPr>
      </w:pPr>
    </w:p>
    <w:p>
      <w:pPr>
        <w:ind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shows our i) Total revenue, ii) Total operating expenses, and iii) Income before income taxes and noncontrolling interest by segment for the three months ended March 31, 2024 and 2023:</w:t>
      </w:r>
    </w:p>
    <w:p>
      <w:pPr>
        <w:spacing w:after="0" w:line="173" w:lineRule="exact"/>
        <w:rPr>
          <w:sz w:val="20"/>
          <w:szCs w:val="20"/>
          <w:color w:val="auto"/>
        </w:rPr>
      </w:pPr>
    </w:p>
    <w:tbl>
      <w:tblPr>
        <w:tblLayout w:type="fixed"/>
        <w:tblInd w:w="1540" w:type="dxa"/>
        <w:tblCellMar>
          <w:top w:w="0" w:type="dxa"/>
          <w:left w:w="0" w:type="dxa"/>
          <w:bottom w:w="0" w:type="dxa"/>
          <w:right w:w="0" w:type="dxa"/>
        </w:tblCellMar>
      </w:tblPr>
      <w:tr>
        <w:trPr>
          <w:trHeight w:val="158"/>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Pr>
          <w:p>
            <w:pPr>
              <w:spacing w:after="0"/>
              <w:rPr>
                <w:sz w:val="13"/>
                <w:szCs w:val="13"/>
                <w:color w:val="auto"/>
              </w:rPr>
            </w:pPr>
          </w:p>
        </w:tc>
        <w:tc>
          <w:tcPr>
            <w:tcW w:w="2560" w:type="dxa"/>
            <w:vAlign w:val="bottom"/>
            <w:gridSpan w:val="4"/>
          </w:tcPr>
          <w:p>
            <w:pPr>
              <w:jc w:val="right"/>
              <w:ind w:right="60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9"/>
        </w:trPr>
        <w:tc>
          <w:tcPr>
            <w:tcW w:w="5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4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060" w:type="dxa"/>
            <w:vAlign w:val="bottom"/>
            <w:tcBorders>
              <w:top w:val="single" w:sz="8" w:color="auto"/>
              <w:bottom w:val="single" w:sz="8" w:color="auto"/>
            </w:tcBorders>
            <w:shd w:val="clear" w:color="auto" w:fill="CCEEFF"/>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44"/>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521,008</w:t>
            </w:r>
          </w:p>
        </w:tc>
        <w:tc>
          <w:tcPr>
            <w:tcW w:w="120" w:type="dxa"/>
            <w:vAlign w:val="bottom"/>
          </w:tcPr>
          <w:p>
            <w:pPr>
              <w:spacing w:after="0"/>
              <w:rPr>
                <w:sz w:val="12"/>
                <w:szCs w:val="12"/>
                <w:color w:val="auto"/>
              </w:rPr>
            </w:pPr>
          </w:p>
        </w:tc>
        <w:tc>
          <w:tcPr>
            <w:tcW w:w="320" w:type="dxa"/>
            <w:vAlign w:val="bottom"/>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498,921</w:t>
            </w:r>
          </w:p>
        </w:tc>
      </w:tr>
      <w:tr>
        <w:trPr>
          <w:trHeight w:val="165"/>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394,055</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374,812</w:t>
            </w:r>
          </w:p>
        </w:tc>
      </w:tr>
      <w:tr>
        <w:trPr>
          <w:trHeight w:val="144"/>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126,953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124,109</w:t>
            </w:r>
          </w:p>
        </w:tc>
      </w:tr>
      <w:tr>
        <w:trPr>
          <w:trHeight w:val="165"/>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117,788</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118,478</w:t>
            </w:r>
          </w:p>
        </w:tc>
      </w:tr>
      <w:tr>
        <w:trPr>
          <w:trHeight w:val="165"/>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108,545</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109,463</w:t>
            </w:r>
          </w:p>
        </w:tc>
      </w:tr>
      <w:tr>
        <w:trPr>
          <w:trHeight w:val="144"/>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9,243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9,015</w:t>
            </w:r>
          </w:p>
        </w:tc>
      </w:tr>
      <w:tr>
        <w:trPr>
          <w:trHeight w:val="165"/>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2,981</w:t>
            </w:r>
          </w:p>
        </w:tc>
      </w:tr>
      <w:tr>
        <w:trPr>
          <w:trHeight w:val="165"/>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419</w:t>
            </w:r>
          </w:p>
        </w:tc>
        <w:tc>
          <w:tcPr>
            <w:tcW w:w="1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1,340</w:t>
            </w:r>
          </w:p>
        </w:tc>
      </w:tr>
      <w:tr>
        <w:trPr>
          <w:trHeight w:val="144"/>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3,624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1,641</w:t>
            </w:r>
          </w:p>
        </w:tc>
      </w:tr>
      <w:tr>
        <w:trPr>
          <w:trHeight w:val="165"/>
        </w:trPr>
        <w:tc>
          <w:tcPr>
            <w:tcW w:w="5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53"/>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Total revenue</w:t>
            </w: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642,839</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620,380</w:t>
            </w:r>
          </w:p>
        </w:tc>
      </w:tr>
      <w:tr>
        <w:trPr>
          <w:trHeight w:val="159"/>
        </w:trPr>
        <w:tc>
          <w:tcPr>
            <w:tcW w:w="5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503,019</w:t>
            </w:r>
          </w:p>
        </w:tc>
        <w:tc>
          <w:tcPr>
            <w:tcW w:w="12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485,615</w:t>
            </w:r>
          </w:p>
        </w:tc>
      </w:tr>
      <w:tr>
        <w:trPr>
          <w:trHeight w:val="156"/>
        </w:trPr>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139,820</w:t>
            </w:r>
          </w:p>
        </w:tc>
        <w:tc>
          <w:tcPr>
            <w:tcW w:w="120" w:type="dxa"/>
            <w:vAlign w:val="bottom"/>
          </w:tcPr>
          <w:p>
            <w:pPr>
              <w:spacing w:after="0"/>
              <w:rPr>
                <w:sz w:val="13"/>
                <w:szCs w:val="13"/>
                <w:color w:val="auto"/>
              </w:rPr>
            </w:pPr>
          </w:p>
        </w:tc>
        <w:tc>
          <w:tcPr>
            <w:tcW w:w="3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134,765</w:t>
            </w:r>
          </w:p>
        </w:tc>
      </w:tr>
      <w:tr>
        <w:trPr>
          <w:trHeight w:val="20"/>
        </w:trPr>
        <w:tc>
          <w:tcPr>
            <w:tcW w:w="5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our results of operations for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20"/>
          </w:cols>
          <w:pgMar w:left="300" w:top="812" w:right="479" w:bottom="1440" w:gutter="0" w:footer="0" w:header="0"/>
        </w:sectPr>
      </w:pPr>
    </w:p>
    <w:bookmarkStart w:id="49" w:name="page50"/>
    <w:bookmarkEnd w:id="49"/>
    <w:tbl>
      <w:tblPr>
        <w:tblLayout w:type="fixed"/>
        <w:tblInd w:w="1515" w:type="dxa"/>
        <w:tblCellMar>
          <w:top w:w="0" w:type="dxa"/>
          <w:left w:w="0" w:type="dxa"/>
          <w:bottom w:w="0" w:type="dxa"/>
          <w:right w:w="0" w:type="dxa"/>
        </w:tblCellMar>
      </w:tblPr>
      <w:tr>
        <w:trPr>
          <w:trHeight w:val="158"/>
        </w:trPr>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4"/>
          </w:tcPr>
          <w:p>
            <w:pPr>
              <w:jc w:val="right"/>
              <w:ind w:right="70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5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Pr>
          <w:p>
            <w:pPr>
              <w:spacing w:after="0"/>
              <w:rPr>
                <w:sz w:val="13"/>
                <w:szCs w:val="13"/>
                <w:color w:val="auto"/>
              </w:rPr>
            </w:pPr>
          </w:p>
        </w:tc>
        <w:tc>
          <w:tcPr>
            <w:tcW w:w="1140" w:type="dxa"/>
            <w:vAlign w:val="bottom"/>
          </w:tcPr>
          <w:p>
            <w:pPr>
              <w:jc w:val="right"/>
              <w:ind w:right="5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0"/>
        </w:trPr>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Revenues:</w:t>
            </w:r>
          </w:p>
        </w:tc>
        <w:tc>
          <w:tcPr>
            <w:tcW w:w="14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r>
      <w:tr>
        <w:trPr>
          <w:trHeight w:val="164"/>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4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408,095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412,511</w:t>
            </w:r>
          </w:p>
        </w:tc>
      </w:tr>
      <w:tr>
        <w:trPr>
          <w:trHeight w:val="153"/>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105,992</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82,244</w:t>
            </w:r>
          </w:p>
        </w:tc>
      </w:tr>
      <w:tr>
        <w:trPr>
          <w:trHeight w:val="165"/>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118,611</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121,444</w:t>
            </w:r>
          </w:p>
        </w:tc>
      </w:tr>
      <w:tr>
        <w:trPr>
          <w:trHeight w:val="153"/>
        </w:trPr>
        <w:tc>
          <w:tcPr>
            <w:tcW w:w="5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10,141</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4,181</w:t>
            </w:r>
          </w:p>
        </w:tc>
      </w:tr>
      <w:tr>
        <w:trPr>
          <w:trHeight w:val="156"/>
        </w:trPr>
        <w:tc>
          <w:tcPr>
            <w:tcW w:w="5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revenue</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642,839</w:t>
            </w: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620,380</w:t>
            </w:r>
          </w:p>
        </w:tc>
      </w:tr>
      <w:tr>
        <w:trPr>
          <w:trHeight w:val="170"/>
        </w:trPr>
        <w:tc>
          <w:tcPr>
            <w:tcW w:w="5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9"/>
        </w:trPr>
        <w:tc>
          <w:tcPr>
            <w:tcW w:w="5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Operating Expenses:</w:t>
            </w: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3"/>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139,799</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145,523</w:t>
            </w:r>
          </w:p>
        </w:tc>
      </w:tr>
      <w:tr>
        <w:trPr>
          <w:trHeight w:val="165"/>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Communication and data processing</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58,182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56,812</w:t>
            </w:r>
          </w:p>
        </w:tc>
      </w:tr>
      <w:tr>
        <w:trPr>
          <w:trHeight w:val="153"/>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Employee compensation and payroll taxes</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100,823</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103,437</w:t>
            </w:r>
          </w:p>
        </w:tc>
      </w:tr>
      <w:tr>
        <w:trPr>
          <w:trHeight w:val="165"/>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126,028</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97,601</w:t>
            </w:r>
          </w:p>
        </w:tc>
      </w:tr>
      <w:tr>
        <w:trPr>
          <w:trHeight w:val="153"/>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Operations and administrative</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22,346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24,299</w:t>
            </w:r>
          </w:p>
        </w:tc>
      </w:tr>
      <w:tr>
        <w:trPr>
          <w:trHeight w:val="165"/>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16,076</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15,348</w:t>
            </w:r>
          </w:p>
        </w:tc>
      </w:tr>
      <w:tr>
        <w:trPr>
          <w:trHeight w:val="153"/>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14,687</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16,020</w:t>
            </w:r>
          </w:p>
        </w:tc>
      </w:tr>
      <w:tr>
        <w:trPr>
          <w:trHeight w:val="165"/>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96</w:t>
            </w:r>
          </w:p>
        </w:tc>
      </w:tr>
      <w:tr>
        <w:trPr>
          <w:trHeight w:val="153"/>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Debt issue cost related to debt refinancing, prepayment and commitment fees</w:t>
            </w: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1,694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2,176</w:t>
            </w:r>
          </w:p>
        </w:tc>
      </w:tr>
      <w:tr>
        <w:trPr>
          <w:trHeight w:val="165"/>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Transaction advisory fees and expenses</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135</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w:t>
            </w:r>
          </w:p>
        </w:tc>
      </w:tr>
      <w:tr>
        <w:trPr>
          <w:trHeight w:val="153"/>
        </w:trPr>
        <w:tc>
          <w:tcPr>
            <w:tcW w:w="51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Financing interest expense on long-term borrowings</w:t>
            </w: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23,232</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24,288</w:t>
            </w:r>
          </w:p>
        </w:tc>
      </w:tr>
      <w:tr>
        <w:trPr>
          <w:trHeight w:val="156"/>
        </w:trPr>
        <w:tc>
          <w:tcPr>
            <w:tcW w:w="5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Total operating expenses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503,019</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485,615</w:t>
            </w:r>
          </w:p>
        </w:tc>
      </w:tr>
      <w:tr>
        <w:trPr>
          <w:trHeight w:val="144"/>
        </w:trPr>
        <w:tc>
          <w:tcPr>
            <w:tcW w:w="51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Income before income taxes and noncontrolling interest</w:t>
            </w:r>
          </w:p>
        </w:tc>
        <w:tc>
          <w:tcPr>
            <w:tcW w:w="340" w:type="dxa"/>
            <w:vAlign w:val="bottom"/>
          </w:tcPr>
          <w:p>
            <w:pPr>
              <w:spacing w:after="0"/>
              <w:rPr>
                <w:sz w:val="12"/>
                <w:szCs w:val="12"/>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139,820</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134,765</w:t>
            </w:r>
          </w:p>
        </w:tc>
      </w:tr>
      <w:tr>
        <w:trPr>
          <w:trHeight w:val="159"/>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28,512</w:t>
            </w:r>
          </w:p>
        </w:tc>
        <w:tc>
          <w:tcPr>
            <w:tcW w:w="12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24,682</w:t>
            </w:r>
          </w:p>
        </w:tc>
      </w:tr>
      <w:tr>
        <w:trPr>
          <w:trHeight w:val="156"/>
        </w:trPr>
        <w:tc>
          <w:tcPr>
            <w:tcW w:w="518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Net income</w:t>
            </w:r>
          </w:p>
        </w:tc>
        <w:tc>
          <w:tcPr>
            <w:tcW w:w="34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111,308</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110,083</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63"/>
        </w:trPr>
        <w:tc>
          <w:tcPr>
            <w:tcW w:w="5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54"/>
        </w:trPr>
        <w:tc>
          <w:tcPr>
            <w:tcW w:w="51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Selected Operating Margins</w:t>
            </w: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4"/>
        </w:trPr>
        <w:tc>
          <w:tcPr>
            <w:tcW w:w="5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GAAP Net income Margin (1)</w:t>
            </w: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17.3 %</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17.7 %</w:t>
            </w:r>
          </w:p>
        </w:tc>
      </w:tr>
    </w:tbl>
    <w:p>
      <w:pPr>
        <w:spacing w:after="0" w:line="64" w:lineRule="exact"/>
        <w:rPr>
          <w:sz w:val="20"/>
          <w:szCs w:val="20"/>
          <w:color w:val="auto"/>
        </w:rPr>
      </w:pPr>
    </w:p>
    <w:p>
      <w:pPr>
        <w:ind w:left="315" w:hanging="315"/>
        <w:spacing w:after="0"/>
        <w:tabs>
          <w:tab w:leader="none" w:pos="315"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Net income by Total revenue.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575"/>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4"/>
          </w:cols>
          <w:pgMar w:left="305" w:top="757" w:right="1440" w:bottom="1440" w:gutter="0" w:footer="0" w:header="0"/>
        </w:sectPr>
      </w:pPr>
    </w:p>
    <w:bookmarkStart w:id="50" w:name="page51"/>
    <w:bookmarkEnd w:id="50"/>
    <w:p>
      <w:pPr>
        <w:ind w:left="1020"/>
        <w:spacing w:after="0"/>
        <w:rPr>
          <w:sz w:val="20"/>
          <w:szCs w:val="20"/>
          <w:color w:val="auto"/>
        </w:rPr>
      </w:pPr>
      <w:r>
        <w:rPr>
          <w:rFonts w:ascii="Times New Roman" w:cs="Times New Roman" w:eastAsia="Times New Roman" w:hAnsi="Times New Roman"/>
          <w:sz w:val="14"/>
          <w:szCs w:val="14"/>
          <w:color w:val="auto"/>
        </w:rPr>
        <w:t>Net income available to stockholders and basic and diluted earnings per share are presented below:</w:t>
      </w:r>
    </w:p>
    <w:p>
      <w:pPr>
        <w:spacing w:after="0" w:line="174" w:lineRule="exact"/>
        <w:rPr>
          <w:sz w:val="20"/>
          <w:szCs w:val="20"/>
          <w:color w:val="auto"/>
        </w:rPr>
      </w:pPr>
    </w:p>
    <w:tbl>
      <w:tblPr>
        <w:tblLayout w:type="fixed"/>
        <w:tblInd w:w="2420" w:type="dxa"/>
        <w:tblCellMar>
          <w:top w:w="0" w:type="dxa"/>
          <w:left w:w="0" w:type="dxa"/>
          <w:bottom w:w="0" w:type="dxa"/>
          <w:right w:w="0" w:type="dxa"/>
        </w:tblCellMar>
      </w:tblPr>
      <w:tr>
        <w:trPr>
          <w:trHeight w:val="158"/>
        </w:trPr>
        <w:tc>
          <w:tcPr>
            <w:tcW w:w="3880" w:type="dxa"/>
            <w:vAlign w:val="bottom"/>
          </w:tcPr>
          <w:p>
            <w:pPr>
              <w:spacing w:after="0"/>
              <w:rPr>
                <w:sz w:val="13"/>
                <w:szCs w:val="13"/>
                <w:color w:val="auto"/>
              </w:rPr>
            </w:pPr>
          </w:p>
        </w:tc>
        <w:tc>
          <w:tcPr>
            <w:tcW w:w="2580" w:type="dxa"/>
            <w:vAlign w:val="bottom"/>
            <w:tcBorders>
              <w:bottom w:val="single" w:sz="8" w:color="auto"/>
            </w:tcBorders>
            <w:gridSpan w:val="2"/>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49"/>
        </w:trPr>
        <w:tc>
          <w:tcPr>
            <w:tcW w:w="38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(in thousands, except for share or per share data)</w:t>
            </w:r>
          </w:p>
        </w:tc>
        <w:tc>
          <w:tcPr>
            <w:tcW w:w="1300" w:type="dxa"/>
            <w:vAlign w:val="bottom"/>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80" w:type="dxa"/>
            <w:vAlign w:val="bottom"/>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2023</w:t>
            </w:r>
          </w:p>
        </w:tc>
      </w:tr>
    </w:tbl>
    <w:p>
      <w:pPr>
        <w:spacing w:after="0" w:line="1" w:lineRule="exact"/>
        <w:rPr>
          <w:sz w:val="20"/>
          <w:szCs w:val="20"/>
          <w:color w:val="auto"/>
        </w:rPr>
      </w:pPr>
    </w:p>
    <w:tbl>
      <w:tblPr>
        <w:tblLayout w:type="fixed"/>
        <w:tblInd w:w="2420" w:type="dxa"/>
        <w:tblCellMar>
          <w:top w:w="0" w:type="dxa"/>
          <w:left w:w="0" w:type="dxa"/>
          <w:bottom w:w="0" w:type="dxa"/>
          <w:right w:w="0" w:type="dxa"/>
        </w:tblCellMar>
      </w:tblPr>
      <w:tr>
        <w:trPr>
          <w:trHeight w:val="171"/>
        </w:trPr>
        <w:tc>
          <w:tcPr>
            <w:tcW w:w="37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Net income</w:t>
            </w:r>
          </w:p>
        </w:tc>
        <w:tc>
          <w:tcPr>
            <w:tcW w:w="1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111,308</w:t>
            </w:r>
          </w:p>
        </w:tc>
        <w:tc>
          <w:tcPr>
            <w:tcW w:w="2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110,083</w:t>
            </w:r>
          </w:p>
        </w:tc>
      </w:tr>
      <w:tr>
        <w:trPr>
          <w:trHeight w:val="168"/>
        </w:trPr>
        <w:tc>
          <w:tcPr>
            <w:tcW w:w="3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Noncontrolling interest</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(55,491)</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(52,202)</w:t>
            </w:r>
          </w:p>
        </w:tc>
      </w:tr>
      <w:tr>
        <w:trPr>
          <w:trHeight w:val="204"/>
        </w:trPr>
        <w:tc>
          <w:tcPr>
            <w:tcW w:w="3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r>
      <w:tr>
        <w:trPr>
          <w:trHeight w:val="160"/>
        </w:trPr>
        <w:tc>
          <w:tcPr>
            <w:tcW w:w="3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Net income available for common stockholders</w:t>
            </w:r>
          </w:p>
        </w:tc>
        <w:tc>
          <w:tcPr>
            <w:tcW w:w="32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55,817</w:t>
            </w:r>
          </w:p>
        </w:tc>
        <w:tc>
          <w:tcPr>
            <w:tcW w:w="200" w:type="dxa"/>
            <w:vAlign w:val="bottom"/>
          </w:tcPr>
          <w:p>
            <w:pPr>
              <w:spacing w:after="0"/>
              <w:rPr>
                <w:sz w:val="13"/>
                <w:szCs w:val="13"/>
                <w:color w:val="auto"/>
              </w:rPr>
            </w:pPr>
          </w:p>
        </w:tc>
        <w:tc>
          <w:tcPr>
            <w:tcW w:w="320" w:type="dxa"/>
            <w:vAlign w:val="bottom"/>
            <w:tcBorders>
              <w:bottom w:val="single" w:sz="8" w:color="auto"/>
            </w:tcBorders>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57,881</w:t>
            </w:r>
          </w:p>
        </w:tc>
      </w:tr>
      <w:tr>
        <w:trPr>
          <w:trHeight w:val="20"/>
        </w:trPr>
        <w:tc>
          <w:tcPr>
            <w:tcW w:w="3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3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53"/>
        </w:trPr>
        <w:tc>
          <w:tcPr>
            <w:tcW w:w="3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Earnings per share</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Basic</w:t>
            </w:r>
          </w:p>
        </w:tc>
        <w:tc>
          <w:tcPr>
            <w:tcW w:w="32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0.56</w:t>
            </w:r>
          </w:p>
        </w:tc>
      </w:tr>
      <w:tr>
        <w:trPr>
          <w:trHeight w:val="168"/>
        </w:trPr>
        <w:tc>
          <w:tcPr>
            <w:tcW w:w="3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Diluted</w:t>
            </w:r>
          </w:p>
        </w:tc>
        <w:tc>
          <w:tcPr>
            <w:tcW w:w="320" w:type="dxa"/>
            <w:vAlign w:val="bottom"/>
          </w:tcPr>
          <w:p>
            <w:pPr>
              <w:jc w:val="right"/>
              <w:ind w:right="176"/>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0.59</w:t>
            </w:r>
          </w:p>
        </w:tc>
        <w:tc>
          <w:tcPr>
            <w:tcW w:w="200" w:type="dxa"/>
            <w:vAlign w:val="bottom"/>
          </w:tcPr>
          <w:p>
            <w:pPr>
              <w:spacing w:after="0"/>
              <w:rPr>
                <w:sz w:val="14"/>
                <w:szCs w:val="14"/>
                <w:color w:val="auto"/>
              </w:rPr>
            </w:pPr>
          </w:p>
        </w:tc>
        <w:tc>
          <w:tcPr>
            <w:tcW w:w="320" w:type="dxa"/>
            <w:vAlign w:val="bottom"/>
          </w:tcPr>
          <w:p>
            <w:pPr>
              <w:jc w:val="right"/>
              <w:ind w:right="207"/>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0.56</w:t>
            </w:r>
          </w:p>
        </w:tc>
      </w:tr>
      <w:tr>
        <w:trPr>
          <w:trHeight w:val="204"/>
        </w:trPr>
        <w:tc>
          <w:tcPr>
            <w:tcW w:w="3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153"/>
        </w:trPr>
        <w:tc>
          <w:tcPr>
            <w:tcW w:w="3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Weighted average common shares outstanding</w:t>
            </w:r>
          </w:p>
        </w:tc>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76"/>
        </w:trPr>
        <w:tc>
          <w:tcPr>
            <w:tcW w:w="3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Basic</w:t>
            </w:r>
          </w:p>
        </w:tc>
        <w:tc>
          <w:tcPr>
            <w:tcW w:w="32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88,999,122</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97,795,957</w:t>
            </w:r>
          </w:p>
        </w:tc>
      </w:tr>
      <w:tr>
        <w:trPr>
          <w:trHeight w:val="165"/>
        </w:trPr>
        <w:tc>
          <w:tcPr>
            <w:tcW w:w="38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Diluted</w:t>
            </w:r>
          </w:p>
        </w:tc>
        <w:tc>
          <w:tcPr>
            <w:tcW w:w="3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88,999,122</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97,813,691</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Revenues</w:t>
      </w:r>
    </w:p>
    <w:p>
      <w:pPr>
        <w:spacing w:after="0" w:line="20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Revenues are generated through market marking activities, commissions and fees on execution services activities, which include recurring subscriptions on workflow technology and analytic products. The majority of our revenues are generated through market making activities, which are recorded as Trading income, net and Interest and dividends income. Commissions and fees are derived from commissions charged for trade executions in client execution services. We earn commissions and commission equivalents, as well as, in certain cases, contingent fees based on client revenues, which represent variable consideration. The services offered under these contracts have the same pattern of transfer; accordingly, they are being measured and recognized as a single performance obligation. The performance obligation is satisfied over time, and accordingly, revenue is recognized as time passes. Variable consideration has not been included in the transaction price as the amount of consideration is contingent on factors outside our control.</w:t>
      </w:r>
    </w:p>
    <w:p>
      <w:pPr>
        <w:spacing w:after="0" w:line="167" w:lineRule="exact"/>
        <w:rPr>
          <w:sz w:val="20"/>
          <w:szCs w:val="20"/>
          <w:color w:val="auto"/>
        </w:rPr>
      </w:pPr>
    </w:p>
    <w:p>
      <w:pPr>
        <w:ind w:right="100" w:firstLine="509"/>
        <w:spacing w:after="0" w:line="270" w:lineRule="auto"/>
        <w:rPr>
          <w:sz w:val="20"/>
          <w:szCs w:val="20"/>
          <w:color w:val="auto"/>
        </w:rPr>
      </w:pPr>
      <w:r>
        <w:rPr>
          <w:rFonts w:ascii="Times New Roman" w:cs="Times New Roman" w:eastAsia="Times New Roman" w:hAnsi="Times New Roman"/>
          <w:sz w:val="14"/>
          <w:szCs w:val="14"/>
          <w:color w:val="auto"/>
        </w:rPr>
        <w:t>Recurring revenues are primarily derived from workflow technology connectivity fees generated for matching client orders, and analytics services to select third parties. Revenues from connectivity fees are recognized and billed to clients on a monthly basis. Revenues from commissions attributable to analytic products under bundled arrangements are recognized over the course of the year as the performance obligations for those analytics products are satisfied.</w:t>
      </w:r>
    </w:p>
    <w:p>
      <w:pPr>
        <w:spacing w:after="0" w:line="155" w:lineRule="exact"/>
        <w:rPr>
          <w:sz w:val="20"/>
          <w:szCs w:val="20"/>
          <w:color w:val="auto"/>
        </w:rPr>
      </w:pPr>
    </w:p>
    <w:p>
      <w:pPr>
        <w:ind w:right="8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Trading income, net. </w:t>
      </w:r>
      <w:r>
        <w:rPr>
          <w:rFonts w:ascii="Times New Roman" w:cs="Times New Roman" w:eastAsia="Times New Roman" w:hAnsi="Times New Roman"/>
          <w:sz w:val="14"/>
          <w:szCs w:val="14"/>
          <w:color w:val="auto"/>
        </w:rPr>
        <w:t>Trading income, net represents revenue earned from bid/ask spreads. Trading income is generated in the normal course of our market making activities and is typically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proportional to the level of trading activity, or volumes, and bid/ask spreads in the asset classes we serve. Our trading income is highly diversified by asset class and geography and comprises small amounts earned on millions of trades on various exchanges. Our trading income, net, results from gains and losses associated with trading strategies, which are designed to capture small bid/ask spreads, while hedging risks. Trading income, net, accounted for 63% and 66% of our total revenues for the three months ended March 31, 2024 and 2023, respectively.</w:t>
      </w:r>
    </w:p>
    <w:p>
      <w:pPr>
        <w:spacing w:after="0" w:line="159" w:lineRule="exact"/>
        <w:rPr>
          <w:sz w:val="20"/>
          <w:szCs w:val="20"/>
          <w:color w:val="auto"/>
        </w:rPr>
      </w:pPr>
    </w:p>
    <w:p>
      <w:pPr>
        <w:ind w:right="12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income. </w:t>
      </w:r>
      <w:r>
        <w:rPr>
          <w:rFonts w:ascii="Times New Roman" w:cs="Times New Roman" w:eastAsia="Times New Roman" w:hAnsi="Times New Roman"/>
          <w:sz w:val="14"/>
          <w:szCs w:val="14"/>
          <w:color w:val="auto"/>
        </w:rPr>
        <w:t>Our market making activities require us to hold securities on a regular basis, and we generate revenues in the form of interest and dividends income from</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these securities. Interest is also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55" w:lineRule="exact"/>
        <w:rPr>
          <w:sz w:val="20"/>
          <w:szCs w:val="20"/>
          <w:color w:val="auto"/>
        </w:rPr>
      </w:pPr>
    </w:p>
    <w:p>
      <w:pPr>
        <w:ind w:right="40" w:firstLine="50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Commissions, net and technology services. </w:t>
      </w:r>
      <w:r>
        <w:rPr>
          <w:rFonts w:ascii="Times New Roman" w:cs="Times New Roman" w:eastAsia="Times New Roman" w:hAnsi="Times New Roman"/>
          <w:sz w:val="14"/>
          <w:szCs w:val="14"/>
          <w:color w:val="auto"/>
        </w:rPr>
        <w:t>We earn revenues on transactions for which we charge explicit commissions or commission equivalents, which include the majority of our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institutional client orders. Commissions and fees are primarily affected by changes in our equities, fixed income and futures transaction volumes with institutional clients, which vary based on client relationships; changes in commission rates; client experience on the various platforms; level of volume-based fees from providing liquidity to other trading venues; and the level of our soft dollar and commission recapture activity. Client commission fees are charged for client trades executed by us on behalf of third-party broker-dealers and other financial institutions. Revenue is recognized on a trade date basis, which is the point at which the performance obligation to the customer is satisfied, based on the trade being executed. In addition, we offer workflow technology and analytics services to select third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auto"/>
        </w:rPr>
        <w:t>parties. Revenues are derived from fees generated by matching sell-side and buy-side clients orders, and from analytic products delivered to the clients.</w:t>
      </w:r>
    </w:p>
    <w:p>
      <w:pPr>
        <w:spacing w:after="0" w:line="198" w:lineRule="exact"/>
        <w:rPr>
          <w:sz w:val="20"/>
          <w:szCs w:val="20"/>
          <w:color w:val="auto"/>
        </w:rPr>
      </w:pPr>
    </w:p>
    <w:p>
      <w:pPr>
        <w:ind w:right="6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net. </w:t>
      </w:r>
      <w:r>
        <w:rPr>
          <w:rFonts w:ascii="Times New Roman" w:cs="Times New Roman" w:eastAsia="Times New Roman" w:hAnsi="Times New Roman"/>
          <w:sz w:val="14"/>
          <w:szCs w:val="14"/>
          <w:color w:val="auto"/>
        </w:rPr>
        <w:t>We have interests in multiple strategic investments and telecommunications joint ventures (“JVs”). We record our pro-rata share of each JV’s earnings or losses within Other, net,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while fees related to the use of communication services provided by the JVs are recorded within Communications and data processing.</w:t>
      </w:r>
    </w:p>
    <w:p>
      <w:pPr>
        <w:spacing w:after="0" w:line="133" w:lineRule="exact"/>
        <w:rPr>
          <w:sz w:val="20"/>
          <w:szCs w:val="20"/>
          <w:color w:val="auto"/>
        </w:rPr>
      </w:pPr>
    </w:p>
    <w:p>
      <w:pPr>
        <w:jc w:val="both"/>
        <w:ind w:right="300" w:firstLine="509"/>
        <w:spacing w:after="0" w:line="254" w:lineRule="auto"/>
        <w:rPr>
          <w:sz w:val="20"/>
          <w:szCs w:val="20"/>
          <w:color w:val="auto"/>
        </w:rPr>
      </w:pPr>
      <w:r>
        <w:rPr>
          <w:rFonts w:ascii="Times New Roman" w:cs="Times New Roman" w:eastAsia="Times New Roman" w:hAnsi="Times New Roman"/>
          <w:sz w:val="14"/>
          <w:szCs w:val="14"/>
          <w:color w:val="auto"/>
        </w:rPr>
        <w:t>We have a noncontrolling investment (the “JNX Investment”) in Japannext Co., Ltd. (“JNX”), a proprietary trading system based in Tokyo. In connection with the investment, we issued bonds to certain affiliates of JNX and used the proceeds to partially finance the transaction. Revenues or losses are recognized due to the changes in fair value of the investment or fluctuations in Japanese Yen conversion rates within Other, net.</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Other, net can also include gains on sales of strategic investments and businesses, as well as revenues from service agreements related to the sale of businesses.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0" w:lineRule="exact"/>
        <w:rPr>
          <w:sz w:val="20"/>
          <w:szCs w:val="20"/>
          <w:color w:val="auto"/>
        </w:rPr>
      </w:pPr>
    </w:p>
    <w:p>
      <w:pPr>
        <w:ind w:right="120" w:firstLine="509"/>
        <w:spacing w:after="0" w:line="260"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Brokerage, exchange, clearance fees and payments for order flow, net. </w:t>
      </w:r>
      <w:r>
        <w:rPr>
          <w:rFonts w:ascii="Times New Roman" w:cs="Times New Roman" w:eastAsia="Times New Roman" w:hAnsi="Times New Roman"/>
          <w:sz w:val="14"/>
          <w:szCs w:val="14"/>
          <w:color w:val="auto"/>
        </w:rPr>
        <w:t>Brokerage, exchange, clearance fees and payments for order flow are our most significant expenses, which include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direct expenses of executing and clearing transactions that we consummate in the course of our market making activities. Brokerage, exchange, clearance fees and payments for order flow primarily consist of fees charged by third parties for executing, processing and settling trades. These fees generally increase and decrease in direct correlation with the level of our trading activity. Execution fees are paid primarily to exchanges and venues where we trade. Clearance fees are paid to clearing houses and clearing agents. Payments for order flow represent payments to broker-dealer clients, in the normal course of business, for directing their order flow in U.S. equities to the Company. Rebates based on volume discounts, credits or payments received from exchanges or other marketplaces are netted against brokerage, exchange, clearance fees and payments for order flow.</w:t>
      </w:r>
    </w:p>
    <w:p>
      <w:pPr>
        <w:spacing w:after="0" w:line="163" w:lineRule="exact"/>
        <w:rPr>
          <w:sz w:val="20"/>
          <w:szCs w:val="20"/>
          <w:color w:val="auto"/>
        </w:rPr>
      </w:pPr>
    </w:p>
    <w:p>
      <w:pPr>
        <w:ind w:right="22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Communication and data processing. </w:t>
      </w:r>
      <w:r>
        <w:rPr>
          <w:rFonts w:ascii="Times New Roman" w:cs="Times New Roman" w:eastAsia="Times New Roman" w:hAnsi="Times New Roman"/>
          <w:sz w:val="14"/>
          <w:szCs w:val="14"/>
          <w:color w:val="auto"/>
        </w:rPr>
        <w:t>Communication and data processing represent primarily fixed expenses for data center co-location, network lines and connectivity for our trading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centers and co-location facilities. Communications expense consists primarily of the cost of voice and data telecommunication lines supporting our business, including connectivity to data centers, exchanges, markets and liquidity pools around the world, and data processing expense consists primarily of market data subscription fees that we pay to third parties to receive price quotes and related information.</w:t>
      </w:r>
    </w:p>
    <w:p>
      <w:pPr>
        <w:spacing w:after="0" w:line="159" w:lineRule="exact"/>
        <w:rPr>
          <w:sz w:val="20"/>
          <w:szCs w:val="20"/>
          <w:color w:val="auto"/>
        </w:rPr>
      </w:pPr>
    </w:p>
    <w:p>
      <w:pPr>
        <w:ind w:right="12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Employee compensation and payroll taxes. </w:t>
      </w:r>
      <w:r>
        <w:rPr>
          <w:rFonts w:ascii="Times New Roman" w:cs="Times New Roman" w:eastAsia="Times New Roman" w:hAnsi="Times New Roman"/>
          <w:sz w:val="14"/>
          <w:szCs w:val="14"/>
          <w:color w:val="auto"/>
        </w:rPr>
        <w:t>Employee compensation and payroll taxes include employee salaries, cash and non-cash incentive compensation, employee benefits, payroll</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taxes, severance and other employee related costs. Employee compensation and payroll taxes also includes non-cash compensation expenses with respect to restricted stock units and restricted stock awards pursuant to the Amended and Restated 2015 Management Incentive Plan and Class A Common Stock underlying certain awards assumed pursuant to the Amended and Restated ITG 2007 Equity Plan.</w:t>
      </w:r>
    </w:p>
    <w:p>
      <w:pPr>
        <w:spacing w:after="0" w:line="159" w:lineRule="exact"/>
        <w:rPr>
          <w:sz w:val="20"/>
          <w:szCs w:val="20"/>
          <w:color w:val="auto"/>
        </w:rPr>
      </w:pPr>
    </w:p>
    <w:p>
      <w:pPr>
        <w:ind w:right="36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expense. </w:t>
      </w:r>
      <w:r>
        <w:rPr>
          <w:rFonts w:ascii="Times New Roman" w:cs="Times New Roman" w:eastAsia="Times New Roman" w:hAnsi="Times New Roman"/>
          <w:sz w:val="14"/>
          <w:szCs w:val="14"/>
          <w:color w:val="auto"/>
        </w:rPr>
        <w:t>We incur interest expense from loaning certain equity securities in the general course of our market making activities pursuant to collateralized lending</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transactions. Typically, dividends expense is incurred when a dividend is paid on securities sold short.</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Operations and administrative. </w:t>
      </w:r>
      <w:r>
        <w:rPr>
          <w:rFonts w:ascii="Times New Roman" w:cs="Times New Roman" w:eastAsia="Times New Roman" w:hAnsi="Times New Roman"/>
          <w:sz w:val="14"/>
          <w:szCs w:val="14"/>
          <w:color w:val="auto"/>
        </w:rPr>
        <w:t>Operations and administrative expense represents occupancy, recruiting, travel and related expense, professional fees and other expenses.</w:t>
      </w:r>
    </w:p>
    <w:p>
      <w:pPr>
        <w:spacing w:after="0" w:line="200"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and amortization. </w:t>
      </w:r>
      <w:r>
        <w:rPr>
          <w:rFonts w:ascii="Times New Roman" w:cs="Times New Roman" w:eastAsia="Times New Roman" w:hAnsi="Times New Roman"/>
          <w:sz w:val="14"/>
          <w:szCs w:val="14"/>
          <w:color w:val="auto"/>
        </w:rPr>
        <w:t>Depreciation and amortization expense results from the depreciation of fixed assets and leased equipment, such as computing and communications hardware,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as well as amortization of leasehold improvements and capitalized in-house software development. We depreciate our computer hardware and related software, office hardware and furniture and fixtures on a straight-line basis over a period of 3 to 7 years based on the estimated useful life of the underlying asset, and we amortize our capitalized software development costs on a straight-line basis over a period of 1.5 to 3 years, which represents the estimated useful lives of the underlying software. We amortize leasehold improvements on a straight-line basis over the lesser of the life of the improvement or the term of the lease.</w:t>
      </w:r>
    </w:p>
    <w:p>
      <w:pPr>
        <w:spacing w:after="0" w:line="16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Amortization of purchased intangibles and acquired capitalized software. </w:t>
      </w:r>
      <w:r>
        <w:rPr>
          <w:rFonts w:ascii="Times New Roman" w:cs="Times New Roman" w:eastAsia="Times New Roman" w:hAnsi="Times New Roman"/>
          <w:sz w:val="14"/>
          <w:szCs w:val="14"/>
          <w:color w:val="auto"/>
        </w:rPr>
        <w:t>Amortization of purchased intangibles and acquired capitalized software represents the amortization of finite lived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intangible assets acquired in connection with the Acquisition of KCG and the ITG Acquisition. These assets are amortized over their useful lives, ranging from 1 to 15 years, except for certain assets which were categorized as having indefinite useful lives.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9" w:right="319" w:bottom="1440" w:gutter="0" w:footer="0" w:header="0"/>
        </w:sectPr>
      </w:pPr>
    </w:p>
    <w:bookmarkStart w:id="52" w:name="page53"/>
    <w:bookmarkEnd w:id="52"/>
    <w:p>
      <w:pPr>
        <w:ind w:right="26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Termination of office leases. </w:t>
      </w:r>
      <w:r>
        <w:rPr>
          <w:rFonts w:ascii="Times New Roman" w:cs="Times New Roman" w:eastAsia="Times New Roman" w:hAnsi="Times New Roman"/>
          <w:sz w:val="14"/>
          <w:szCs w:val="14"/>
          <w:color w:val="auto"/>
        </w:rPr>
        <w:t>Termination of office leases represents the write-off expense related to certain office space we ceased use of as part of the effort to integrate and consolidate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office space. The aggregate write-off amount includes the impairment of operating lease right-of-use assets, leasehold improvements and fixed assets, and dilapidation charges.</w:t>
      </w:r>
    </w:p>
    <w:p>
      <w:pPr>
        <w:spacing w:after="0" w:line="141" w:lineRule="exact"/>
        <w:rPr>
          <w:sz w:val="20"/>
          <w:szCs w:val="20"/>
          <w:color w:val="auto"/>
        </w:rPr>
      </w:pPr>
    </w:p>
    <w:p>
      <w:pPr>
        <w:ind w:right="8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issue cost related to debt refinancing, prepayment and commitment fees. </w:t>
      </w:r>
      <w:r>
        <w:rPr>
          <w:rFonts w:ascii="Times New Roman" w:cs="Times New Roman" w:eastAsia="Times New Roman" w:hAnsi="Times New Roman"/>
          <w:sz w:val="14"/>
          <w:szCs w:val="14"/>
          <w:color w:val="auto"/>
        </w:rPr>
        <w:t>As a result of the refinancing or early termination of our long-term borrowings, we accelerate the capitalized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debt issue cost and the discount on the term loan that would otherwise be amortized or accreted over the life of the term loan. Premium paid in connection with retiring outstanding bonds, and commitment fees paid for lines of credit are also included in this category.</w:t>
      </w:r>
    </w:p>
    <w:p>
      <w:pPr>
        <w:spacing w:after="0" w:line="155" w:lineRule="exact"/>
        <w:rPr>
          <w:sz w:val="20"/>
          <w:szCs w:val="20"/>
          <w:color w:val="auto"/>
        </w:rPr>
      </w:pPr>
    </w:p>
    <w:p>
      <w:pPr>
        <w:ind w:right="70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Transaction advisory fees and expenses. </w:t>
      </w:r>
      <w:r>
        <w:rPr>
          <w:rFonts w:ascii="Times New Roman" w:cs="Times New Roman" w:eastAsia="Times New Roman" w:hAnsi="Times New Roman"/>
          <w:sz w:val="14"/>
          <w:szCs w:val="14"/>
          <w:color w:val="auto"/>
        </w:rPr>
        <w:t>Transaction advisory fees and expenses primarily reflect professional fees incurred by us in connection with one or more acquisitions 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dispositions.</w:t>
      </w:r>
    </w:p>
    <w:p>
      <w:pPr>
        <w:spacing w:after="0" w:line="14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b w:val="1"/>
          <w:bCs w:val="1"/>
          <w:i w:val="1"/>
          <w:iCs w:val="1"/>
          <w:color w:val="auto"/>
        </w:rPr>
        <w:t xml:space="preserve">Financing interest expense on long-term borrowings. </w:t>
      </w:r>
      <w:r>
        <w:rPr>
          <w:rFonts w:ascii="Times New Roman" w:cs="Times New Roman" w:eastAsia="Times New Roman" w:hAnsi="Times New Roman"/>
          <w:sz w:val="14"/>
          <w:szCs w:val="14"/>
          <w:color w:val="auto"/>
        </w:rPr>
        <w:t>Financing interest expense reflects interest accrued on outstanding indebtedness under our long-term borrowing arrangements.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We are subject to U.S. federal, state and local income tax at the rate applicable to corporations less the rate attributable to the noncontrolling interest in Virtu Financial. Our non-U.S.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are also subject to foreign income tax at the applicable corporate rates.</w:t>
      </w:r>
    </w:p>
    <w:p>
      <w:pPr>
        <w:spacing w:after="0" w:line="175" w:lineRule="exact"/>
        <w:rPr>
          <w:sz w:val="20"/>
          <w:szCs w:val="20"/>
          <w:color w:val="auto"/>
        </w:rPr>
      </w:pPr>
    </w:p>
    <w:p>
      <w:pPr>
        <w:ind w:right="20" w:firstLine="509"/>
        <w:spacing w:after="0" w:line="245" w:lineRule="auto"/>
        <w:rPr>
          <w:sz w:val="20"/>
          <w:szCs w:val="20"/>
          <w:color w:val="auto"/>
        </w:rPr>
      </w:pPr>
      <w:r>
        <w:rPr>
          <w:rFonts w:ascii="Times New Roman" w:cs="Times New Roman" w:eastAsia="Times New Roman" w:hAnsi="Times New Roman"/>
          <w:sz w:val="14"/>
          <w:szCs w:val="14"/>
          <w:color w:val="auto"/>
        </w:rPr>
        <w:t>Our effective tax rate is subject to significant variation due to several factors, including variability in our pre-tax and taxable income and loss and the jurisdictions to which they relate, changes in how we do business, acquisitions and investments, audit-related developments, tax law developments (including changes in statutes, regulations, case law, and administrative practices), and relative changes of expenses or losses for which tax benefits are not recognized. Additionally, our effective tax rate can be more or less volatile based on the amount of pre-tax income or loss. For example, the impact of discrete items and non-deductible expenses on our effective tax rate is greater when our pre-tax income is lower. Our effective tax rate may also be impacted by changes in the portion of income that is attributable to the noncontrolling interest.</w:t>
      </w:r>
    </w:p>
    <w:p>
      <w:pPr>
        <w:spacing w:after="0" w:line="176"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regularly assess whether it is more likely than not that we will realize our deferred tax assets in each taxing jurisdiction in which we operate. In performing this assessment with respect to each jurisdiction, we review all available evidence, including actual and expected future earnings, capital gains, and investment in such jurisdiction, the carry-forward periods available to us for tax reporting purposes, and other relevant factors. See Note 13 “Income Taxes” of Part I Item 1 “Financial Statements” of this Quarterly Report on Form 10-Q for additional information.</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color w:val="auto"/>
        </w:rPr>
        <w:t>Non-GAAP Financial Measures and Other Items</w:t>
      </w:r>
    </w:p>
    <w:p>
      <w:pPr>
        <w:spacing w:after="0" w:line="202"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To supplement our Condensed Consolidated Financial Statements presented in accordance with generally accepted accounting principles in the United States (“U.S. GAAP”), we use the following non-U.S. GAAP (“Non-GAAP”) financial measures of financial performance:</w:t>
      </w:r>
    </w:p>
    <w:p>
      <w:pPr>
        <w:spacing w:after="0" w:line="145" w:lineRule="exact"/>
        <w:rPr>
          <w:sz w:val="20"/>
          <w:szCs w:val="20"/>
          <w:color w:val="auto"/>
        </w:rPr>
      </w:pPr>
    </w:p>
    <w:p>
      <w:pPr>
        <w:ind w:left="840" w:hanging="199"/>
        <w:spacing w:after="0" w:line="259" w:lineRule="auto"/>
        <w:tabs>
          <w:tab w:leader="none" w:pos="8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Net Trading Income”, which is the amount of revenue we generate from our market making activities, or Trading income, net, plus Commissions, net and technology services, plus Interest and dividends income, less direct costs associated with those revenues, including Brokerage, exchange, clearance fees and payments for order flow, net, and Interest and dividends expense. We also disclose Adjusted Net Trading Income by segment, including daily averages. Management believes that Adjusted Net Trading Income is useful for comparing general operating performance from period to period. Although we use Adjusted Net Trading Income as a financial measure to assess the performance of our business, the use of Adjusted Net Trading Income is limited because it does not include certain material costs that are necessary to operate our business. Our presentation of Adjusted Net Trading Income should not be construed as an indication that our future results will be unaffected by revenues or expenses that are not directly associated with our core business activities.</w:t>
      </w:r>
    </w:p>
    <w:p>
      <w:pPr>
        <w:spacing w:after="0" w:line="61" w:lineRule="exact"/>
        <w:rPr>
          <w:rFonts w:ascii="Times New Roman" w:cs="Times New Roman" w:eastAsia="Times New Roman" w:hAnsi="Times New Roman"/>
          <w:sz w:val="14"/>
          <w:szCs w:val="14"/>
          <w:color w:val="auto"/>
        </w:rPr>
      </w:pPr>
    </w:p>
    <w:p>
      <w:pPr>
        <w:ind w:left="840" w:right="100" w:hanging="199"/>
        <w:spacing w:after="0" w:line="261" w:lineRule="auto"/>
        <w:tabs>
          <w:tab w:leader="none" w:pos="8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“EBITDA”, which measures our operating performance by adjusting Net Income to exclude Financing interest expense on long-term borrowings, Debt issue cost related to debt refinancing, prepayment, and commitment fees, Depreciation and amortization, Amortization of purchased intangibles and acquired capitalized software, and Income tax expense, and “Adjusted EBITDA”, which measures our operating performance by further adjusting EBITDA to exclude severance, transaction advisory fees and expenses, termination of office leases, charges related to share-based compensation and other expenses, which includes reserves for legal matters, and Other, net, which includes gains and losses from strategic investments, the sales of businesses, and other income.</w:t>
      </w:r>
    </w:p>
    <w:p>
      <w:pPr>
        <w:spacing w:after="0" w:line="58" w:lineRule="exact"/>
        <w:rPr>
          <w:rFonts w:ascii="Times New Roman" w:cs="Times New Roman" w:eastAsia="Times New Roman" w:hAnsi="Times New Roman"/>
          <w:sz w:val="14"/>
          <w:szCs w:val="14"/>
          <w:color w:val="auto"/>
        </w:rPr>
      </w:pPr>
    </w:p>
    <w:p>
      <w:pPr>
        <w:ind w:left="840" w:right="180" w:hanging="199"/>
        <w:spacing w:after="0" w:line="270" w:lineRule="auto"/>
        <w:tabs>
          <w:tab w:leader="none" w:pos="8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“Normalized Adjusted Net Income”, “Normalized Adjusted Net Income before income taxes”, “Normalized provision for income taxes”, and “Normalized Adjusted EPS”, which we calculate by adjusting Net Income to exclude certain items, and other non-cash items, assuming that all vested and unvested Virtu Financial Units have been exchanged for Class A Common Stock, and applying an effective tax rate, which was approximately 24%.</w:t>
      </w:r>
    </w:p>
    <w:p>
      <w:pPr>
        <w:spacing w:after="0" w:line="50"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Margins, which are calculated by dividing net income, EBITDA, and Adjusted EBITDA by Adjusted Net Trading Income.</w:t>
      </w:r>
    </w:p>
    <w:p>
      <w:pPr>
        <w:spacing w:after="0" w:line="200"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4"/>
          <w:szCs w:val="14"/>
          <w:color w:val="auto"/>
        </w:rPr>
        <w:t>Adjusted Net Trading Income, EBITDA, Adjusted EBITDA, Normalized Adjusted Net Income, Normalized Adjusted Net Income before income taxes, Normalized provision for income taxes, Normalized Adjusted EPS, and Operating Margins (collectively, the “Company's Non-GAAP Measures”) are non-GAAP financial measures used by management in evaluating operating performance and in making strategic decisions. In addition, the Company's Non-GAAP Measures or similar non-GAAP financial measures are used by research analysts, investment bankers and lenders to assess our operating performance. Management believes that the presentation of the Company's Non-GAAP Measures provides useful information to investors regarding our results of operations and cash flows because they assist both investors and management in analyzing and benchmarking the performance and value of our business. The Company's Non-GAAP Measures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 covenants and other tests based on metrics similar to Adjusted EBITDA. Other companies may define Adjusted Net Trading Income, Adjusted EBITDA, Normalized Adjusted Net Income, Normalized Adjusted Net Income before income taxes, Normalized provision for income taxes, Normalized Adjusted EPS, and Operating Margins differently, and as a result the Company's Non-GAAP Measures may not be directly comparable to those of other companies. Although we use the Company's Non-GAAP Measures as financial measures to assess the performance of our business, such use is limited because they do not include certain material costs necessary to operate our business.</w:t>
      </w:r>
    </w:p>
    <w:p>
      <w:pPr>
        <w:spacing w:after="0" w:line="169"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The Company's Non-GAAP Measures should be considered in addition to, and not as a substitute for, Net Income in accordance with U.S. GAAP as a measure of performance. Our presentation of the Company's Non-GAAP Measures should not be construed as an indication that our future results will be unaffected by unusual or nonrecurring items. The Company's Non-GAAP Measures have limitations as analytical tools, and you should not consider them in isolation or as substitutes for analysis of our results as reported under U.S. GAAP. Some of these limitations are:</w:t>
      </w:r>
    </w:p>
    <w:p>
      <w:pPr>
        <w:spacing w:after="0" w:line="157" w:lineRule="exact"/>
        <w:rPr>
          <w:sz w:val="20"/>
          <w:szCs w:val="20"/>
          <w:color w:val="auto"/>
        </w:rPr>
      </w:pPr>
    </w:p>
    <w:p>
      <w:pPr>
        <w:ind w:left="820" w:hanging="179"/>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every cash expenditure, future requirements for capital expenditures or contractual commitments;</w:t>
      </w:r>
    </w:p>
    <w:p>
      <w:pPr>
        <w:spacing w:after="0" w:line="93"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EBITDA-based measures do not reflect the significant interest expense or the cash requirements necessary to service interest or principal payment on our debt;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2" w:right="319" w:bottom="1440" w:gutter="0" w:footer="0" w:header="0"/>
        </w:sectPr>
      </w:pPr>
    </w:p>
    <w:bookmarkStart w:id="54" w:name="page55"/>
    <w:bookmarkEnd w:id="54"/>
    <w:p>
      <w:pPr>
        <w:ind w:left="840" w:right="160" w:hanging="199"/>
        <w:spacing w:after="0" w:line="287" w:lineRule="auto"/>
        <w:tabs>
          <w:tab w:leader="none" w:pos="8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although depreciation and amortization are non-cash charges, the assets being depreciated and amortized will often have to be replaced or require improvements in the future, and our EBITDA-based measures do not reflect any cash requirement for such replacements or improvements;</w:t>
      </w:r>
    </w:p>
    <w:p>
      <w:pPr>
        <w:spacing w:after="0" w:line="39"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are not adjusted for all non-cash income or expense items that are reflected in our consolidated statements of cash flows;</w:t>
      </w:r>
    </w:p>
    <w:p>
      <w:pPr>
        <w:spacing w:after="0" w:line="93"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the impact of earnings or charges resulting from matters we consider not to be indicative of our ongoing operations; and</w:t>
      </w:r>
    </w:p>
    <w:p>
      <w:pPr>
        <w:spacing w:after="0" w:line="93" w:lineRule="exact"/>
        <w:rPr>
          <w:rFonts w:ascii="Times New Roman" w:cs="Times New Roman" w:eastAsia="Times New Roman" w:hAnsi="Times New Roman"/>
          <w:sz w:val="14"/>
          <w:szCs w:val="14"/>
          <w:color w:val="auto"/>
        </w:rPr>
      </w:pPr>
    </w:p>
    <w:p>
      <w:pPr>
        <w:ind w:left="820" w:hanging="179"/>
        <w:spacing w:after="0"/>
        <w:tabs>
          <w:tab w:leader="none" w:pos="8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they do not reflect limitations on our costs related to transferring earnings from our subsidiaries to us.</w:t>
      </w:r>
    </w:p>
    <w:p>
      <w:pPr>
        <w:spacing w:after="0" w:line="20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Because of these limitations, the Company's Non-GAAP Measures are not intended as alternatives to Net Income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the Company's Non-GAAP Measures along with other comparative tools, together with U.S. GAAP measurements, to assist in the evaluation of operating performance. These U.S. GAAP measurements include operating Net Income, cash flows from operations and cash flow data. See below a reconciliation of each of the Company's Non-GAAP Measures to the most directly comparable U.S. GAAP measure.</w:t>
      </w:r>
    </w:p>
    <w:p>
      <w:pPr>
        <w:spacing w:after="0" w:line="164"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The following table reconciles the Condensed Consolidated Statements of Comprehensive Income to arrive at Adjusted Net Trading Income, EBITDA, Adjusted EBITDA, and Operating Margins for the three months ended March 31, 2024 and 2023.</w:t>
      </w:r>
    </w:p>
    <w:p>
      <w:pPr>
        <w:spacing w:after="0" w:line="173" w:lineRule="exact"/>
        <w:rPr>
          <w:sz w:val="20"/>
          <w:szCs w:val="20"/>
          <w:color w:val="auto"/>
        </w:rPr>
      </w:pPr>
    </w:p>
    <w:tbl>
      <w:tblPr>
        <w:tblLayout w:type="fixed"/>
        <w:tblInd w:w="1280" w:type="dxa"/>
        <w:tblCellMar>
          <w:top w:w="0" w:type="dxa"/>
          <w:left w:w="0" w:type="dxa"/>
          <w:bottom w:w="0" w:type="dxa"/>
          <w:right w:w="0" w:type="dxa"/>
        </w:tblCellMar>
      </w:tblPr>
      <w:tr>
        <w:trPr>
          <w:trHeight w:val="158"/>
        </w:trPr>
        <w:tc>
          <w:tcPr>
            <w:tcW w:w="5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420" w:type="dxa"/>
            <w:vAlign w:val="bottom"/>
            <w:tcBorders>
              <w:bottom w:val="single" w:sz="8" w:color="auto"/>
            </w:tcBorders>
            <w:gridSpan w:val="4"/>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00" w:type="dxa"/>
            <w:vAlign w:val="bottom"/>
          </w:tcPr>
          <w:p>
            <w:pPr>
              <w:spacing w:after="0"/>
              <w:rPr>
                <w:sz w:val="13"/>
                <w:szCs w:val="13"/>
                <w:color w:val="auto"/>
              </w:rPr>
            </w:pPr>
          </w:p>
        </w:tc>
        <w:tc>
          <w:tcPr>
            <w:tcW w:w="100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5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Trading income, net to Adjusted Net Trading Income</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408,095</w:t>
            </w:r>
          </w:p>
        </w:tc>
        <w:tc>
          <w:tcPr>
            <w:tcW w:w="12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412,511</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105,992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82,244</w:t>
            </w: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118,611</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121,444</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(139,799)</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(145,523)</w:t>
            </w:r>
          </w:p>
        </w:tc>
      </w:tr>
      <w:tr>
        <w:trPr>
          <w:trHeight w:val="153"/>
        </w:trPr>
        <w:tc>
          <w:tcPr>
            <w:tcW w:w="60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(126,028)</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1"/>
                <w:szCs w:val="11"/>
                <w:color w:val="auto"/>
              </w:rPr>
              <w:t>(97,601)</w:t>
            </w:r>
          </w:p>
        </w:tc>
      </w:tr>
      <w:tr>
        <w:trPr>
          <w:trHeight w:val="181"/>
        </w:trPr>
        <w:tc>
          <w:tcPr>
            <w:tcW w:w="6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Net Trading Income</w:t>
            </w: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366,871</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373,075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69"/>
        </w:trPr>
        <w:tc>
          <w:tcPr>
            <w:tcW w:w="586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r>
      <w:tr>
        <w:trPr>
          <w:trHeight w:val="159"/>
        </w:trPr>
        <w:tc>
          <w:tcPr>
            <w:tcW w:w="6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Net Income to EBITDA and Adjusted EBITDA</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111,308</w:t>
            </w:r>
          </w:p>
        </w:tc>
        <w:tc>
          <w:tcPr>
            <w:tcW w:w="120" w:type="dxa"/>
            <w:vAlign w:val="bottom"/>
          </w:tcPr>
          <w:p>
            <w:pPr>
              <w:spacing w:after="0"/>
              <w:rPr>
                <w:sz w:val="13"/>
                <w:szCs w:val="13"/>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110,083</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Financing interest expense on long-term borrowings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23,232</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24,288</w:t>
            </w: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Debt issue cost related to debt refinancing, prepayment, and commitment fees</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1,694</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2,176</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16,076</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15,348</w:t>
            </w: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14,687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16,020</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28,512</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24,682</w:t>
            </w:r>
          </w:p>
        </w:tc>
      </w:tr>
      <w:tr>
        <w:trPr>
          <w:trHeight w:val="14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EBITDA</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195,509</w:t>
            </w:r>
          </w:p>
        </w:tc>
        <w:tc>
          <w:tcPr>
            <w:tcW w:w="12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192,597</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Severance</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1,485</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2,646</w:t>
            </w: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Transaction advisory fees and expenses</w:t>
            </w: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135</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15</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96</w:t>
            </w: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tcPr>
          <w:p>
            <w:pPr>
              <w:spacing w:after="0"/>
              <w:rPr>
                <w:sz w:val="13"/>
                <w:szCs w:val="13"/>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(9,347)</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(3,468)</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Share based compensation</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15,033</w:t>
            </w:r>
          </w:p>
        </w:tc>
        <w:tc>
          <w:tcPr>
            <w:tcW w:w="1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15,583</w:t>
            </w:r>
          </w:p>
        </w:tc>
      </w:tr>
      <w:tr>
        <w:trPr>
          <w:trHeight w:val="150"/>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EBITDA</w:t>
            </w: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202,832</w:t>
            </w:r>
          </w:p>
        </w:tc>
        <w:tc>
          <w:tcPr>
            <w:tcW w:w="120" w:type="dxa"/>
            <w:vAlign w:val="bottom"/>
          </w:tcPr>
          <w:p>
            <w:pPr>
              <w:spacing w:after="0"/>
              <w:rPr>
                <w:sz w:val="13"/>
                <w:szCs w:val="13"/>
                <w:color w:val="auto"/>
              </w:rPr>
            </w:pPr>
          </w:p>
        </w:tc>
        <w:tc>
          <w:tcPr>
            <w:tcW w:w="30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207,469</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9"/>
        </w:trPr>
        <w:tc>
          <w:tcPr>
            <w:tcW w:w="58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r>
      <w:tr>
        <w:trPr>
          <w:trHeight w:val="154"/>
        </w:trPr>
        <w:tc>
          <w:tcPr>
            <w:tcW w:w="60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Selected Operating Margins</w:t>
            </w: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4"/>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GAAP Net income Margin (1)</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17.3 %</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17.7 %</w:t>
            </w:r>
          </w:p>
        </w:tc>
      </w:tr>
      <w:tr>
        <w:trPr>
          <w:trHeight w:val="153"/>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Non-GAAP Net income Margin (2)</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30.3 %</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29.5 %</w:t>
            </w:r>
          </w:p>
        </w:tc>
      </w:tr>
      <w:tr>
        <w:trPr>
          <w:trHeight w:val="165"/>
        </w:trPr>
        <w:tc>
          <w:tcPr>
            <w:tcW w:w="6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EBITDA Margin (3)</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53.3 %</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51.6 %</w:t>
            </w:r>
          </w:p>
        </w:tc>
      </w:tr>
      <w:tr>
        <w:trPr>
          <w:trHeight w:val="147"/>
        </w:trPr>
        <w:tc>
          <w:tcPr>
            <w:tcW w:w="600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Adjusted EBITDA Margin (4)</w:t>
            </w: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55.3 %</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55.6 %</w:t>
            </w:r>
          </w:p>
        </w:tc>
      </w:tr>
    </w:tbl>
    <w:p>
      <w:pPr>
        <w:spacing w:after="0" w:line="76" w:lineRule="exact"/>
        <w:rPr>
          <w:sz w:val="20"/>
          <w:szCs w:val="20"/>
          <w:color w:val="auto"/>
        </w:rPr>
      </w:pPr>
    </w:p>
    <w:p>
      <w:pPr>
        <w:ind w:left="320" w:hanging="315"/>
        <w:spacing w:after="0"/>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Net Income by Total Revenue.</w:t>
      </w:r>
    </w:p>
    <w:p>
      <w:pPr>
        <w:spacing w:after="0" w:line="13"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Net Income by Adjusted Net Trading Income.</w:t>
      </w:r>
    </w:p>
    <w:p>
      <w:pPr>
        <w:ind w:left="320" w:hanging="315"/>
        <w:spacing w:after="0"/>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EBITDA by Adjusted Net Trading Income.</w:t>
      </w:r>
    </w:p>
    <w:p>
      <w:pPr>
        <w:spacing w:after="0" w:line="1" w:lineRule="exact"/>
        <w:rPr>
          <w:rFonts w:ascii="Times New Roman" w:cs="Times New Roman" w:eastAsia="Times New Roman" w:hAnsi="Times New Roman"/>
          <w:sz w:val="13"/>
          <w:szCs w:val="13"/>
          <w:color w:val="auto"/>
        </w:rPr>
      </w:pPr>
    </w:p>
    <w:p>
      <w:pPr>
        <w:ind w:left="320" w:hanging="315"/>
        <w:spacing w:after="0"/>
        <w:tabs>
          <w:tab w:leader="none" w:pos="320"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Calculated by dividing Adjusted EBITDA by Adjusted Net Trading Income.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5" w:name="page56"/>
    <w:bookmarkEnd w:id="55"/>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reconciles Net Income to arrive at Normalized Adjusted Net Income before income taxes, Normalized provision for income taxes, Normalized Adjusted Net Income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Normalized Adjusted EPS for the three months ended March 31, 2024 and 2023:</w:t>
      </w:r>
    </w:p>
    <w:p>
      <w:pPr>
        <w:spacing w:after="0" w:line="160" w:lineRule="exact"/>
        <w:rPr>
          <w:sz w:val="20"/>
          <w:szCs w:val="20"/>
          <w:color w:val="auto"/>
        </w:rPr>
      </w:pPr>
    </w:p>
    <w:tbl>
      <w:tblPr>
        <w:tblLayout w:type="fixed"/>
        <w:tblInd w:w="1360" w:type="dxa"/>
        <w:tblCellMar>
          <w:top w:w="0" w:type="dxa"/>
          <w:left w:w="0" w:type="dxa"/>
          <w:bottom w:w="0" w:type="dxa"/>
          <w:right w:w="0" w:type="dxa"/>
        </w:tblCellMar>
      </w:tblPr>
      <w:tr>
        <w:trPr>
          <w:trHeight w:val="158"/>
        </w:trPr>
        <w:tc>
          <w:tcPr>
            <w:tcW w:w="5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4"/>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share and per share data)</w:t>
            </w:r>
          </w:p>
        </w:tc>
        <w:tc>
          <w:tcPr>
            <w:tcW w:w="300" w:type="dxa"/>
            <w:vAlign w:val="bottom"/>
          </w:tcPr>
          <w:p>
            <w:pPr>
              <w:spacing w:after="0"/>
              <w:rPr>
                <w:sz w:val="13"/>
                <w:szCs w:val="13"/>
                <w:color w:val="auto"/>
              </w:rPr>
            </w:pPr>
          </w:p>
        </w:tc>
        <w:tc>
          <w:tcPr>
            <w:tcW w:w="9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5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Net Income to Normalized Adjusted Net Income</w:t>
            </w:r>
          </w:p>
        </w:tc>
        <w:tc>
          <w:tcPr>
            <w:tcW w:w="14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r>
      <w:tr>
        <w:trPr>
          <w:trHeight w:val="153"/>
        </w:trPr>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Net income</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111,308</w:t>
            </w:r>
          </w:p>
        </w:tc>
        <w:tc>
          <w:tcPr>
            <w:tcW w:w="12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110,083</w:t>
            </w:r>
          </w:p>
        </w:tc>
      </w:tr>
      <w:tr>
        <w:trPr>
          <w:trHeight w:val="165"/>
        </w:trPr>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Provision for income taxes</w:t>
            </w: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28,512</w:t>
            </w:r>
          </w:p>
        </w:tc>
        <w:tc>
          <w:tcPr>
            <w:tcW w:w="1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24,682</w:t>
            </w:r>
          </w:p>
        </w:tc>
      </w:tr>
      <w:tr>
        <w:trPr>
          <w:trHeight w:val="144"/>
        </w:trPr>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Income before income taxes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139,820</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134,765</w:t>
            </w:r>
          </w:p>
        </w:tc>
      </w:tr>
      <w:tr>
        <w:trPr>
          <w:trHeight w:val="134"/>
        </w:trPr>
        <w:tc>
          <w:tcPr>
            <w:tcW w:w="5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53"/>
        </w:trPr>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Amortization of purchased intangibles and acquired capitalized software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14,687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16,020</w:t>
            </w:r>
          </w:p>
        </w:tc>
      </w:tr>
      <w:tr>
        <w:trPr>
          <w:trHeight w:val="165"/>
        </w:trPr>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Debt issue cost related to debt refinancing, prepayment, and commitment fees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1,694</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2,176</w:t>
            </w:r>
          </w:p>
        </w:tc>
      </w:tr>
      <w:tr>
        <w:trPr>
          <w:trHeight w:val="153"/>
        </w:trPr>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Severance</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2,646</w:t>
            </w:r>
          </w:p>
        </w:tc>
      </w:tr>
      <w:tr>
        <w:trPr>
          <w:trHeight w:val="165"/>
        </w:trPr>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Transaction advisory fees and expenses</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w:t>
            </w:r>
          </w:p>
        </w:tc>
      </w:tr>
      <w:tr>
        <w:trPr>
          <w:trHeight w:val="153"/>
        </w:trPr>
        <w:tc>
          <w:tcPr>
            <w:tcW w:w="594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Termination of office leases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96</w:t>
            </w:r>
          </w:p>
        </w:tc>
      </w:tr>
      <w:tr>
        <w:trPr>
          <w:trHeight w:val="165"/>
        </w:trPr>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w:t>
            </w:r>
          </w:p>
        </w:tc>
        <w:tc>
          <w:tcPr>
            <w:tcW w:w="3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(9,347)</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(3,468)</w:t>
            </w:r>
          </w:p>
        </w:tc>
      </w:tr>
      <w:tr>
        <w:trPr>
          <w:trHeight w:val="153"/>
        </w:trPr>
        <w:tc>
          <w:tcPr>
            <w:tcW w:w="5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Share based compensation</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15,033</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15,583</w:t>
            </w:r>
          </w:p>
        </w:tc>
      </w:tr>
      <w:tr>
        <w:trPr>
          <w:trHeight w:val="156"/>
        </w:trPr>
        <w:tc>
          <w:tcPr>
            <w:tcW w:w="5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Normalized Adjusted Net Income before income taxes</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163,524</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167,833</w:t>
            </w:r>
          </w:p>
        </w:tc>
      </w:tr>
      <w:tr>
        <w:trPr>
          <w:trHeight w:val="153"/>
        </w:trPr>
        <w:tc>
          <w:tcPr>
            <w:tcW w:w="59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1"/>
                <w:szCs w:val="11"/>
                <w:color w:val="auto"/>
              </w:rPr>
              <w:t>Normalized provision for income taxes (1)</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39,246</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40,281</w:t>
            </w:r>
          </w:p>
        </w:tc>
      </w:tr>
      <w:tr>
        <w:trPr>
          <w:trHeight w:val="156"/>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Normalized Adjusted Net Income</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124,278</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127,552</w:t>
            </w:r>
          </w:p>
        </w:tc>
      </w:tr>
      <w:tr>
        <w:trPr>
          <w:trHeight w:val="127"/>
        </w:trPr>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Weighted Average Adjusted shares outstanding (2)</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162,842,086</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171,353,224</w:t>
            </w:r>
          </w:p>
        </w:tc>
      </w:tr>
      <w:tr>
        <w:trPr>
          <w:trHeight w:val="127"/>
        </w:trPr>
        <w:tc>
          <w:tcPr>
            <w:tcW w:w="5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59"/>
        </w:trPr>
        <w:tc>
          <w:tcPr>
            <w:tcW w:w="5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Basic earnings per share</w:t>
            </w: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0.59</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0.56</w:t>
            </w:r>
          </w:p>
        </w:tc>
      </w:tr>
      <w:tr>
        <w:trPr>
          <w:trHeight w:val="147"/>
        </w:trPr>
        <w:tc>
          <w:tcPr>
            <w:tcW w:w="59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Normalized Adjusted EPS</w:t>
            </w: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0.76</w:t>
            </w:r>
          </w:p>
        </w:tc>
        <w:tc>
          <w:tcPr>
            <w:tcW w:w="120" w:type="dxa"/>
            <w:vAlign w:val="bottom"/>
          </w:tcPr>
          <w:p>
            <w:pPr>
              <w:spacing w:after="0"/>
              <w:rPr>
                <w:sz w:val="12"/>
                <w:szCs w:val="12"/>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74930</wp:posOffset>
            </wp:positionV>
            <wp:extent cx="18529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852930" cy="6985"/>
                    </a:xfrm>
                    <a:prstGeom prst="rect">
                      <a:avLst/>
                    </a:prstGeom>
                    <a:noFill/>
                  </pic:spPr>
                </pic:pic>
              </a:graphicData>
            </a:graphic>
          </wp:anchor>
        </w:drawing>
      </w:r>
    </w:p>
    <w:p>
      <w:pPr>
        <w:spacing w:after="0" w:line="215" w:lineRule="exact"/>
        <w:rPr>
          <w:sz w:val="20"/>
          <w:szCs w:val="20"/>
          <w:color w:val="auto"/>
        </w:rPr>
      </w:pPr>
    </w:p>
    <w:p>
      <w:pPr>
        <w:ind w:left="320" w:hanging="315"/>
        <w:spacing w:after="0"/>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Reflects U.S. federal, state, and local income tax rate applicable to corporations of approximately 24% for all periods presented.</w:t>
      </w:r>
    </w:p>
    <w:p>
      <w:pPr>
        <w:spacing w:after="0" w:line="13" w:lineRule="exact"/>
        <w:rPr>
          <w:rFonts w:ascii="Times New Roman" w:cs="Times New Roman" w:eastAsia="Times New Roman" w:hAnsi="Times New Roman"/>
          <w:sz w:val="13"/>
          <w:szCs w:val="13"/>
          <w:color w:val="auto"/>
        </w:rPr>
      </w:pPr>
    </w:p>
    <w:p>
      <w:pPr>
        <w:ind w:left="320" w:hanging="315"/>
        <w:spacing w:after="0" w:line="245" w:lineRule="auto"/>
        <w:tabs>
          <w:tab w:leader="none" w:pos="320"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Assumes that (1) holders of all vested and unvested non-vesting Virtu Financial Units (together with corresponding shares of the Company's Class C common stock, par value $0.00001 per share (the “Class C Common Stock”)) have exercised their right to exchange such Virtu Financial Units for shares of Class A Common Stock on a one-for-one basis, (2) holders of all Virtu Financial Units (together with corresponding shares of the Company's Class D common stock, par value $0.00001 per share (the “Class D Common Stock”)) have exercised their right to exchange such Virtu Financial Units for shares of the Company's Class B common stock, par value $0.00001 per share (the “Class B Common Stock”) on a one-for-one basis, and subsequently exercised their right to convert the shares of Class B Common Stock into shares of Class A Common Stock on a one-for-one basis. Includes additional shares from the dilutive impact of options, restricted stock units and restricted stock awards outstanding under the Amended and Restated 2015 Management Incentive Plan and the Amended and Restated ITG 2007 Equity Plan during the three months ended March 31, 2024 and 2023.</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440" w:right="379" w:bottom="1440" w:gutter="0" w:footer="0" w:header="0"/>
        </w:sectPr>
      </w:pPr>
    </w:p>
    <w:bookmarkStart w:id="56" w:name="page57"/>
    <w:bookmarkEnd w:id="56"/>
    <w:p>
      <w:pPr>
        <w:ind w:left="520"/>
        <w:spacing w:after="0"/>
        <w:rPr>
          <w:sz w:val="20"/>
          <w:szCs w:val="20"/>
          <w:color w:val="auto"/>
        </w:rPr>
      </w:pPr>
      <w:r>
        <w:rPr>
          <w:rFonts w:ascii="Times New Roman" w:cs="Times New Roman" w:eastAsia="Times New Roman" w:hAnsi="Times New Roman"/>
          <w:sz w:val="14"/>
          <w:szCs w:val="14"/>
          <w:color w:val="auto"/>
        </w:rPr>
        <w:t>The following tables reconcile Trading income, net to Adjusted Net Trading Income by segment for the three months ended March 31, 2024 and 2023:</w:t>
      </w:r>
    </w:p>
    <w:p>
      <w:pPr>
        <w:spacing w:after="0" w:line="322" w:lineRule="exact"/>
        <w:rPr>
          <w:sz w:val="20"/>
          <w:szCs w:val="20"/>
          <w:color w:val="auto"/>
        </w:rPr>
      </w:pPr>
    </w:p>
    <w:tbl>
      <w:tblPr>
        <w:tblLayout w:type="fixed"/>
        <w:tblInd w:w="108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Three Months Ended March 31, 2024</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Trading income, net</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403,698</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4,397</w:t>
            </w: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408,095</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7,202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111,409</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118,611</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103,802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105,992</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(115,866)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(23,933)</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(139,799)</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(125,158)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(126,028)</w:t>
            </w:r>
          </w:p>
        </w:tc>
      </w:tr>
      <w:tr>
        <w:trPr>
          <w:trHeight w:val="150"/>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Adjusted Net Trading Income</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273,678</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93,193</w:t>
            </w:r>
          </w:p>
        </w:tc>
        <w:tc>
          <w:tcPr>
            <w:tcW w:w="1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366,871</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tbl>
      <w:tblPr>
        <w:tblLayout w:type="fixed"/>
        <w:tblInd w:w="1080" w:type="dxa"/>
        <w:tblCellMar>
          <w:top w:w="0" w:type="dxa"/>
          <w:left w:w="0" w:type="dxa"/>
          <w:bottom w:w="0" w:type="dxa"/>
          <w:right w:w="0" w:type="dxa"/>
        </w:tblCellMar>
      </w:tblPr>
      <w:tr>
        <w:trPr>
          <w:trHeight w:val="158"/>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Three Months Ended March 31, 2023</w:t>
            </w:r>
          </w:p>
        </w:tc>
        <w:tc>
          <w:tcPr>
            <w:tcW w:w="2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40" w:type="dxa"/>
            <w:vAlign w:val="bottom"/>
          </w:tcPr>
          <w:p>
            <w:pPr>
              <w:spacing w:after="0"/>
              <w:rPr>
                <w:sz w:val="13"/>
                <w:szCs w:val="13"/>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120" w:type="dxa"/>
            <w:vAlign w:val="bottom"/>
          </w:tcPr>
          <w:p>
            <w:pPr>
              <w:spacing w:after="0"/>
              <w:rPr>
                <w:sz w:val="13"/>
                <w:szCs w:val="13"/>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55"/>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Trading income, net</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408,343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4,168</w:t>
            </w: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412,511</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1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9,701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111,743</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121,444</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79,687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2,557</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82,244</w:t>
            </w:r>
          </w:p>
        </w:tc>
      </w:tr>
      <w:tr>
        <w:trPr>
          <w:trHeight w:val="153"/>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Brokerage, exchange, clearance fees and payments for order flow, net</w:t>
            </w:r>
          </w:p>
        </w:tc>
        <w:tc>
          <w:tcPr>
            <w:tcW w:w="14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(122,950)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(22,573)</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(145,523)</w:t>
            </w:r>
          </w:p>
        </w:tc>
      </w:tr>
      <w:tr>
        <w:trPr>
          <w:trHeight w:val="165"/>
        </w:trPr>
        <w:tc>
          <w:tcPr>
            <w:tcW w:w="3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Interest and dividends expense</w:t>
            </w: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(677)</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(97,601)</w:t>
            </w:r>
          </w:p>
        </w:tc>
      </w:tr>
      <w:tr>
        <w:trPr>
          <w:trHeight w:val="150"/>
        </w:trPr>
        <w:tc>
          <w:tcPr>
            <w:tcW w:w="37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Adjusted Net Trading Income</w:t>
            </w: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277,857</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95,218</w:t>
            </w:r>
          </w:p>
        </w:tc>
        <w:tc>
          <w:tcPr>
            <w:tcW w:w="120" w:type="dxa"/>
            <w:vAlign w:val="bottom"/>
          </w:tcPr>
          <w:p>
            <w:pPr>
              <w:spacing w:after="0"/>
              <w:rPr>
                <w:sz w:val="13"/>
                <w:szCs w:val="13"/>
                <w:color w:val="auto"/>
              </w:rPr>
            </w:pPr>
          </w:p>
        </w:tc>
        <w:tc>
          <w:tcPr>
            <w:tcW w:w="980" w:type="dxa"/>
            <w:vAlign w:val="bottom"/>
            <w:tcBorders>
              <w:top w:val="single" w:sz="8" w:color="auto"/>
              <w:bottom w:val="single" w:sz="8" w:color="auto"/>
            </w:tcBorders>
          </w:tcPr>
          <w:p>
            <w:pPr>
              <w:jc w:val="right"/>
              <w:ind w:right="863"/>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373,075</w:t>
            </w: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following table shows our Adjusted Net Trading Income and average daily Adjusted Net Trading Income by segment for the three months ended March 31, 2024 and 2023:</w:t>
      </w:r>
    </w:p>
    <w:p>
      <w:pPr>
        <w:spacing w:after="0" w:line="333" w:lineRule="exact"/>
        <w:rPr>
          <w:sz w:val="20"/>
          <w:szCs w:val="20"/>
          <w:color w:val="auto"/>
        </w:rPr>
      </w:pPr>
    </w:p>
    <w:tbl>
      <w:tblPr>
        <w:tblLayout w:type="fixed"/>
        <w:tblInd w:w="1740" w:type="dxa"/>
        <w:tblCellMar>
          <w:top w:w="0" w:type="dxa"/>
          <w:left w:w="0" w:type="dxa"/>
          <w:bottom w:w="0" w:type="dxa"/>
          <w:right w:w="0" w:type="dxa"/>
        </w:tblCellMar>
      </w:tblPr>
      <w:tr>
        <w:trPr>
          <w:trHeight w:val="158"/>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 thousands, except %)</w:t>
            </w: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4"/>
        </w:trPr>
        <w:tc>
          <w:tcPr>
            <w:tcW w:w="2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Net Trading Income by Segment: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Average Daily</w:t>
            </w:r>
          </w:p>
        </w:tc>
        <w:tc>
          <w:tcPr>
            <w:tcW w:w="84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6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Average Daily</w:t>
            </w:r>
          </w:p>
        </w:tc>
        <w:tc>
          <w:tcPr>
            <w:tcW w:w="860" w:type="dxa"/>
            <w:vAlign w:val="bottom"/>
            <w:tcBorders>
              <w:top w:val="single" w:sz="8" w:color="auto"/>
            </w:tcBorders>
          </w:tcPr>
          <w:p>
            <w:pPr>
              <w:jc w:val="right"/>
              <w:ind w:right="303"/>
              <w:spacing w:after="0"/>
              <w:rPr>
                <w:sz w:val="20"/>
                <w:szCs w:val="20"/>
                <w:color w:val="auto"/>
              </w:rPr>
            </w:pPr>
            <w:r>
              <w:rPr>
                <w:rFonts w:ascii="Times New Roman" w:cs="Times New Roman" w:eastAsia="Times New Roman" w:hAnsi="Times New Roman"/>
                <w:sz w:val="11"/>
                <w:szCs w:val="11"/>
                <w:b w:val="1"/>
                <w:bCs w:val="1"/>
                <w:color w:val="auto"/>
              </w:rPr>
              <w:t>%</w:t>
            </w:r>
          </w:p>
        </w:tc>
      </w:tr>
      <w:tr>
        <w:trPr>
          <w:trHeight w:val="144"/>
        </w:trPr>
        <w:tc>
          <w:tcPr>
            <w:tcW w:w="24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r>
      <w:tr>
        <w:trPr>
          <w:trHeight w:val="15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Market Making</w:t>
            </w: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273,678</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4,487</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74.6 %</w:t>
            </w:r>
          </w:p>
        </w:tc>
        <w:tc>
          <w:tcPr>
            <w:tcW w:w="10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277,857</w:t>
            </w:r>
          </w:p>
        </w:tc>
        <w:tc>
          <w:tcPr>
            <w:tcW w:w="100" w:type="dxa"/>
            <w:vAlign w:val="bottom"/>
          </w:tcPr>
          <w:p>
            <w:pPr>
              <w:spacing w:after="0"/>
              <w:rPr>
                <w:sz w:val="13"/>
                <w:szCs w:val="13"/>
                <w:color w:val="auto"/>
              </w:rPr>
            </w:pPr>
          </w:p>
        </w:tc>
        <w:tc>
          <w:tcPr>
            <w:tcW w:w="16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4,482</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74.5 %</w:t>
            </w:r>
          </w:p>
        </w:tc>
      </w:tr>
      <w:tr>
        <w:trPr>
          <w:trHeight w:val="176"/>
        </w:trPr>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5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Execution Services</w:t>
            </w:r>
          </w:p>
        </w:tc>
        <w:tc>
          <w:tcPr>
            <w:tcW w:w="220" w:type="dxa"/>
            <w:vAlign w:val="bottom"/>
          </w:tcPr>
          <w:p>
            <w:pPr>
              <w:spacing w:after="0"/>
              <w:rPr>
                <w:sz w:val="13"/>
                <w:szCs w:val="13"/>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93,193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1,528</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25.4 %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95,218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1,536</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25.5 %</w:t>
            </w:r>
          </w:p>
        </w:tc>
      </w:tr>
      <w:tr>
        <w:trPr>
          <w:trHeight w:val="176"/>
        </w:trPr>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153"/>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Corporate</w:t>
            </w:r>
          </w:p>
        </w:tc>
        <w:tc>
          <w:tcPr>
            <w:tcW w:w="220" w:type="dxa"/>
            <w:vAlign w:val="bottom"/>
          </w:tcPr>
          <w:p>
            <w:pPr>
              <w:spacing w:after="0"/>
              <w:rPr>
                <w:sz w:val="13"/>
                <w:szCs w:val="13"/>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 %</w:t>
            </w:r>
          </w:p>
        </w:tc>
        <w:tc>
          <w:tcPr>
            <w:tcW w:w="2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76"/>
        </w:trPr>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r>
      <w:tr>
        <w:trPr>
          <w:trHeight w:val="150"/>
        </w:trPr>
        <w:tc>
          <w:tcPr>
            <w:tcW w:w="24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Adjusted Net Trading Income</w:t>
            </w: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366,871</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6,015</w:t>
            </w:r>
          </w:p>
        </w:tc>
        <w:tc>
          <w:tcPr>
            <w:tcW w:w="100" w:type="dxa"/>
            <w:vAlign w:val="bottom"/>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c>
          <w:tcPr>
            <w:tcW w:w="10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373,075</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6,018</w:t>
            </w:r>
          </w:p>
        </w:tc>
        <w:tc>
          <w:tcPr>
            <w:tcW w:w="100" w:type="dxa"/>
            <w:vAlign w:val="bottom"/>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100.0 %</w:t>
            </w:r>
          </w:p>
        </w:tc>
      </w:tr>
      <w:tr>
        <w:trPr>
          <w:trHeight w:val="20"/>
        </w:trPr>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Three Months Ended March 31, 2024 Compared to Three Months Ended March 31,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Total Revenues</w:t>
      </w:r>
    </w:p>
    <w:p>
      <w:pPr>
        <w:spacing w:after="0" w:line="1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Our total revenues increased $22.4 million, or 3.6%, to $642.8 million for the three months ended March 31, 2024, compared to $620.4 million for the three months ended March 31, 2023.</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increase was primarily driven by an increase in Interest and dividends income due to higher interest rates during the three months ended March 31, 2024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40"/>
          </w:cols>
          <w:pgMar w:left="300" w:top="729" w:right="45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4"/>
          <w:szCs w:val="14"/>
          <w:color w:val="auto"/>
        </w:rPr>
        <w:t>The following table shows total revenues by segment for the three months ended March 31, 2024 and 2023.</w:t>
      </w:r>
    </w:p>
    <w:p>
      <w:pPr>
        <w:spacing w:after="0" w:line="36" w:lineRule="exact"/>
        <w:rPr>
          <w:sz w:val="20"/>
          <w:szCs w:val="20"/>
          <w:color w:val="auto"/>
        </w:rPr>
      </w:pPr>
    </w:p>
    <w:tbl>
      <w:tblPr>
        <w:tblLayout w:type="fixed"/>
        <w:tblInd w:w="980" w:type="dxa"/>
        <w:tblCellMar>
          <w:top w:w="0" w:type="dxa"/>
          <w:left w:w="0" w:type="dxa"/>
          <w:bottom w:w="0" w:type="dxa"/>
          <w:right w:w="0" w:type="dxa"/>
        </w:tblCellMar>
      </w:tblPr>
      <w:tr>
        <w:trPr>
          <w:trHeight w:val="158"/>
        </w:trPr>
        <w:tc>
          <w:tcPr>
            <w:tcW w:w="4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c>
          <w:tcPr>
            <w:tcW w:w="1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r>
      <w:tr>
        <w:trPr>
          <w:trHeight w:val="154"/>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1"/>
                <w:szCs w:val="11"/>
                <w:b w:val="1"/>
                <w:bCs w:val="1"/>
                <w:color w:val="auto"/>
              </w:rPr>
              <w:t>(in thousands, except for percentage)</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44"/>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Market Making</w:t>
            </w: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53"/>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403,698</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408,343</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(1.1)%</w:t>
            </w:r>
          </w:p>
        </w:tc>
      </w:tr>
      <w:tr>
        <w:trPr>
          <w:trHeight w:val="165"/>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103,802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79,687</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30.3%</w:t>
            </w:r>
          </w:p>
        </w:tc>
      </w:tr>
      <w:tr>
        <w:trPr>
          <w:trHeight w:val="153"/>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7,202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9,701</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(25.8)%</w:t>
            </w:r>
          </w:p>
        </w:tc>
      </w:tr>
      <w:tr>
        <w:trPr>
          <w:trHeight w:val="159"/>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6,306</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1,190</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429.9%</w:t>
            </w:r>
          </w:p>
        </w:tc>
      </w:tr>
      <w:tr>
        <w:trPr>
          <w:trHeight w:val="156"/>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revenues from Market Making</w:t>
            </w: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521,008</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498,921</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4.4%</w:t>
            </w: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r>
      <w:tr>
        <w:trPr>
          <w:trHeight w:val="131"/>
        </w:trPr>
        <w:tc>
          <w:tcPr>
            <w:tcW w:w="4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r>
      <w:tr>
        <w:trPr>
          <w:trHeight w:val="154"/>
        </w:trPr>
        <w:tc>
          <w:tcPr>
            <w:tcW w:w="42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Execution Services</w:t>
            </w: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64"/>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4,397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4,168</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5.5%</w:t>
            </w:r>
          </w:p>
        </w:tc>
      </w:tr>
      <w:tr>
        <w:trPr>
          <w:trHeight w:val="153"/>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2,190</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2,557</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(14.4)%</w:t>
            </w:r>
          </w:p>
        </w:tc>
      </w:tr>
      <w:tr>
        <w:trPr>
          <w:trHeight w:val="165"/>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111,409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111,743</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(0.3)%</w:t>
            </w:r>
          </w:p>
        </w:tc>
      </w:tr>
      <w:tr>
        <w:trPr>
          <w:trHeight w:val="153"/>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(208)</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1"/>
                <w:szCs w:val="11"/>
                <w:color w:val="auto"/>
              </w:rPr>
              <w:t>NM</w:t>
            </w:r>
          </w:p>
        </w:tc>
      </w:tr>
      <w:tr>
        <w:trPr>
          <w:trHeight w:val="181"/>
        </w:trPr>
        <w:tc>
          <w:tcPr>
            <w:tcW w:w="4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 from Execution Services</w:t>
            </w: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117,788</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118,478</w:t>
            </w:r>
          </w:p>
        </w:tc>
        <w:tc>
          <w:tcPr>
            <w:tcW w:w="1740" w:type="dxa"/>
            <w:vAlign w:val="bottom"/>
            <w:tcBorders>
              <w:bottom w:val="single" w:sz="8" w:color="CCEEFF"/>
            </w:tcBorders>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(0.6)%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11"/>
        </w:trPr>
        <w:tc>
          <w:tcPr>
            <w:tcW w:w="4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5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Corporate</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42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740" w:type="dxa"/>
            <w:vAlign w:val="bottom"/>
            <w:tcBorders>
              <w:bottom w:val="single" w:sz="8" w:color="CCEEFF"/>
            </w:tcBorders>
            <w:gridSpan w:val="2"/>
          </w:tcPr>
          <w:p>
            <w:pPr>
              <w:jc w:val="center"/>
              <w:ind w:left="43"/>
              <w:spacing w:after="0"/>
              <w:rPr>
                <w:sz w:val="20"/>
                <w:szCs w:val="20"/>
                <w:color w:val="auto"/>
              </w:rPr>
            </w:pPr>
            <w:r>
              <w:rPr>
                <w:rFonts w:ascii="Times New Roman" w:cs="Times New Roman" w:eastAsia="Times New Roman" w:hAnsi="Times New Roman"/>
                <w:sz w:val="11"/>
                <w:szCs w:val="11"/>
                <w:color w:val="auto"/>
                <w:w w:val="98"/>
              </w:rPr>
              <w:t>35.6%</w:t>
            </w:r>
          </w:p>
        </w:tc>
      </w:tr>
      <w:tr>
        <w:trPr>
          <w:trHeight w:val="181"/>
        </w:trPr>
        <w:tc>
          <w:tcPr>
            <w:tcW w:w="42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Total revenues from Corporate</w:t>
            </w: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4,043</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2,981</w:t>
            </w:r>
          </w:p>
        </w:tc>
        <w:tc>
          <w:tcPr>
            <w:tcW w:w="1740" w:type="dxa"/>
            <w:vAlign w:val="bottom"/>
            <w:tcBorders>
              <w:bottom w:val="single" w:sz="8" w:color="CCEEFF"/>
            </w:tcBorders>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35.6%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r>
      <w:tr>
        <w:trPr>
          <w:trHeight w:val="111"/>
        </w:trPr>
        <w:tc>
          <w:tcPr>
            <w:tcW w:w="4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40" w:type="dxa"/>
            <w:vAlign w:val="bottom"/>
          </w:tcPr>
          <w:p>
            <w:pPr>
              <w:spacing w:after="0"/>
              <w:rPr>
                <w:sz w:val="9"/>
                <w:szCs w:val="9"/>
                <w:color w:val="auto"/>
              </w:rPr>
            </w:pPr>
          </w:p>
        </w:tc>
      </w:tr>
      <w:tr>
        <w:trPr>
          <w:trHeight w:val="15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b w:val="1"/>
                <w:bCs w:val="1"/>
                <w:color w:val="auto"/>
              </w:rPr>
              <w:t>Consolidated</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53"/>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Trading income, net</w:t>
            </w: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408,095</w:t>
            </w:r>
          </w:p>
        </w:tc>
        <w:tc>
          <w:tcPr>
            <w:tcW w:w="100" w:type="dxa"/>
            <w:vAlign w:val="bottom"/>
          </w:tcPr>
          <w:p>
            <w:pPr>
              <w:spacing w:after="0"/>
              <w:rPr>
                <w:sz w:val="13"/>
                <w:szCs w:val="13"/>
                <w:color w:val="auto"/>
              </w:rPr>
            </w:pPr>
          </w:p>
        </w:tc>
        <w:tc>
          <w:tcPr>
            <w:tcW w:w="380" w:type="dxa"/>
            <w:vAlign w:val="bottom"/>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412,511</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(1.1)%</w:t>
            </w:r>
          </w:p>
        </w:tc>
      </w:tr>
      <w:tr>
        <w:trPr>
          <w:trHeight w:val="165"/>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Interest and dividends income</w:t>
            </w: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105,992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82,244</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w w:val="98"/>
              </w:rPr>
              <w:t>28.9%</w:t>
            </w:r>
          </w:p>
        </w:tc>
      </w:tr>
      <w:tr>
        <w:trPr>
          <w:trHeight w:val="153"/>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Commissions, net and technology services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118,611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121,444</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(2.3)%</w:t>
            </w:r>
          </w:p>
        </w:tc>
      </w:tr>
      <w:tr>
        <w:trPr>
          <w:trHeight w:val="159"/>
        </w:trPr>
        <w:tc>
          <w:tcPr>
            <w:tcW w:w="42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net</w:t>
            </w: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10,141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4,181</w:t>
            </w:r>
          </w:p>
        </w:tc>
        <w:tc>
          <w:tcPr>
            <w:tcW w:w="1740" w:type="dxa"/>
            <w:vAlign w:val="bottom"/>
            <w:gridSpan w:val="2"/>
            <w:shd w:val="clear" w:color="auto" w:fill="CCEEFF"/>
          </w:tcPr>
          <w:p>
            <w:pPr>
              <w:jc w:val="center"/>
              <w:ind w:left="43"/>
              <w:spacing w:after="0"/>
              <w:rPr>
                <w:sz w:val="20"/>
                <w:szCs w:val="20"/>
                <w:color w:val="auto"/>
              </w:rPr>
            </w:pPr>
            <w:r>
              <w:rPr>
                <w:rFonts w:ascii="Times New Roman" w:cs="Times New Roman" w:eastAsia="Times New Roman" w:hAnsi="Times New Roman"/>
                <w:sz w:val="11"/>
                <w:szCs w:val="11"/>
                <w:color w:val="auto"/>
              </w:rPr>
              <w:t>142.5%</w:t>
            </w:r>
          </w:p>
        </w:tc>
      </w:tr>
      <w:tr>
        <w:trPr>
          <w:trHeight w:val="156"/>
        </w:trPr>
        <w:tc>
          <w:tcPr>
            <w:tcW w:w="42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Total revenues</w:t>
            </w: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642,839</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620,380</w:t>
            </w:r>
          </w:p>
        </w:tc>
        <w:tc>
          <w:tcPr>
            <w:tcW w:w="1740" w:type="dxa"/>
            <w:vAlign w:val="bottom"/>
            <w:gridSpan w:val="2"/>
          </w:tcPr>
          <w:p>
            <w:pPr>
              <w:jc w:val="center"/>
              <w:ind w:left="43"/>
              <w:spacing w:after="0"/>
              <w:rPr>
                <w:sz w:val="20"/>
                <w:szCs w:val="20"/>
                <w:color w:val="auto"/>
              </w:rPr>
            </w:pPr>
            <w:r>
              <w:rPr>
                <w:rFonts w:ascii="Times New Roman" w:cs="Times New Roman" w:eastAsia="Times New Roman" w:hAnsi="Times New Roman"/>
                <w:sz w:val="11"/>
                <w:szCs w:val="11"/>
                <w:color w:val="auto"/>
              </w:rPr>
              <w:t>3.6%</w:t>
            </w:r>
          </w:p>
        </w:tc>
      </w:tr>
      <w:tr>
        <w:trPr>
          <w:trHeight w:val="20"/>
        </w:trPr>
        <w:tc>
          <w:tcPr>
            <w:tcW w:w="4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49" w:lineRule="exact"/>
        <w:rPr>
          <w:sz w:val="20"/>
          <w:szCs w:val="20"/>
          <w:color w:val="auto"/>
        </w:rPr>
      </w:pPr>
    </w:p>
    <w:p>
      <w:pPr>
        <w:ind w:right="80" w:firstLine="509"/>
        <w:spacing w:after="0" w:line="25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Trading income, net. </w:t>
      </w:r>
      <w:r>
        <w:rPr>
          <w:rFonts w:ascii="Times New Roman" w:cs="Times New Roman" w:eastAsia="Times New Roman" w:hAnsi="Times New Roman"/>
          <w:sz w:val="14"/>
          <w:szCs w:val="14"/>
          <w:color w:val="auto"/>
        </w:rPr>
        <w:t>Trading income, net was primarily earned by our Market Making segment. Trading income, net decreased $4.4 million, or 1.1% to $408.1 million for the three months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ended March 31, 2024, compared to $412.5 million for the three months ended March 31, 2023. The decrease was largely a result of one fewer trading day during the three months ended March 31, 2024 compared to the same period in 2023. Rather than analyzing trading income, net, in isolation, we evaluate it in the broader context of our Adjusted Net Trading Income, together with Interest and dividends income, Interest and dividends expense, Commissions, net and technology services and Brokerage, exchange, clearance fees and payments for order flow, net, each of which is described below.</w:t>
      </w:r>
    </w:p>
    <w:p>
      <w:pPr>
        <w:spacing w:after="0" w:line="159"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income. </w:t>
      </w:r>
      <w:r>
        <w:rPr>
          <w:rFonts w:ascii="Times New Roman" w:cs="Times New Roman" w:eastAsia="Times New Roman" w:hAnsi="Times New Roman"/>
          <w:sz w:val="14"/>
          <w:szCs w:val="14"/>
          <w:color w:val="auto"/>
        </w:rPr>
        <w:t>Interest and dividends income was primarily earned by our Market Making segment. Interest and dividends income increased $23.8 million, or 29.0%, to</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$106.0 million for the three months ended March 31, 2024, compared to $82.2 million for the three months ended March 31, 2023. This increase was primarily attributable to an increase in interest income earned on cash collateral posted as part of securities borrowing transactions and interest earned on balances maintained at banks and prime brokers, and higher dividends earned on market making trading assets held over periods when dividends are paid, both of which benefited from higher interest rates for the period compared to the same period during the prior year. As indicated above, rather than analyzing interest and dividends income in isolation, we evaluate it in the broader context of our Adjusted Net Trading Income.</w:t>
      </w:r>
    </w:p>
    <w:p>
      <w:pPr>
        <w:spacing w:after="0" w:line="15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Commissions, net and technology services. </w:t>
      </w:r>
      <w:r>
        <w:rPr>
          <w:rFonts w:ascii="Times New Roman" w:cs="Times New Roman" w:eastAsia="Times New Roman" w:hAnsi="Times New Roman"/>
          <w:sz w:val="14"/>
          <w:szCs w:val="14"/>
          <w:color w:val="auto"/>
        </w:rPr>
        <w:t>Commissions, net and technology services revenues were primarily earned by our Execution Services segment. Commissions, net and technology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services revenues decreased $2.8 million, or 2.3%, to $118.6 million for the three months ended March 31, 2024, compared to $121.4 million for the three months ended March 31, 2023. This decrease was driven by slightly lower market volumes, a reduction of institutional investors' commissions available, and declining institutional engagement. As indicated above, rather than analyzing interest and dividends income in isolation, we evaluate it in the broader context of our Adjusted Net Trading Income.</w:t>
      </w:r>
    </w:p>
    <w:p>
      <w:pPr>
        <w:spacing w:after="0" w:line="157" w:lineRule="exact"/>
        <w:rPr>
          <w:sz w:val="20"/>
          <w:szCs w:val="20"/>
          <w:color w:val="auto"/>
        </w:rPr>
      </w:pPr>
    </w:p>
    <w:p>
      <w:pPr>
        <w:ind w:right="20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Other, net. </w:t>
      </w:r>
      <w:r>
        <w:rPr>
          <w:rFonts w:ascii="Times New Roman" w:cs="Times New Roman" w:eastAsia="Times New Roman" w:hAnsi="Times New Roman"/>
          <w:sz w:val="14"/>
          <w:szCs w:val="14"/>
          <w:color w:val="auto"/>
        </w:rPr>
        <w:t>Other, net increased $5.9 million, to $10.1 million for the three months ended March 31, 2024, compared to $4.2 million for the three months ended March 31, 2023. The three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months ended March 31, 2024 included gains on settlement fund recoveries in which we are eligible to participate based on our transactions in the applicable products.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Net Trading Income</w:t>
      </w:r>
    </w:p>
    <w:p>
      <w:pPr>
        <w:spacing w:after="0" w:line="20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4"/>
          <w:szCs w:val="14"/>
          <w:color w:val="auto"/>
        </w:rPr>
        <w:t>Adjusted Net Trading Income, which is a non-GAAP measure, decreased $6.2 million, or 1.7%, to $366.9 million for the three months ended March 31, 2024, compared to $373.1 million for the three months ended March 31, 2023. This decrease was primarily attributable to lower Trading income, net in the Market Making segment due to one fewer trading day during the three months ended March 31, 2024 compared to the same period in 2023, as noted above. Average daily Adjusted Net Trading Income remained consistent at $6.0 million for the three months ended March 31, 2024 and 2023. For a full description of Adjusted Net Trading Income and a reconciliation of Adjusted Net Trading Income to trading income, net, see “Non-GAAP Financial Measures and Other Items” in this Item 2. “Management's Discussion and Analysis of Financial Condition and Results of Operations.”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202" w:lineRule="exact"/>
        <w:rPr>
          <w:sz w:val="20"/>
          <w:szCs w:val="20"/>
          <w:color w:val="auto"/>
        </w:rPr>
      </w:pPr>
    </w:p>
    <w:p>
      <w:pPr>
        <w:ind w:right="80" w:firstLine="509"/>
        <w:spacing w:after="0" w:line="270" w:lineRule="auto"/>
        <w:rPr>
          <w:sz w:val="20"/>
          <w:szCs w:val="20"/>
          <w:color w:val="auto"/>
        </w:rPr>
      </w:pPr>
      <w:r>
        <w:rPr>
          <w:rFonts w:ascii="Times New Roman" w:cs="Times New Roman" w:eastAsia="Times New Roman" w:hAnsi="Times New Roman"/>
          <w:sz w:val="14"/>
          <w:szCs w:val="14"/>
          <w:color w:val="auto"/>
        </w:rPr>
        <w:t>Our operating expenses increased $17.4 million, or 3.6%, to $503.0 million for the three months ended March 31, 2024, compared to $485.6 million for the three months ended March 31, 2023. The increase in operating expenses is primarily due to an increase in Interest and dividends expense, partially offset by a decline in Brokerage, exchange, clearance fees and payments for order flow, net, described in more detail below.</w:t>
      </w:r>
    </w:p>
    <w:p>
      <w:pPr>
        <w:spacing w:after="0" w:line="155"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Brokerage, exchange, clearance fees and payments for order flow, net. </w:t>
      </w:r>
      <w:r>
        <w:rPr>
          <w:rFonts w:ascii="Times New Roman" w:cs="Times New Roman" w:eastAsia="Times New Roman" w:hAnsi="Times New Roman"/>
          <w:sz w:val="14"/>
          <w:szCs w:val="14"/>
          <w:color w:val="auto"/>
        </w:rPr>
        <w:t>Brokerage exchange, clearance fees and payments for order flow, net, decreased $5.7 million, or 3.9%, to $139.8</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three months ended March 31, 2024, compared to $145.5 million for the three months ended March 31, 2023. These costs vary period to period based upon the level and composition of our trading activities. We evaluate this category representing direct costs associated with transacting business, in the broader context of our Adjusted Net Trading Income.</w:t>
      </w:r>
    </w:p>
    <w:p>
      <w:pPr>
        <w:spacing w:after="0" w:line="155" w:lineRule="exact"/>
        <w:rPr>
          <w:sz w:val="20"/>
          <w:szCs w:val="20"/>
          <w:color w:val="auto"/>
        </w:rPr>
      </w:pPr>
    </w:p>
    <w:p>
      <w:pPr>
        <w:jc w:val="both"/>
        <w:ind w:right="80"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Communication and data processing. </w:t>
      </w:r>
      <w:r>
        <w:rPr>
          <w:rFonts w:ascii="Times New Roman" w:cs="Times New Roman" w:eastAsia="Times New Roman" w:hAnsi="Times New Roman"/>
          <w:sz w:val="14"/>
          <w:szCs w:val="14"/>
          <w:color w:val="auto"/>
        </w:rPr>
        <w:t>Communication and data processing expense increased $1.4 million, or 2.5%, to $58.2 million for the three months ended March 31, 2024, compared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to $56.8 million for the three months ended March 31, 2023. This increase was primarily due to increased connectivity spending on subscription and microwave communication networks maintained by our joint ventures.</w:t>
      </w:r>
    </w:p>
    <w:p>
      <w:pPr>
        <w:spacing w:after="0" w:line="144" w:lineRule="exact"/>
        <w:rPr>
          <w:sz w:val="20"/>
          <w:szCs w:val="20"/>
          <w:color w:val="auto"/>
        </w:rPr>
      </w:pPr>
    </w:p>
    <w:p>
      <w:pPr>
        <w:ind w:right="280" w:firstLine="509"/>
        <w:spacing w:after="0" w:line="249" w:lineRule="auto"/>
        <w:rPr>
          <w:sz w:val="20"/>
          <w:szCs w:val="20"/>
          <w:color w:val="auto"/>
        </w:rPr>
      </w:pPr>
      <w:r>
        <w:rPr>
          <w:rFonts w:ascii="Times New Roman" w:cs="Times New Roman" w:eastAsia="Times New Roman" w:hAnsi="Times New Roman"/>
          <w:sz w:val="14"/>
          <w:szCs w:val="14"/>
          <w:b w:val="1"/>
          <w:bCs w:val="1"/>
          <w:i w:val="1"/>
          <w:iCs w:val="1"/>
          <w:color w:val="auto"/>
        </w:rPr>
        <w:t xml:space="preserve">Employee compensation and payroll taxes. </w:t>
      </w:r>
      <w:r>
        <w:rPr>
          <w:rFonts w:ascii="Times New Roman" w:cs="Times New Roman" w:eastAsia="Times New Roman" w:hAnsi="Times New Roman"/>
          <w:sz w:val="14"/>
          <w:szCs w:val="14"/>
          <w:color w:val="auto"/>
        </w:rPr>
        <w:t>Employee compensation and payroll taxes decreased $2.6 million, or 2.5% to $100.8 million for the three months ended March 31, 2024,</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compared to $103.4 million for the three months ended March 31, 2023. The decrease in compensation levels was primarily attributable to a decrease in accrued incentive compensation, which is recorded at management’s discretion and is generally accrued in connection with the overall level of profitability on a year-to-date basis, as well as the anticipated mix of cash and stock-based awards.</w:t>
      </w:r>
    </w:p>
    <w:p>
      <w:pPr>
        <w:spacing w:after="0" w:line="172"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We have capitalized and therefore excluded employee compensation and benefits related to software development of $10.2 million and $8.4 million for the three months ended March 31, 2024, and 2023, respectively.</w:t>
      </w:r>
    </w:p>
    <w:p>
      <w:pPr>
        <w:spacing w:after="0" w:line="133" w:lineRule="exact"/>
        <w:rPr>
          <w:sz w:val="20"/>
          <w:szCs w:val="20"/>
          <w:color w:val="auto"/>
        </w:rPr>
      </w:pPr>
    </w:p>
    <w:p>
      <w:pPr>
        <w:jc w:val="both"/>
        <w:ind w:right="80" w:firstLine="509"/>
        <w:spacing w:after="0" w:line="244"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Interest and dividends expense. </w:t>
      </w:r>
      <w:r>
        <w:rPr>
          <w:rFonts w:ascii="Times New Roman" w:cs="Times New Roman" w:eastAsia="Times New Roman" w:hAnsi="Times New Roman"/>
          <w:sz w:val="14"/>
          <w:szCs w:val="14"/>
          <w:color w:val="auto"/>
        </w:rPr>
        <w:t>Interest and dividends expense increased $28.4 million or 29.1% to $126.0 million for the three months ended March 31, 2024, compared to $97.6 million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for the three months ended March 31, 2023. This increase was primarily attributable to increased usage of broker-dealer credit facilities, as well as higher interest expense incurred on cash collateral received as part of securities lending transactions and higher financing costs with respect to trading assets driven by higher interest rates, and higher dividends expense with respect to securities sold, not yet purchased. As indicated above, rather than analyzing interest and dividends expense in isolation, we evaluate it in the broader context of our Adjusted Net Trading Income.</w:t>
      </w:r>
    </w:p>
    <w:p>
      <w:pPr>
        <w:spacing w:after="0" w:line="162" w:lineRule="exact"/>
        <w:rPr>
          <w:sz w:val="20"/>
          <w:szCs w:val="20"/>
          <w:color w:val="auto"/>
        </w:rPr>
      </w:pPr>
    </w:p>
    <w:p>
      <w:pPr>
        <w:ind w:right="380" w:firstLine="50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Operations and administrative. </w:t>
      </w:r>
      <w:r>
        <w:rPr>
          <w:rFonts w:ascii="Times New Roman" w:cs="Times New Roman" w:eastAsia="Times New Roman" w:hAnsi="Times New Roman"/>
          <w:sz w:val="14"/>
          <w:szCs w:val="14"/>
          <w:color w:val="auto"/>
        </w:rPr>
        <w:t>Operations and administrative expense decreased $2.0 million or 8.2% to $22.3 million for the three months ended March 31, 2024, compared to $24.3</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three months ended March 31, 2023. This decrease was primarily driven by a decrease in recruiting expenses and favorable foreign exchange rate movements.</w:t>
      </w:r>
    </w:p>
    <w:p>
      <w:pPr>
        <w:spacing w:after="0" w:line="152" w:lineRule="exact"/>
        <w:rPr>
          <w:sz w:val="20"/>
          <w:szCs w:val="20"/>
          <w:color w:val="auto"/>
        </w:rPr>
      </w:pPr>
    </w:p>
    <w:p>
      <w:pPr>
        <w:ind w:right="18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Depreciation and amortization. </w:t>
      </w:r>
      <w:r>
        <w:rPr>
          <w:rFonts w:ascii="Times New Roman" w:cs="Times New Roman" w:eastAsia="Times New Roman" w:hAnsi="Times New Roman"/>
          <w:sz w:val="14"/>
          <w:szCs w:val="14"/>
          <w:color w:val="auto"/>
        </w:rPr>
        <w:t>Depreciation and amortization increased $0.8 million, or 5.2% to $16.1 million for the three months ended March 31, 2024, compared to $15.3 million for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three months ended March 31, 2023. The increase is driven primarily by increased depreciation on equipment and amortization of capitalized software compared to the same period in 2023.</w:t>
      </w:r>
    </w:p>
    <w:p>
      <w:pPr>
        <w:spacing w:after="0" w:line="141" w:lineRule="exact"/>
        <w:rPr>
          <w:sz w:val="20"/>
          <w:szCs w:val="20"/>
          <w:color w:val="auto"/>
        </w:rPr>
      </w:pPr>
    </w:p>
    <w:p>
      <w:pPr>
        <w:ind w:firstLine="50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 xml:space="preserve">Amortization of purchased intangibles and acquired capitalized software. </w:t>
      </w:r>
      <w:r>
        <w:rPr>
          <w:rFonts w:ascii="Times New Roman" w:cs="Times New Roman" w:eastAsia="Times New Roman" w:hAnsi="Times New Roman"/>
          <w:sz w:val="14"/>
          <w:szCs w:val="14"/>
          <w:color w:val="auto"/>
        </w:rPr>
        <w:t>Amortization of purchased intangibles and acquired capitalized software decreased $1.3 million, or 8.1%, to $14.7</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three months ended March 31, 2024, compared to $16.0 million for the three months ended March 31, 2023. This decrease was due to certain intangible assets being fully amortized during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59" w:name="page60"/>
    <w:bookmarkEnd w:id="59"/>
    <w:p>
      <w:pPr>
        <w:ind w:right="40" w:firstLine="509"/>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 xml:space="preserve">Termination of office leases. </w:t>
      </w:r>
      <w:r>
        <w:rPr>
          <w:rFonts w:ascii="Times New Roman" w:cs="Times New Roman" w:eastAsia="Times New Roman" w:hAnsi="Times New Roman"/>
          <w:sz w:val="14"/>
          <w:szCs w:val="14"/>
          <w:color w:val="auto"/>
        </w:rPr>
        <w:t>Termination of office leases was insignificant for the three months ended March 31, 2024 and March 31, 2023. These expenses are related to the impairment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lease right-of-use assets, leasehold improvements and fixed assets for certain abandoned or vacated office space. There were no significant lease terminations in either period.</w:t>
      </w:r>
    </w:p>
    <w:p>
      <w:pPr>
        <w:spacing w:after="0" w:line="141" w:lineRule="exact"/>
        <w:rPr>
          <w:sz w:val="20"/>
          <w:szCs w:val="20"/>
          <w:color w:val="auto"/>
        </w:rPr>
      </w:pPr>
    </w:p>
    <w:p>
      <w:pPr>
        <w:ind w:right="2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Debt issue cost related to debt refinancing, prepayment and commitment fees. </w:t>
      </w:r>
      <w:r>
        <w:rPr>
          <w:rFonts w:ascii="Times New Roman" w:cs="Times New Roman" w:eastAsia="Times New Roman" w:hAnsi="Times New Roman"/>
          <w:sz w:val="14"/>
          <w:szCs w:val="14"/>
          <w:color w:val="auto"/>
        </w:rPr>
        <w:t>Expense from debt issue cost related to debt refinancing, prepayment and commitment fees decreased to $1.7</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million for the three months ended March 31, 2024, compared to $2.2 million for the three months ended March 31, 2023. The decrease was primarily driven by lower commitment fees as a result of increased usage of broker-dealer credit facilities during the three months ended March 31, 2024. Refer to Note 8 “Borrowings” in Part I Item 1 “Financial Statements” of this Quarterly Report on Form 10-Q for more details on our borrowing arrangements.</w:t>
      </w:r>
    </w:p>
    <w:p>
      <w:pPr>
        <w:spacing w:after="0" w:line="159" w:lineRule="exact"/>
        <w:rPr>
          <w:sz w:val="20"/>
          <w:szCs w:val="20"/>
          <w:color w:val="auto"/>
        </w:rPr>
      </w:pPr>
    </w:p>
    <w:p>
      <w:pPr>
        <w:ind w:right="160" w:firstLine="509"/>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Transaction advisory fees and expenses. </w:t>
      </w:r>
      <w:r>
        <w:rPr>
          <w:rFonts w:ascii="Times New Roman" w:cs="Times New Roman" w:eastAsia="Times New Roman" w:hAnsi="Times New Roman"/>
          <w:sz w:val="14"/>
          <w:szCs w:val="14"/>
          <w:color w:val="auto"/>
        </w:rPr>
        <w:t>Transaction advisory fees and expenses were insignificant for both the three months ended March 31, 2024, and March 31, 2023. These expenses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are primarily incurred in relation to our strategic investment portfolio.</w:t>
      </w:r>
    </w:p>
    <w:p>
      <w:pPr>
        <w:spacing w:after="0" w:line="152"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 xml:space="preserve">Financing interest expense on long-term borrowings. </w:t>
      </w:r>
      <w:r>
        <w:rPr>
          <w:rFonts w:ascii="Times New Roman" w:cs="Times New Roman" w:eastAsia="Times New Roman" w:hAnsi="Times New Roman"/>
          <w:sz w:val="14"/>
          <w:szCs w:val="14"/>
          <w:color w:val="auto"/>
        </w:rPr>
        <w:t>Financing interest expense on long-term borrowings decreased $1.1 million or 4.5% to $23.2 million for the three months ended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March 31, 2024, compared to $24.3 million for the three months ended March 31, 2023.The decrease was attributable to the decrease in outstanding principal as a result of the voluntary prepayment in December 2023 and the amortization of the amounts in AOCI related to the interest rate swaps terminated in December 2023. The decrease is partially offset by the effect of higher interest rates applied on our outstanding principal.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Provision for income taxes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incur corporate tax at the U.S. federal income tax rate on our taxable income, as adjusted for noncontrolling interest in Virtu Financial. Our income tax expense reflects such U.S. federal income tax as well as taxes payable by certain of our non-U.S. subsidiaries. Our provision for income taxes and effective tax rates were $28.5 million and 20.4% for the three months ended March 31, 2024, compared to $24.7 million and 18.3% for the three months ended March 31, 2023.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w:t>
      </w:r>
    </w:p>
    <w:p>
      <w:pPr>
        <w:spacing w:after="0" w:line="202"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As of March 31, 2024, we had $399.6 million in Cash and cash equivalents. This balance is maintained primarily to support operating activities, for capital expenditures and for short-term access to liquidity, and for other general corporate purposes. As of March 31, 2024, we had borrowings under our prime brokerage credit facilities of approximately $170.7 million, borrowings under our broker dealer facilities of $140.0 million, and long-term debt outstanding in an aggregate principal amount of approximately $1,750.1 million.</w:t>
      </w:r>
    </w:p>
    <w:p>
      <w:pPr>
        <w:spacing w:after="0" w:line="157" w:lineRule="exact"/>
        <w:rPr>
          <w:sz w:val="20"/>
          <w:szCs w:val="20"/>
          <w:color w:val="auto"/>
        </w:rPr>
      </w:pPr>
    </w:p>
    <w:p>
      <w:pPr>
        <w:ind w:right="100" w:firstLine="509"/>
        <w:spacing w:after="0" w:line="259" w:lineRule="auto"/>
        <w:rPr>
          <w:sz w:val="20"/>
          <w:szCs w:val="20"/>
          <w:color w:val="auto"/>
        </w:rPr>
      </w:pPr>
      <w:r>
        <w:rPr>
          <w:rFonts w:ascii="Times New Roman" w:cs="Times New Roman" w:eastAsia="Times New Roman" w:hAnsi="Times New Roman"/>
          <w:sz w:val="14"/>
          <w:szCs w:val="14"/>
          <w:color w:val="auto"/>
        </w:rPr>
        <w:t>The majority of our trading assets consist of exchange-listed marketable securities, which are marked-to-market daily, and collateralized receivables from broker-dealers and clearing organizations arising from proprietary securities transactions. Collateralized receivables consist primarily of securities borrowed, receivables from clearing houses for settlement of securities transactions and, to a lesser extent, securities purchased under agreements to resell. 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brokers. For purposes of providing additional liquidity, we maintain a committed credit facility and an uncommitted credit facility for our wholly-owned U.S. broker-dealer subsidiary, as discussed in Note 8 “Borrowings” of Part I Item 1 “Financial Statements” of this Quarterly Report on Form 10-Q.</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Short-term Liquidity and Capital Resources</w:t>
      </w:r>
    </w:p>
    <w:p>
      <w:pPr>
        <w:spacing w:after="0" w:line="202" w:lineRule="exact"/>
        <w:rPr>
          <w:sz w:val="20"/>
          <w:szCs w:val="20"/>
          <w:color w:val="auto"/>
        </w:rPr>
      </w:pPr>
    </w:p>
    <w:p>
      <w:pPr>
        <w:jc w:val="both"/>
        <w:ind w:right="120" w:firstLine="509"/>
        <w:spacing w:after="0" w:line="264" w:lineRule="auto"/>
        <w:rPr>
          <w:sz w:val="20"/>
          <w:szCs w:val="20"/>
          <w:color w:val="auto"/>
        </w:rPr>
      </w:pPr>
      <w:r>
        <w:rPr>
          <w:rFonts w:ascii="Times New Roman" w:cs="Times New Roman" w:eastAsia="Times New Roman" w:hAnsi="Times New Roman"/>
          <w:sz w:val="14"/>
          <w:szCs w:val="14"/>
          <w:color w:val="auto"/>
        </w:rPr>
        <w:t>Based on our current level of operations, we believe our cash flows from operations, available cash and cash equivalents, and available borrowings under our broker-dealer credit facilities will be adequate to meet our future liquidity needs for the next twelve months. We anticipate that our primary upcoming cash and liquidity needs will be increased due to margin requirements from increased trading activities in markets where we currently provide liquidity and in new markets into which we plan to expand. We manage and monitor our margin and liquidity needs on a real-time basis and can adjust our requirements both intra-day and inter-day, as required.</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60" w:name="page61"/>
    <w:bookmarkEnd w:id="60"/>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We expect our principal sources of future liquidity to come from cash flows provided by operating activities and financing activities.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 worthy to minimize risk. We consider highly liquid investments with original maturities of less than three months, when acquired, to be cash equivalents.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Long-term Liquidity and Capital Resources</w:t>
      </w:r>
    </w:p>
    <w:p>
      <w:pPr>
        <w:spacing w:after="0" w:line="202" w:lineRule="exact"/>
        <w:rPr>
          <w:sz w:val="20"/>
          <w:szCs w:val="20"/>
          <w:color w:val="auto"/>
        </w:rPr>
      </w:pPr>
    </w:p>
    <w:p>
      <w:pPr>
        <w:ind w:right="240" w:firstLine="509"/>
        <w:spacing w:after="0" w:line="287" w:lineRule="auto"/>
        <w:rPr>
          <w:sz w:val="20"/>
          <w:szCs w:val="20"/>
          <w:color w:val="auto"/>
        </w:rPr>
      </w:pPr>
      <w:r>
        <w:rPr>
          <w:rFonts w:ascii="Times New Roman" w:cs="Times New Roman" w:eastAsia="Times New Roman" w:hAnsi="Times New Roman"/>
          <w:sz w:val="14"/>
          <w:szCs w:val="14"/>
          <w:color w:val="auto"/>
        </w:rPr>
        <w:t>Our principal demand for funds beyond the next twelve months will be payments on our long-term debt, operating lease payments, common stock repurchases under our share repurchase program, and dividend payments. Based on our current level of operations, we believe our cash flow from operations, and ability to raise funding, will be sufficient to fund capital demands.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Agreements</w:t>
      </w:r>
    </w:p>
    <w:p>
      <w:pPr>
        <w:spacing w:after="0" w:line="191" w:lineRule="exact"/>
        <w:rPr>
          <w:sz w:val="20"/>
          <w:szCs w:val="20"/>
          <w:color w:val="auto"/>
        </w:rPr>
      </w:pPr>
    </w:p>
    <w:p>
      <w:pPr>
        <w:ind w:right="40" w:firstLine="509"/>
        <w:spacing w:after="0" w:line="239" w:lineRule="auto"/>
        <w:rPr>
          <w:sz w:val="20"/>
          <w:szCs w:val="20"/>
          <w:color w:val="auto"/>
        </w:rPr>
      </w:pPr>
      <w:r>
        <w:rPr>
          <w:rFonts w:ascii="Times New Roman" w:cs="Times New Roman" w:eastAsia="Times New Roman" w:hAnsi="Times New Roman"/>
          <w:sz w:val="14"/>
          <w:szCs w:val="14"/>
          <w:color w:val="auto"/>
        </w:rPr>
        <w:t>Generally, 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IPO and certain reorganization transactions undertaken in connection therewith, for exchanges of membership interests for Class A Common Stock or Class B Common Stock and payments made under the tax receivable agreements. We will retain the remaining 15% of any such cash tax savings. We expect that future payments to certain direct or indirect equity holders of Virtu Financial described in Note 4 “Tax Receivable Agreements” of Part I Item 1 “Financial Statements” of this Quarterly Report on Form 10-Q are expected to range from approximately $0.1 million to $22.0 million per year over the next 15 years. Such payments will occur only after we have filed our U.S. federal and state income tax returns and realized the cash tax savings from the favorable tax attributes. We made our first payment of $7.0 million in February 2017, and subsequent payments of $12.4 million in September 2018, $13.3 million in March 2020, $16.5 million in April 2021, $21.3 million in March 2022, $23.3 million in April 2023, and $20.2 million in March 2024. Future payments under the tax receivable agreements in respect of subsequent exchanges would be in addition to these amounts. We currently expect to fund these payments from realized cash tax savings from the favorable tax attributes.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4"/>
          <w:szCs w:val="14"/>
          <w:color w:val="auto"/>
        </w:rPr>
        <w:t>Under the tax receivable agreements, as a result of certain types of transactions and other factors, including a transaction resulting in a change of control, we may also be required to make payments to certain direct or indirect equity holders of Virtu Financial in amounts equal to the present value of future payments we are obligated to make under the tax receivable agreements. We would expect any acceleration of these payments to be funded from the realized favorable tax attributes. However, if the payments under the tax receivable agreements are accelerated, we may be required to raise additional debt or equity to fund such payments. To the extent that we are unable to make payments under the tax receivable agreements for any reason (including because our Credit Agreement restricts the ability of our subsidiaries to make distributions to us) such payments will be deferred and will accrue interest until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Regulatory Capital Requirements</w:t>
      </w:r>
    </w:p>
    <w:p>
      <w:pPr>
        <w:spacing w:after="0" w:line="202" w:lineRule="exact"/>
        <w:rPr>
          <w:sz w:val="20"/>
          <w:szCs w:val="20"/>
          <w:color w:val="auto"/>
        </w:rPr>
      </w:pPr>
    </w:p>
    <w:p>
      <w:pPr>
        <w:ind w:right="260" w:firstLine="509"/>
        <w:spacing w:after="0" w:line="270" w:lineRule="auto"/>
        <w:rPr>
          <w:sz w:val="20"/>
          <w:szCs w:val="20"/>
          <w:color w:val="auto"/>
        </w:rPr>
      </w:pPr>
      <w:r>
        <w:rPr>
          <w:rFonts w:ascii="Times New Roman" w:cs="Times New Roman" w:eastAsia="Times New Roman" w:hAnsi="Times New Roman"/>
          <w:sz w:val="14"/>
          <w:szCs w:val="14"/>
          <w:color w:val="auto"/>
        </w:rPr>
        <w:t>Our principal U.S. subsidiary, Virtu Americas LLC (“VAL”) is subject to separate regulation and capital requirements in the U.S. and other jurisdictions. VAL is a registered U.S. broker-dealer, and its primary regulators include the SEC and the Financial Industry Regulatory Authority (“FINRA”). In June 2023 our U.S. subsidiary RFQ-Hub Americas LLC (“RAL”) became a registered U.S. broker-dealer and as such is subject to regulation and capital requirements from its primary regulators, the SEC and FINRA.</w:t>
      </w:r>
    </w:p>
    <w:p>
      <w:pPr>
        <w:spacing w:after="0" w:line="15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Company’s liquidation. Additionally, certain applicable rules impose requirements that may have the effect of prohibiting a broker-dealer from distributing or withdrawing capital and requiring prior notice to and/or approval from the SEC and FINRA for certain capital withdrawals. VAL is also subject to rules set forth by NYSE and is required to maintain a certain level of capital in connection with the operation of its designated market maker business.</w:t>
      </w:r>
    </w:p>
    <w:p>
      <w:pPr>
        <w:spacing w:after="0" w:line="157" w:lineRule="exact"/>
        <w:rPr>
          <w:sz w:val="20"/>
          <w:szCs w:val="20"/>
          <w:color w:val="auto"/>
        </w:rPr>
      </w:pPr>
    </w:p>
    <w:p>
      <w:pPr>
        <w:ind w:right="140" w:firstLine="509"/>
        <w:spacing w:after="0" w:line="271" w:lineRule="auto"/>
        <w:rPr>
          <w:sz w:val="20"/>
          <w:szCs w:val="20"/>
          <w:color w:val="auto"/>
        </w:rPr>
      </w:pPr>
      <w:r>
        <w:rPr>
          <w:rFonts w:ascii="Times New Roman" w:cs="Times New Roman" w:eastAsia="Times New Roman" w:hAnsi="Times New Roman"/>
          <w:sz w:val="14"/>
          <w:szCs w:val="14"/>
          <w:color w:val="auto"/>
        </w:rPr>
        <w:t>Our Canadian subsidiaries, Virtu Canada Corp (f/k/a Virtu ITG Canada Corp.) and Virtu Financial Canada ULC, are subject to regulatory capital requirements and periodic requirements to report their regulatory capital and submit other regulatory reports set forth by the Canadian Investment Regulatory Organization. Our Irish subsidiaries, Virtu Financial Ireland</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61" w:name="page62"/>
    <w:bookmarkEnd w:id="61"/>
    <w:p>
      <w:pPr>
        <w:ind w:right="20"/>
        <w:spacing w:after="0" w:line="242" w:lineRule="auto"/>
        <w:rPr>
          <w:sz w:val="20"/>
          <w:szCs w:val="20"/>
          <w:color w:val="auto"/>
        </w:rPr>
      </w:pPr>
      <w:r>
        <w:rPr>
          <w:rFonts w:ascii="Times New Roman" w:cs="Times New Roman" w:eastAsia="Times New Roman" w:hAnsi="Times New Roman"/>
          <w:sz w:val="14"/>
          <w:szCs w:val="14"/>
          <w:color w:val="auto"/>
        </w:rPr>
        <w:t>Limited (“VFIL”) and Virtu Europe Trading Limited (“VETL”) (f/k/a Virtu ITG Europe Limited) are regulated by the Central Bank of Ireland as Investment Firms and in accordance with European Union law are required to maintain a minimum amount of regulatory capital based upon their positions, financial conditions, and other factors. In addition to periodic requirements to report their regulatory capital and submit other regulatory reports, VFIL and VETL are required to obtain consent prior to receiving capital contributions or making capital distributions from their regulatory capital. Failure to comply with their regulatory capital requirements could result in regulatory sanction or revocation of their regulatory license. Virtu ITG UK Limited is regulated by the Financial Conduct Authority in the United Kingdom and is subject to similar prudential capital requirements. Virtu ITG Australia Limited, and Virtu ITG Hong Kong Limited are also subject to local regulatory capital requirements and are regulated by the Australian Securities and Investments Commission, the Securities and Futures Commission of Hong Kong, respectively. Virtu ITG Singapore Pte. Limited and Virtu Financial Singapore Pte. Ltd. have similar regulatory requirements and are regulated by the Monetary Authority of Singapore.</w:t>
      </w:r>
    </w:p>
    <w:p>
      <w:pPr>
        <w:spacing w:after="0" w:line="169" w:lineRule="exact"/>
        <w:rPr>
          <w:sz w:val="20"/>
          <w:szCs w:val="20"/>
          <w:color w:val="auto"/>
        </w:rPr>
      </w:pPr>
    </w:p>
    <w:p>
      <w:pPr>
        <w:ind w:right="180" w:firstLine="509"/>
        <w:spacing w:after="0" w:line="287" w:lineRule="auto"/>
        <w:rPr>
          <w:sz w:val="20"/>
          <w:szCs w:val="20"/>
          <w:color w:val="auto"/>
        </w:rPr>
      </w:pPr>
      <w:r>
        <w:rPr>
          <w:rFonts w:ascii="Times New Roman" w:cs="Times New Roman" w:eastAsia="Times New Roman" w:hAnsi="Times New Roman"/>
          <w:sz w:val="14"/>
          <w:szCs w:val="14"/>
          <w:color w:val="auto"/>
        </w:rPr>
        <w:t>See Note 19 “Regulatory Requirement” of Part I Item 1 “Financial Statements” of this Quarterly Report on Form 10-Q for a discussion of regulatory capital requirements of our regulated subsidiaries.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Broker Dealer Credit Facilities, Short-Term Bank Loans, and Prime Brokerage Credit Facilities</w:t>
      </w:r>
    </w:p>
    <w:p>
      <w:pPr>
        <w:spacing w:after="0" w:line="20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4"/>
          <w:szCs w:val="14"/>
          <w:color w:val="auto"/>
        </w:rPr>
        <w:t>We maintain various broker-dealer facilities and short-term credit facilities as part of our daily trading operations. See Note 8 “Borrowings” of Part I Item 1 “Financial Statements” of this Quarterly Report on Form 10-Q for details on our various credit facilities. As of March 31, 2024, there was an outstanding principal balance on our broker-dealer facilities of $140.0 million, and the outstanding aggregate short-term credit facilities with various prime brokers and other financial institutions from which the Company receives execution or clearing services was approximately $170.7 million, which was netted within Receivables from broker-dealers and clearing organizations on the Condensed Consolidated Statements of Financial Condition of Part I Item 1 “Financial Statements” of this Quarterly Report on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Credit Agreement</w:t>
      </w:r>
    </w:p>
    <w:p>
      <w:pPr>
        <w:spacing w:after="0" w:line="19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4"/>
          <w:szCs w:val="14"/>
          <w:color w:val="auto"/>
        </w:rPr>
        <w:t>On January 13, 2022 (the “Credit Agreement Closing Date”), Virtu Financial, VFH Parent LLC, a Delaware limited liability company and a subsidiary of Virtu Financial (“VFH”), entered into the Credit Agreement, with the lenders party thereto, JPMorgan Chase Bank, N.A. as administrative agent and JPMorgan Chase bank, N.A., Goldman Sachs Bank USA, RBC Capital Markets, Barclays Bank plc, Jefferies Finance LLC, BMO Capital Markets Corp., and CIBC World Markets Corp., as joint lead arrangers and bookrunners (the “Credit Agreement”). On the Credit Agreement</w:t>
      </w:r>
    </w:p>
    <w:p>
      <w:pPr>
        <w:ind w:right="120"/>
        <w:spacing w:after="0" w:line="248" w:lineRule="auto"/>
        <w:rPr>
          <w:sz w:val="20"/>
          <w:szCs w:val="20"/>
          <w:color w:val="auto"/>
        </w:rPr>
      </w:pPr>
      <w:r>
        <w:rPr>
          <w:rFonts w:ascii="Times New Roman" w:cs="Times New Roman" w:eastAsia="Times New Roman" w:hAnsi="Times New Roman"/>
          <w:sz w:val="14"/>
          <w:szCs w:val="14"/>
          <w:color w:val="auto"/>
        </w:rPr>
        <w:t>Closing Date, VFH and Virtu Financial entered into the Credit Agreement. The Credit Agreement provides (i) a senior secured first lien term loan in an aggregate principal amount of $1,800.0 million, drawn in its entirety on the Credit Agreement Closing Date, the proceeds of which were used by VFH to repay all amounts outstanding under the Acquisition Credit Agreement, to pay fees and expenses in connection therewith, to fund share repurchases under the Company’s repurchase program and for general corporate purposes, and (ii) a $250.0 million senior secured first lien revolving facility to VFH, with a $20.0 million letter of credit subfacility and a $20.0 million swingline subfacility.</w:t>
      </w:r>
    </w:p>
    <w:p>
      <w:pPr>
        <w:spacing w:after="0" w:line="17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4"/>
          <w:szCs w:val="14"/>
          <w:color w:val="auto"/>
        </w:rPr>
        <w:t>The term loan borrowings and revolver borrowings under the Credit Agreement bear interest at a per annum rate equal to, at the Company’s election, either (i) the greatest of (a) the prime rate in effect, (b) the greater of (1) the federal funds effective rate and (2) the overnight bank funding rate, in each case plus 0.50%, (c) an adjusted term Secured Overnight Financing Rate (“SOFR”) rate with an interest period of one month plus 1.00% and (d)(1) in the case of term loan borrowings, 1.50% and (2) in the case of revolver borrowings, 1.00%, plus, (x) in the case of term loan borrowings, 2.00% and (y) in the case of revolver borrowings, 1.50% or (ii) the greater of (a) an adjusted term SOFR rate for the interest period in effect and (b) (1) in the case of term loan borrowings, 0.50% and (2) in the case of revolver borrowings, 0.00%, plus, (x) in the case of term loan borrowings, 3.00% and (y) in the case of revolver borrowings, 2.50%. In addition, a commitment fee accrues at a rate of 0.50% per annum on the average daily unused amount of the revolving facility, with step-downs to 0.375% and 0.25% per annum based on VFH’s first lien leverage ratio, and is payable quarterly in arrears.</w:t>
      </w:r>
    </w:p>
    <w:p>
      <w:pPr>
        <w:spacing w:after="0" w:line="168"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The revolving facility under the Credit Agreement is subject to a springing net first lien leverage ratio which may spring into effect as of the last day of a fiscal quarter if usage of the aggregate revolving commitments exceeds a specified level as of such date. VFH is also subject to contingent principal prepayments based on excess cash flow and certain other triggering events. Borrowings under the Credit Agreement are guaranteed by Virtu Financial and VFH’s material non-regulated domestic restricted subsidiaries and secured by substantially all of the assets of VFH and the guarantors, in each case, subject to certain exceptions.</w:t>
      </w:r>
    </w:p>
    <w:p>
      <w:pPr>
        <w:spacing w:after="0" w:line="162" w:lineRule="exact"/>
        <w:rPr>
          <w:sz w:val="20"/>
          <w:szCs w:val="20"/>
          <w:color w:val="auto"/>
        </w:rPr>
      </w:pPr>
    </w:p>
    <w:p>
      <w:pPr>
        <w:ind w:right="20" w:firstLine="509"/>
        <w:spacing w:after="0" w:line="287" w:lineRule="auto"/>
        <w:rPr>
          <w:sz w:val="20"/>
          <w:szCs w:val="20"/>
          <w:color w:val="auto"/>
        </w:rPr>
      </w:pPr>
      <w:r>
        <w:rPr>
          <w:rFonts w:ascii="Times New Roman" w:cs="Times New Roman" w:eastAsia="Times New Roman" w:hAnsi="Times New Roman"/>
          <w:sz w:val="14"/>
          <w:szCs w:val="14"/>
          <w:color w:val="auto"/>
        </w:rPr>
        <w:t>The Credit Agreement contains certain customary covenants and events of default, including relating to a change of control. If an event of default occurs and is continuing, the lenders under the Credit Agreement will be entitled to take various</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719" w:right="359" w:bottom="1440" w:gutter="0" w:footer="0" w:header="0"/>
        </w:sectPr>
      </w:pPr>
    </w:p>
    <w:bookmarkStart w:id="62" w:name="page63"/>
    <w:bookmarkEnd w:id="62"/>
    <w:p>
      <w:pPr>
        <w:ind w:right="160"/>
        <w:spacing w:after="0" w:line="287" w:lineRule="auto"/>
        <w:rPr>
          <w:sz w:val="20"/>
          <w:szCs w:val="20"/>
          <w:color w:val="auto"/>
        </w:rPr>
      </w:pPr>
      <w:r>
        <w:rPr>
          <w:rFonts w:ascii="Times New Roman" w:cs="Times New Roman" w:eastAsia="Times New Roman" w:hAnsi="Times New Roman"/>
          <w:sz w:val="14"/>
          <w:szCs w:val="14"/>
          <w:color w:val="auto"/>
        </w:rPr>
        <w:t>actions, including the acceleration of amounts outstanding under the Credit Agreement and all actions permitted to be taken by a secured creditor in respect of the collateral securing the obligations under the Credit Agreement.</w:t>
      </w:r>
    </w:p>
    <w:p>
      <w:pPr>
        <w:spacing w:after="0" w:line="145"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Under the Credit Agreement, the term loans will mature on January 13, 2029. The term loans amortize in annual installments equal to 1.0% of the original aggregate principal amount of the term loans. The revolving commitments will terminate on January 13, 2025. As of March 31, 2024, $1,727.0 million was outstanding under the term loans. We were in compliance with all applicable covenants under the Credit Agreement as of March 31, 2024.</w:t>
      </w:r>
    </w:p>
    <w:p>
      <w:pPr>
        <w:spacing w:after="0" w:line="157"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In October 2019, the Company entered into a five-year $525 million floating-to-fixed interest rate swap agreement. In January 2020, the Company entered into a five-year $1,000.0 million floating-to-fixed interest rate swap agreement. These two interest rate swaps met the criteria to be considered and were designated as qualifying cash flow hedges under ASC 815 in the first quarter of 2020, and they effectively fixed interest payment obligations on $525.0 million and $1,000.0 million of principal under the Acquisition First Lien Term Loan Facility at rates of 4.3% and 4.4% through September 2024 and January 2025, respectively, based on the interest rates set forth in the Acquisition Credit Agreement. In April 2021, each of the swap agreements described above was novated to another counterparty and amended in connection with such novation. The amendments included certain changes to collateral posting obligations and also had the effect of increasing the effective fixed interest payment obligations to rates of 4.5%, with respect to the earlier maturing swap arrangement, and 4.6% with respect to the later maturing swap arrangement. In January 2022, in order to align the swap agreements with the Credit Agreement, the Company amended each of the swap agreements to align the floating rate term of such swap agreements to SOFR. The effective fixed interest payment obligations remained at 4.5%, with respect to the earlier maturing swap arrangement, and 4.6% with respect to the later maturing swap arrangement.</w:t>
      </w:r>
    </w:p>
    <w:p>
      <w:pPr>
        <w:spacing w:after="0" w:line="159" w:lineRule="exact"/>
        <w:rPr>
          <w:sz w:val="20"/>
          <w:szCs w:val="20"/>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In December 2023, the Company terminated the two interest rate swap arrangements and received $55.8 million in proceeds from the counterparty. The Company therefore dedesignated those cash flow hedges under ASC 815, and the amounts in AOCI related to the terminated swaps are to be amortized through interest expense. The Company simultaneously entered into a two-year $1,525 million floating-to-fixed interest rate swap agreement with the same counterparty. The new interest rate swap met the criteria to be considered and was designated as a qualifying cash flow hedge under ASC 815 as of December 2023, and it effectively fixed interest payment obligations on $1,525 million of principal under the First Lien Term Loan Facility at rate of 7.5% through November 2025, based on the interest rates set forth in the Credit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Our main sources of liquidity are cash flow from the operations of our subsidiaries, our broker-dealer credit facilities (as described above), margin financing provided by our prime brokers and cash on hand.</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 table below summarizes our primary sources and uses of cash for the three months ended March 31, 2024 and 2023.</w:t>
      </w:r>
    </w:p>
    <w:p>
      <w:pPr>
        <w:spacing w:after="0" w:line="227" w:lineRule="exact"/>
        <w:rPr>
          <w:sz w:val="20"/>
          <w:szCs w:val="20"/>
          <w:color w:val="auto"/>
        </w:rPr>
      </w:pPr>
    </w:p>
    <w:tbl>
      <w:tblPr>
        <w:tblLayout w:type="fixed"/>
        <w:tblInd w:w="1260" w:type="dxa"/>
        <w:tblCellMar>
          <w:top w:w="0" w:type="dxa"/>
          <w:left w:w="0" w:type="dxa"/>
          <w:bottom w:w="0" w:type="dxa"/>
          <w:right w:w="0" w:type="dxa"/>
        </w:tblCellMar>
      </w:tblPr>
      <w:tr>
        <w:trPr>
          <w:trHeight w:val="158"/>
        </w:trPr>
        <w:tc>
          <w:tcPr>
            <w:tcW w:w="5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gridSpan w:val="4"/>
          </w:tcPr>
          <w:p>
            <w:pPr>
              <w:jc w:val="right"/>
              <w:ind w:right="723"/>
              <w:spacing w:after="0"/>
              <w:rPr>
                <w:sz w:val="20"/>
                <w:szCs w:val="20"/>
                <w:color w:val="auto"/>
              </w:rPr>
            </w:pPr>
            <w:r>
              <w:rPr>
                <w:rFonts w:ascii="Times New Roman" w:cs="Times New Roman" w:eastAsia="Times New Roman" w:hAnsi="Times New Roman"/>
                <w:sz w:val="11"/>
                <w:szCs w:val="11"/>
                <w:b w:val="1"/>
                <w:bCs w:val="1"/>
                <w:color w:val="auto"/>
              </w:rPr>
              <w:t>Three Months Ended March 31,</w:t>
            </w:r>
          </w:p>
        </w:tc>
      </w:tr>
      <w:tr>
        <w:trPr>
          <w:trHeight w:val="154"/>
        </w:trPr>
        <w:tc>
          <w:tcPr>
            <w:tcW w:w="56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cash provided by (used in):</w:t>
            </w:r>
          </w:p>
        </w:tc>
        <w:tc>
          <w:tcPr>
            <w:tcW w:w="360" w:type="dxa"/>
            <w:vAlign w:val="bottom"/>
          </w:tcPr>
          <w:p>
            <w:pPr>
              <w:spacing w:after="0"/>
              <w:rPr>
                <w:sz w:val="13"/>
                <w:szCs w:val="13"/>
                <w:color w:val="auto"/>
              </w:rPr>
            </w:pPr>
          </w:p>
        </w:tc>
        <w:tc>
          <w:tcPr>
            <w:tcW w:w="1140" w:type="dxa"/>
            <w:vAlign w:val="bottom"/>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55"/>
        </w:trPr>
        <w:tc>
          <w:tcPr>
            <w:tcW w:w="554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Operating activities</w:t>
            </w:r>
          </w:p>
        </w:tc>
        <w:tc>
          <w:tcPr>
            <w:tcW w:w="1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(395,414)</w:t>
            </w:r>
          </w:p>
        </w:tc>
        <w:tc>
          <w:tcPr>
            <w:tcW w:w="12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(148,382)</w:t>
            </w:r>
          </w:p>
        </w:tc>
      </w:tr>
      <w:tr>
        <w:trPr>
          <w:trHeight w:val="153"/>
        </w:trPr>
        <w:tc>
          <w:tcPr>
            <w:tcW w:w="5640" w:type="dxa"/>
            <w:vAlign w:val="bottom"/>
            <w:gridSpan w:val="2"/>
          </w:tcPr>
          <w:p>
            <w:pPr>
              <w:ind w:left="120"/>
              <w:spacing w:after="0"/>
              <w:rPr>
                <w:sz w:val="20"/>
                <w:szCs w:val="20"/>
                <w:color w:val="auto"/>
              </w:rPr>
            </w:pPr>
            <w:r>
              <w:rPr>
                <w:rFonts w:ascii="Times New Roman" w:cs="Times New Roman" w:eastAsia="Times New Roman" w:hAnsi="Times New Roman"/>
                <w:sz w:val="11"/>
                <w:szCs w:val="11"/>
                <w:color w:val="auto"/>
              </w:rPr>
              <w:t>Investing activities</w:t>
            </w: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(27,476)</w:t>
            </w: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(35,783)</w:t>
            </w:r>
          </w:p>
        </w:tc>
      </w:tr>
      <w:tr>
        <w:trPr>
          <w:trHeight w:val="165"/>
        </w:trPr>
        <w:tc>
          <w:tcPr>
            <w:tcW w:w="56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Financing activities</w:t>
            </w: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(46,544)</w:t>
            </w:r>
          </w:p>
        </w:tc>
      </w:tr>
      <w:tr>
        <w:trPr>
          <w:trHeight w:val="153"/>
        </w:trPr>
        <w:tc>
          <w:tcPr>
            <w:tcW w:w="56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1"/>
                <w:szCs w:val="11"/>
                <w:color w:val="auto"/>
              </w:rPr>
              <w:t>Effect of exchange rate changes on cash and cash equivalents</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(3,526)</w:t>
            </w:r>
          </w:p>
        </w:tc>
        <w:tc>
          <w:tcPr>
            <w:tcW w:w="12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1,648</w:t>
            </w:r>
          </w:p>
        </w:tc>
      </w:tr>
      <w:tr>
        <w:trPr>
          <w:trHeight w:val="181"/>
        </w:trPr>
        <w:tc>
          <w:tcPr>
            <w:tcW w:w="56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Net increase (decrease) in cash and cash equivalents</w:t>
            </w:r>
          </w:p>
        </w:tc>
        <w:tc>
          <w:tcPr>
            <w:tcW w:w="36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(426,054)</w:t>
            </w:r>
          </w:p>
        </w:tc>
        <w:tc>
          <w:tcPr>
            <w:tcW w:w="12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(229,061)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Operating Activities</w:t>
      </w:r>
    </w:p>
    <w:p>
      <w:pPr>
        <w:spacing w:after="0" w:line="191"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4"/>
          <w:szCs w:val="14"/>
          <w:color w:val="auto"/>
        </w:rPr>
        <w:t>Net cash used in operating activities was $395.4 million for the three months ended March 31, 2024, compared to net cash used in operating activities of $148.4 million for the three months ended March 31, 2023. The change in net cash used in operating activities was primarily attributable to decreases in noncash adjustments for the three months ended March 31, 2024 compared to the prior period.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color w:val="auto"/>
        </w:rPr>
        <w:t>Investing Activities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Net cash used in investing activities, which includes cash used with respect to capitalized software and cash used in the acquisition of property and equipment, was $27.5 million for the three months ended March 31, 2024, compared with net cash used in investing activities of $35.8 million for the three months ended March 31, 2023. The change in net cash used in investing activities was primarily attributable to decreases in acquisition of property and equipment in the three months ended March 31,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Financing Activities</w:t>
      </w:r>
    </w:p>
    <w:p>
      <w:pPr>
        <w:spacing w:after="0" w:line="20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4"/>
          <w:szCs w:val="14"/>
          <w:color w:val="auto"/>
        </w:rPr>
        <w:t>Net cash provided by financing activities was $0.4 million for the three months ended March 31, 2024, compared to Net cash used in financing activities of $46.5 million for the three months ended March 31, 2023. The cash provided by financing activities for the three months ended March 31, 2024 was primarily attributable to $140.0 million of net proceeds from short-term borrowings, offset by $67.6 million in dividends to stockholders and distributions made to noncontrolling interests and $51.8 million in purchases of treasury stock. The cash used in financing activities of $46.5 million during the same period of 2023 primarily reflects $52.0 million net dividends to stockholders and distributions to noncontrolling interests, and $93.2 million purchase of treasury stock, partially offset by net proceeds of $121.1 million from short-term borrowings.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202" w:lineRule="exact"/>
        <w:rPr>
          <w:sz w:val="20"/>
          <w:szCs w:val="20"/>
          <w:color w:val="auto"/>
        </w:rPr>
      </w:pPr>
    </w:p>
    <w:p>
      <w:pPr>
        <w:ind w:right="380" w:firstLine="509"/>
        <w:spacing w:after="0" w:line="264" w:lineRule="auto"/>
        <w:rPr>
          <w:sz w:val="20"/>
          <w:szCs w:val="20"/>
          <w:color w:val="auto"/>
        </w:rPr>
      </w:pPr>
      <w:r>
        <w:rPr>
          <w:rFonts w:ascii="Times New Roman" w:cs="Times New Roman" w:eastAsia="Times New Roman" w:hAnsi="Times New Roman"/>
          <w:sz w:val="14"/>
          <w:szCs w:val="14"/>
          <w:color w:val="auto"/>
        </w:rPr>
        <w:t>On November 6, 2020, the Company's Board of Directors authorized a new share repurchase program of up to $100.0 million in Class A common stock and Virtu Financial Units by December 31, 2021. Subsequently, the Company's Board of Directors authorized expansions of the share repurchase program on February 11, 2021 to $170.0 million, on May 4, 2021 to $470.0 million (and extended the duration through May 4, 2022), on November 3, 2021 to $1,220.0 million (and extended the duration through November 3, 2023, and on November 2, 2023, further extended the program through December 31, 2024).</w:t>
      </w:r>
    </w:p>
    <w:p>
      <w:pPr>
        <w:spacing w:after="0" w:line="16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2024, the Company repurchased approximately 45.6 million shares of Class A Common Stock and Virtu Financial Units for approximately $1,145.4 million. As of March 31, 2024, the Company has approximately of $74.6 million remaining capacity for future purchases of shares of Class A Common Stock and Virtu Financial Units under the program.</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202"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as well as the reported amounts of revenue and expenses during the applicable reporting period. Critical accounting policies are those that are the most important portrayal of our financial condition, results of operations and cash flows, and that require our most difficult, subjective and complex judgments as a result of the need to make estimates about the effect of matters that are inherently uncertain.</w:t>
      </w:r>
    </w:p>
    <w:p>
      <w:pPr>
        <w:spacing w:after="0" w:line="16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While our significant accounting policies are described in more detail in the notes to our consolidated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i w:val="1"/>
          <w:iCs w:val="1"/>
          <w:color w:val="auto"/>
        </w:rPr>
        <w:t>Valuation of Financial Instruments</w:t>
      </w:r>
    </w:p>
    <w:p>
      <w:pPr>
        <w:spacing w:after="0" w:line="202" w:lineRule="exact"/>
        <w:rPr>
          <w:sz w:val="20"/>
          <w:szCs w:val="20"/>
          <w:color w:val="auto"/>
        </w:rPr>
      </w:pPr>
    </w:p>
    <w:p>
      <w:pPr>
        <w:ind w:right="60" w:firstLine="509"/>
        <w:spacing w:after="0" w:line="264" w:lineRule="auto"/>
        <w:rPr>
          <w:sz w:val="20"/>
          <w:szCs w:val="20"/>
          <w:color w:val="auto"/>
        </w:rPr>
      </w:pPr>
      <w:r>
        <w:rPr>
          <w:rFonts w:ascii="Times New Roman" w:cs="Times New Roman" w:eastAsia="Times New Roman" w:hAnsi="Times New Roman"/>
          <w:sz w:val="14"/>
          <w:szCs w:val="14"/>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62" w:lineRule="exact"/>
        <w:rPr>
          <w:sz w:val="20"/>
          <w:szCs w:val="20"/>
          <w:color w:val="auto"/>
        </w:rPr>
      </w:pPr>
    </w:p>
    <w:p>
      <w:pPr>
        <w:ind w:right="80" w:firstLine="509"/>
        <w:spacing w:after="0" w:line="287" w:lineRule="auto"/>
        <w:rPr>
          <w:sz w:val="20"/>
          <w:szCs w:val="20"/>
          <w:color w:val="auto"/>
        </w:rPr>
      </w:pPr>
      <w:r>
        <w:rPr>
          <w:rFonts w:ascii="Times New Roman" w:cs="Times New Roman" w:eastAsia="Times New Roman" w:hAnsi="Times New Roman"/>
          <w:sz w:val="14"/>
          <w:szCs w:val="14"/>
          <w:color w:val="auto"/>
        </w:rPr>
        <w:t>Fair value is defined as the price that would be received to sell an asset or would be paid to transfer a liability (i.e., the exit price) in an orderly transaction between market participants at the measurement date. Financial instruments measured and reported at fair value are classified and disclosed in one of the following categories based on inputs:</w:t>
      </w:r>
    </w:p>
    <w:p>
      <w:pPr>
        <w:spacing w:after="0" w:line="1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1 — Unadjusted quoted prices in active markets that are accessible at the measurement date for identical, unrestricted assets or liabilities;</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2 — Quoted prices in markets that are not active and financial instruments for which all significant inputs are observable, either directly or indirectly; or</w:t>
      </w:r>
    </w:p>
    <w:p>
      <w:pPr>
        <w:spacing w:after="0" w:line="2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Level 3 — Prices or valuations that require inputs that are both significant to the fair value measurement and unobservable</w:t>
      </w:r>
    </w:p>
    <w:p>
      <w:pPr>
        <w:spacing w:after="0" w:line="189"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The fair values for substantially all of our financial instruments owned and financial instruments sold but not yet purchased are based on observable prices and inputs and are classified in levels 1 and 2 of the fair value hierarchy. Instruments categorized within level 3 of the fair value hierarchy are those which require one or more significant inputs that are not observable. Estimating the fair value of level 3 financial instruments requires judgments to be made. Due to the relative immateriality of our financial instruments classified as level 3, we do not believe that a significant change to the inputs underlying the fair value of our level 3 financial instruments would have a material impact on our Condensed Consolidated Financial Statements See Note 9 “Financial Assets and Liabilities” of Part I Item 1 “Financial Statements” of this Quarterly Report on Form 10-Q for further information about fair value measurements.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Trading Income, Net</w:t>
      </w:r>
    </w:p>
    <w:p>
      <w:pPr>
        <w:spacing w:after="0" w:line="202" w:lineRule="exact"/>
        <w:rPr>
          <w:sz w:val="20"/>
          <w:szCs w:val="20"/>
          <w:color w:val="auto"/>
        </w:rPr>
      </w:pPr>
    </w:p>
    <w:p>
      <w:pPr>
        <w:jc w:val="both"/>
        <w:ind w:right="500" w:firstLine="509"/>
        <w:spacing w:after="0" w:line="270" w:lineRule="auto"/>
        <w:rPr>
          <w:sz w:val="20"/>
          <w:szCs w:val="20"/>
          <w:color w:val="auto"/>
        </w:rPr>
      </w:pPr>
      <w:r>
        <w:rPr>
          <w:rFonts w:ascii="Times New Roman" w:cs="Times New Roman" w:eastAsia="Times New Roman" w:hAnsi="Times New Roman"/>
          <w:sz w:val="14"/>
          <w:szCs w:val="14"/>
          <w:color w:val="auto"/>
        </w:rPr>
        <w:t>Trading income, net, consists of trading gains and losses that are recorded on a trade date basis and reported on a net basis. Trading income, net, is comprised of changes in fair value of financial instruments owned and financial instruments sold, not yet purchased assets and liabilities (i.e., unrealized gains and losses) and realized gains and losses on equities, fixed income securities, currencies and commodities.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Interest and Dividends Income/Interest and Dividends Expense</w:t>
      </w:r>
    </w:p>
    <w:p>
      <w:pPr>
        <w:spacing w:after="0" w:line="202"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Interest income and interest expense are accrued in accordance with contractual rates. Interest income consists of income earned on collateralized financing arrangements and on cash held by brokers and banks. Interest expense includes interest expense from collateralized transactions, margin and related short-term lending facilities. Dividends are recorded on the ex-dividend date, and interest is recognized on an accrual basis.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Commissions, net and Technology Services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Commissions, net, which primarily comprise commissions and commission equivalents earned on institutional client orders, are recorded on a trade date basis, which is the point at which the performance obligation to the customer is satisfied. Under a commission management program, we allow institutional clients to allocate a portion of their gross commissions to pay for research and other services provided by third parties. As we act as an agent in these transactions, we record such expenses on a net basis within Commissions, net and technology services in the Condensed Consolidated Statements of Comprehensive Income.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Workflow technology revenues consist of order and trade execution management and order routing services we provide through our front-end workflow solutions and network capabilities.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65" w:name="page66"/>
    <w:bookmarkEnd w:id="65"/>
    <w:p>
      <w:pPr>
        <w:ind w:firstLine="509"/>
        <w:spacing w:after="0" w:line="264" w:lineRule="auto"/>
        <w:rPr>
          <w:sz w:val="20"/>
          <w:szCs w:val="20"/>
          <w:color w:val="auto"/>
        </w:rPr>
      </w:pPr>
      <w:r>
        <w:rPr>
          <w:rFonts w:ascii="Times New Roman" w:cs="Times New Roman" w:eastAsia="Times New Roman" w:hAnsi="Times New Roman"/>
          <w:sz w:val="14"/>
          <w:szCs w:val="14"/>
          <w:color w:val="auto"/>
        </w:rPr>
        <w:t>We provide trade order routing from our execution management system (“EMS”) to our execution services offerings, with each trade order routed through the EMS representing a separate performance obligation that is satisfied at a point in time. A portion of the commissions earned on the trade is then allocated to Workflow Technology based on the stand-alone selling price paid by third-party brokers for order routing. The remaining commission is allocated to Commissions, net using a residual allocation approach. Commissions earned are fixed and revenue is recognized on the trade date.</w:t>
      </w:r>
    </w:p>
    <w:p>
      <w:pPr>
        <w:spacing w:after="0" w:line="162" w:lineRule="exact"/>
        <w:rPr>
          <w:sz w:val="20"/>
          <w:szCs w:val="20"/>
          <w:color w:val="auto"/>
        </w:rPr>
      </w:pPr>
    </w:p>
    <w:p>
      <w:pPr>
        <w:ind w:right="460" w:firstLine="509"/>
        <w:spacing w:after="0" w:line="287" w:lineRule="auto"/>
        <w:rPr>
          <w:sz w:val="20"/>
          <w:szCs w:val="20"/>
          <w:color w:val="auto"/>
        </w:rPr>
      </w:pPr>
      <w:r>
        <w:rPr>
          <w:rFonts w:ascii="Times New Roman" w:cs="Times New Roman" w:eastAsia="Times New Roman" w:hAnsi="Times New Roman"/>
          <w:sz w:val="14"/>
          <w:szCs w:val="14"/>
          <w:color w:val="auto"/>
        </w:rPr>
        <w:t>We participate in commission share arrangements, where trade orders are routed to third-party brokers from our EMS and our order management system (“OMS”). Commission share revenues from third-party brokers are generally fixed and revenue is recognized at a point in time on the trade date.</w:t>
      </w:r>
    </w:p>
    <w:p>
      <w:pPr>
        <w:spacing w:after="0" w:line="145" w:lineRule="exact"/>
        <w:rPr>
          <w:sz w:val="20"/>
          <w:szCs w:val="20"/>
          <w:color w:val="auto"/>
        </w:rPr>
      </w:pPr>
    </w:p>
    <w:p>
      <w:pPr>
        <w:ind w:right="120" w:firstLine="509"/>
        <w:spacing w:after="0" w:line="270" w:lineRule="auto"/>
        <w:rPr>
          <w:sz w:val="20"/>
          <w:szCs w:val="20"/>
          <w:color w:val="auto"/>
        </w:rPr>
      </w:pPr>
      <w:r>
        <w:rPr>
          <w:rFonts w:ascii="Times New Roman" w:cs="Times New Roman" w:eastAsia="Times New Roman" w:hAnsi="Times New Roman"/>
          <w:sz w:val="14"/>
          <w:szCs w:val="14"/>
          <w:color w:val="auto"/>
        </w:rPr>
        <w:t>We also provide OMS and related software products and connectivity services to customers and recognize license fee revenues and monthly connectivity fees. License fee revenues, generated for the use of our OMS and other software products, are fixed and recognized at the point in time at which the customer is able to use and benefit from the license. Connectivity revenue is variable in nature, based on the number of live connections, and is recognized over time on a monthly basis using a time-based measure of progress.</w:t>
      </w:r>
    </w:p>
    <w:p>
      <w:pPr>
        <w:spacing w:after="0" w:line="157"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4"/>
          <w:szCs w:val="14"/>
          <w:color w:val="auto"/>
        </w:rPr>
        <w:t>Analytics revenues are earned from providing customers with analytics products and services, including trading and portfolio analytics tools. We provide analytics products and services to customers and recognize subscription fees, which are fixed for the contract term, based on when the products and services are delivered. Analytics services can be delivered either over time (when customers are provided with distinct ongoing access to analytics data) or at a point in time (when reports are only delivered to the customer on a periodic basis). Over time performance obligations are recognized using a time-based measure of progress on a monthly basis, since the analytics products and services are continually provided to the client. Point in time performance obligations are recognized when the analytics reports are delivered to the client.</w:t>
      </w:r>
    </w:p>
    <w:p>
      <w:pPr>
        <w:spacing w:after="0" w:line="164" w:lineRule="exact"/>
        <w:rPr>
          <w:sz w:val="20"/>
          <w:szCs w:val="20"/>
          <w:color w:val="auto"/>
        </w:rPr>
      </w:pPr>
    </w:p>
    <w:p>
      <w:pPr>
        <w:ind w:right="220" w:firstLine="509"/>
        <w:spacing w:after="0" w:line="287" w:lineRule="auto"/>
        <w:rPr>
          <w:sz w:val="20"/>
          <w:szCs w:val="20"/>
          <w:color w:val="auto"/>
        </w:rPr>
      </w:pPr>
      <w:r>
        <w:rPr>
          <w:rFonts w:ascii="Times New Roman" w:cs="Times New Roman" w:eastAsia="Times New Roman" w:hAnsi="Times New Roman"/>
          <w:sz w:val="14"/>
          <w:szCs w:val="14"/>
          <w:color w:val="auto"/>
        </w:rPr>
        <w:t>Analytics products and services can also be paid for through variable bundled arrangements with trade execution services. Customers agree to pay for analytics products and services with commissions generated from trade execution services, and commissions are allocated to the analytics performance obligation(s) using:</w:t>
      </w:r>
    </w:p>
    <w:p>
      <w:pPr>
        <w:spacing w:after="0" w:line="124" w:lineRule="exact"/>
        <w:rPr>
          <w:sz w:val="20"/>
          <w:szCs w:val="20"/>
          <w:color w:val="auto"/>
        </w:rPr>
      </w:pPr>
    </w:p>
    <w:p>
      <w:pPr>
        <w:ind w:left="1020" w:hanging="506"/>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commission value for each customer for the products and services it receives, which is priced using the value for similar stand-alone subscription arrangements; and</w:t>
      </w:r>
    </w:p>
    <w:p>
      <w:pPr>
        <w:spacing w:after="0" w:line="23" w:lineRule="exact"/>
        <w:rPr>
          <w:rFonts w:ascii="Times New Roman" w:cs="Times New Roman" w:eastAsia="Times New Roman" w:hAnsi="Times New Roman"/>
          <w:sz w:val="14"/>
          <w:szCs w:val="14"/>
          <w:color w:val="auto"/>
        </w:rPr>
      </w:pPr>
    </w:p>
    <w:p>
      <w:pPr>
        <w:ind w:left="1020" w:hanging="506"/>
        <w:spacing w:after="0"/>
        <w:tabs>
          <w:tab w:leader="none" w:pos="10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calculated ratio of the commission value for the products and services relative to the total amount of commissions generated from the customer.</w:t>
      </w:r>
    </w:p>
    <w:p>
      <w:pPr>
        <w:spacing w:after="0" w:line="185" w:lineRule="exact"/>
        <w:rPr>
          <w:sz w:val="20"/>
          <w:szCs w:val="20"/>
          <w:color w:val="auto"/>
        </w:rPr>
      </w:pPr>
    </w:p>
    <w:p>
      <w:pPr>
        <w:ind w:right="280" w:firstLine="509"/>
        <w:spacing w:after="0" w:line="287" w:lineRule="auto"/>
        <w:rPr>
          <w:sz w:val="20"/>
          <w:szCs w:val="20"/>
          <w:color w:val="auto"/>
        </w:rPr>
      </w:pPr>
      <w:r>
        <w:rPr>
          <w:rFonts w:ascii="Times New Roman" w:cs="Times New Roman" w:eastAsia="Times New Roman" w:hAnsi="Times New Roman"/>
          <w:sz w:val="14"/>
          <w:szCs w:val="14"/>
          <w:color w:val="auto"/>
        </w:rPr>
        <w:t>For these bundled commission arrangements, the allocated commissions to each analytics performance obligation are then recognized as revenue when the analytics product is delivered, either over time or at a point in time. These allocated commissions may be deferred if the allocated amount exceeds the amount recognizable based on delivery.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Share-Based Compensation</w:t>
      </w:r>
    </w:p>
    <w:p>
      <w:pPr>
        <w:spacing w:after="0" w:line="20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We account for share-based compensation transactions with employees under the provisions of the Financial Accounting Standards Board's Accounting Standards Codification (“ASC”) 718, Compensation: Stock Compensation. Share-based compensation transactions with employees are measured based on the fair value of equity instruments issued.</w:t>
      </w:r>
    </w:p>
    <w:p>
      <w:pPr>
        <w:spacing w:after="0" w:line="145"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Share-based awards issued for compensation in connection with or subsequent to the Reorganization Transactions and the IPO pursuant to our Amended and Restated 2015 Management Incentive Plan, and assumed pursuant to the Amended and Restated ITG 2007 Equity Plan, were in the form of stock options, Class A Common Stock, restricted stock awards (“RSAs”) and restricted stock units (“RSUs”). The fair value of the stock option grants is determined through the application of the Black-Scholes-Merton model. The fair value of the Class A Common Stock and RSUs is determined based on the volume weighted average price for the three days preceding the grant. With respect to the RSUs, we account for forfeitures as they occur. The fair value of RSAs is determined based on the closing price as of the date of grant. The fair value of share-based awards granted to employees is expensed based on the vesting conditions and is recognized on a straight-line basis over the vesting period, or, in the case of RSAs subject to performance conditions, from the date that achievement becomes probable through the remainder of the vesting period. The assessment of the performance condition becomes certain within the year of grant. At year end there is no future assessment that would affect grants with a performance condition. We record as treasury stock shares repurchased from employees for the purpose of settling tax liabilities incurred upon the issuance of common stock, the vesting of RSUs or the exercise of stock options.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202" w:lineRule="exact"/>
        <w:rPr>
          <w:sz w:val="20"/>
          <w:szCs w:val="20"/>
          <w:color w:val="auto"/>
        </w:rPr>
      </w:pPr>
    </w:p>
    <w:p>
      <w:pPr>
        <w:ind w:right="40" w:firstLine="509"/>
        <w:spacing w:after="0" w:line="287" w:lineRule="auto"/>
        <w:rPr>
          <w:sz w:val="20"/>
          <w:szCs w:val="20"/>
          <w:color w:val="auto"/>
        </w:rPr>
      </w:pPr>
      <w:r>
        <w:rPr>
          <w:rFonts w:ascii="Times New Roman" w:cs="Times New Roman" w:eastAsia="Times New Roman" w:hAnsi="Times New Roman"/>
          <w:sz w:val="14"/>
          <w:szCs w:val="14"/>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w:t>
      </w:r>
    </w:p>
    <w:p>
      <w:pPr>
        <w:spacing w:after="0" w:line="145"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Certain of our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57" w:lineRule="exact"/>
        <w:rPr>
          <w:sz w:val="20"/>
          <w:szCs w:val="20"/>
          <w:color w:val="auto"/>
        </w:rPr>
      </w:pPr>
    </w:p>
    <w:p>
      <w:pPr>
        <w:ind w:right="140" w:firstLine="509"/>
        <w:spacing w:after="0" w:line="247" w:lineRule="auto"/>
        <w:rPr>
          <w:sz w:val="20"/>
          <w:szCs w:val="20"/>
          <w:color w:val="auto"/>
        </w:rPr>
      </w:pPr>
      <w:r>
        <w:rPr>
          <w:rFonts w:ascii="Times New Roman" w:cs="Times New Roman" w:eastAsia="Times New Roman" w:hAnsi="Times New Roman"/>
          <w:sz w:val="14"/>
          <w:szCs w:val="14"/>
          <w:color w:val="auto"/>
        </w:rPr>
        <w:t>We are currently subject to audit in various jurisdictions, and these jurisdictions may assess additional income tax liabilities against us. Developments in an audit, litigation, or the relevant laws, regulations, administrative practices, principles, and interpretations could have a material effect on our operating results or cash flows in the period or periods for which that development occurs, as well as for prior and subsequent periods. We recognize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Condensed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Our estimates may require periodic adjustments and may not accurately anticipate actual outcomes as resolution of income tax treatments in individual jurisdictions typically would not be known for several years after completion of any fiscal year. We believe the judgments and estimates discussed above are reasonable. However, if actual results are not consistent with our estimates or assumptions, we may be exposed to losses or gains that could be 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Tax Receivable Agreements</w:t>
      </w:r>
    </w:p>
    <w:p>
      <w:pPr>
        <w:spacing w:after="0" w:line="202" w:lineRule="exact"/>
        <w:rPr>
          <w:sz w:val="20"/>
          <w:szCs w:val="20"/>
          <w:color w:val="auto"/>
        </w:rPr>
      </w:pPr>
    </w:p>
    <w:p>
      <w:pPr>
        <w:ind w:firstLine="509"/>
        <w:spacing w:after="0" w:line="257" w:lineRule="auto"/>
        <w:rPr>
          <w:sz w:val="20"/>
          <w:szCs w:val="20"/>
          <w:color w:val="auto"/>
        </w:rPr>
      </w:pPr>
      <w:r>
        <w:rPr>
          <w:rFonts w:ascii="Times New Roman" w:cs="Times New Roman" w:eastAsia="Times New Roman" w:hAnsi="Times New Roman"/>
          <w:sz w:val="14"/>
          <w:szCs w:val="14"/>
          <w:color w:val="auto"/>
        </w:rPr>
        <w:t>We are required under the tax receivable agreements entered into in connection with our IPO to make payments to certain direct or indirect equity holders of Virtu Financial that are generally equal to 85% of the applicable cash tax savings, if any, that we realize as a result of favorable tax attributes that are available to us as a result of the Reorganization Transactions, for exchanges of membership interests for Class A Common Stock or Class B Common Stock and payments made under the tax receivable agreements. An exchange of membership interests by the Virtu Members for Class A Common Stock or Class B Common Stock (an “Exchange”) during the year will give rise to favorable tax attributes that may generate cash tax savings specific to the Exchange, to be realized over a specific period of time (generally 15 years). At each Exchange, we estimate the cumulative tax receivable agreement obligations to be reported on the consolidated financial statements. The tax attributes are computed as the difference between our basis in the partnership interest (“outside basis”) as compared to our share of the adjusted tax basis of partnership property (“inside basis”), at the time of each Exchange. The computation of inside basis requires judgments in estimating the components included in the inside basis as of the date of the Exchange (such as, cash received on hypothetical sale of assets, allocation of gain/loss at the time of the Exchange taking into account complex partnership tax rules). In addition, we estimate the period of time that may generate cash tax savings of such tax attributes and the realizability of the tax attributes.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Goodwill and Intangible Assets</w:t>
      </w:r>
    </w:p>
    <w:p>
      <w:pPr>
        <w:spacing w:after="0" w:line="202"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Goodwill represents the excess of the purchase price over the underlying net tangible and intangible assets of our acquisitions. Goodwill is not amortized but is assessed for impairment on an annual basis and between annual assessments whenever events or changes in circumstances indicate that the carrying amount may not be recoverable. Goodwill is assessed at the reporting unit level, which is defined as an operating segment or one level below the operating segment.</w:t>
      </w:r>
    </w:p>
    <w:p>
      <w:pPr>
        <w:spacing w:after="0" w:line="146" w:lineRule="exact"/>
        <w:rPr>
          <w:sz w:val="20"/>
          <w:szCs w:val="20"/>
          <w:color w:val="auto"/>
        </w:rPr>
      </w:pPr>
    </w:p>
    <w:p>
      <w:pPr>
        <w:ind w:right="220" w:firstLine="509"/>
        <w:spacing w:after="0" w:line="255" w:lineRule="auto"/>
        <w:rPr>
          <w:sz w:val="20"/>
          <w:szCs w:val="20"/>
          <w:color w:val="auto"/>
        </w:rPr>
      </w:pPr>
      <w:r>
        <w:rPr>
          <w:rFonts w:ascii="Times New Roman" w:cs="Times New Roman" w:eastAsia="Times New Roman" w:hAnsi="Times New Roman"/>
          <w:sz w:val="14"/>
          <w:szCs w:val="14"/>
          <w:color w:val="auto"/>
        </w:rPr>
        <w:t>When assessing impairment, an entity may perform an initial qualitative assessment, under which it assesses qualitative factors to determine whether it is more likely than not that the fair value of a reporting unit is less than its carrying amount, including goodwill.</w:t>
      </w:r>
    </w:p>
    <w:p>
      <w:pPr>
        <w:spacing w:after="0" w:line="146" w:lineRule="exact"/>
        <w:rPr>
          <w:sz w:val="20"/>
          <w:szCs w:val="20"/>
          <w:color w:val="auto"/>
        </w:rPr>
      </w:pPr>
    </w:p>
    <w:p>
      <w:pPr>
        <w:ind w:right="160" w:firstLine="509"/>
        <w:spacing w:after="0" w:line="271" w:lineRule="auto"/>
        <w:rPr>
          <w:sz w:val="20"/>
          <w:szCs w:val="20"/>
          <w:color w:val="auto"/>
        </w:rPr>
      </w:pPr>
      <w:r>
        <w:rPr>
          <w:rFonts w:ascii="Times New Roman" w:cs="Times New Roman" w:eastAsia="Times New Roman" w:hAnsi="Times New Roman"/>
          <w:sz w:val="14"/>
          <w:szCs w:val="14"/>
          <w:color w:val="auto"/>
        </w:rPr>
        <w:t>An entity has an unconditional option to bypass this qualitative assessment for any reporting unit in any period and proceed directly to performing the first step of the goodwill impairment test. An entity may resume performing the qualitative assessment in any subsequent period.</w:t>
      </w:r>
    </w:p>
    <w:p>
      <w:pPr>
        <w:spacing w:after="0" w:line="135"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4"/>
          <w:szCs w:val="14"/>
          <w:color w:val="auto"/>
        </w:rPr>
        <w:t>We assess goodwill for impairment on an annual basis as of July 1st and on an interim basis when certain events or circumstances exist. In the impairment assessment as of July 1, 2023, we performed a quantitative assessment as described</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color w:val="auto"/>
        </w:rPr>
        <w:t>above for each reporting unit and, the estimated fair value of each of the reporting units exceeded its respective carrying value, and therefore, goodwill was not impaired.</w:t>
      </w:r>
    </w:p>
    <w:p>
      <w:pPr>
        <w:spacing w:after="0" w:line="179" w:lineRule="exact"/>
        <w:rPr>
          <w:sz w:val="20"/>
          <w:szCs w:val="20"/>
          <w:color w:val="auto"/>
        </w:rPr>
      </w:pPr>
    </w:p>
    <w:p>
      <w:pPr>
        <w:ind w:right="140" w:firstLine="509"/>
        <w:spacing w:after="0" w:line="246" w:lineRule="auto"/>
        <w:rPr>
          <w:sz w:val="20"/>
          <w:szCs w:val="20"/>
          <w:color w:val="auto"/>
        </w:rPr>
      </w:pPr>
      <w:r>
        <w:rPr>
          <w:rFonts w:ascii="Times New Roman" w:cs="Times New Roman" w:eastAsia="Times New Roman" w:hAnsi="Times New Roman"/>
          <w:sz w:val="14"/>
          <w:szCs w:val="14"/>
          <w:color w:val="auto"/>
        </w:rPr>
        <w:t>The estimated fair value of each reporting unit was based on valuation techniques the Company believes market participants would use to value these reporting units, and allocated the enterprise value to each reporting unit based on an estimate of relative fair value for each reporting unit. The carrying value of each reporting unit reflects an allocation of total shareholders’ equity and represents the estimated amount of total shareholders’ equity required to support the activities of the applicable reporting unit under currently applicable regulatory capital requirements.</w:t>
      </w:r>
    </w:p>
    <w:p>
      <w:pPr>
        <w:spacing w:after="0" w:line="152" w:lineRule="exact"/>
        <w:rPr>
          <w:sz w:val="20"/>
          <w:szCs w:val="20"/>
          <w:color w:val="auto"/>
        </w:rPr>
      </w:pPr>
    </w:p>
    <w:p>
      <w:pPr>
        <w:ind w:firstLine="509"/>
        <w:spacing w:after="0" w:line="245" w:lineRule="auto"/>
        <w:rPr>
          <w:sz w:val="20"/>
          <w:szCs w:val="20"/>
          <w:color w:val="auto"/>
        </w:rPr>
      </w:pPr>
      <w:r>
        <w:rPr>
          <w:rFonts w:ascii="Times New Roman" w:cs="Times New Roman" w:eastAsia="Times New Roman" w:hAnsi="Times New Roman"/>
          <w:sz w:val="14"/>
          <w:szCs w:val="14"/>
          <w:color w:val="auto"/>
        </w:rPr>
        <w:t>Valuation of intangible assets involves the use of significant estimates and assumptions with respect to the timing and amounts of revenue growth rates, customer attrition rates, future tax rates, royalty rates, contributory asset charges, discount rate and the resulting cash flows. We amortize finite-lived intangible assets over their estimated useful lives. Our largest finite-lived intangible asset is customer relationships, which is being amortized over an estimated useful life of ten years. Had we used a shorter estimated useful life of seven years, the Company would have recorded an additional $5.4 million and $4.1 million of amortization expense for the three months ended March 31, 2024 and 2023, respectively. We test finite-lived intangible assets for impairment when impairment indicators are present, and if impaired, they are written down to fair value.</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For a discussion of recently issued accounting developments and their impact or potential impact on our condensed consolidated financial statements, see Note 2 “Summary of Significant Accounting Policies” of Part I Item 1 “Financial Statements” of this Quarterly Report on Form 10-Q.</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719" w:right="3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Risk</w:t>
      </w:r>
    </w:p>
    <w:p>
      <w:pPr>
        <w:spacing w:after="0" w:line="202"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We are exposed to various market risks in the ordinary course of business. The risks primarily relate to changes in the value of financial instruments due to factors such as market prices, interest rates, and currency rates.</w:t>
      </w:r>
    </w:p>
    <w:p>
      <w:pPr>
        <w:spacing w:after="0" w:line="145"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on-exchange market making activities are not dependent on the direction of any particular market and are designed to minimize capital at risk at any given time by limiting the notional size of our positions. Our on-exchange market making strategies involve continuously quoting two-sided markets in various financial instruments with the intention of profiting by capturing the spread between the bid and offer price. If another market participant executes against the strategy’s bid or offer by crossing the spread, the strategy will attempt to lock in a return by either exiting the position or hedging in one or more different correlated instruments that represent economically equivalent value to the primary instrument. Such primary or hedging instruments include but are not limited to securities and derivatives such as: common shares, exchange traded products, American Depositary Receipts (“ADRs”), options, bonds, futures, spot currencies and commodities. Substantially all of the financial instruments we trade are liquid and can be liquidated within a short time frame at low cost.</w:t>
      </w:r>
    </w:p>
    <w:p>
      <w:pPr>
        <w:spacing w:after="0" w:line="167" w:lineRule="exact"/>
        <w:rPr>
          <w:sz w:val="20"/>
          <w:szCs w:val="20"/>
          <w:color w:val="auto"/>
        </w:rPr>
      </w:pPr>
    </w:p>
    <w:p>
      <w:pPr>
        <w:ind w:right="260" w:firstLine="509"/>
        <w:spacing w:after="0" w:line="287" w:lineRule="auto"/>
        <w:rPr>
          <w:sz w:val="20"/>
          <w:szCs w:val="20"/>
          <w:color w:val="auto"/>
        </w:rPr>
      </w:pPr>
      <w:r>
        <w:rPr>
          <w:rFonts w:ascii="Times New Roman" w:cs="Times New Roman" w:eastAsia="Times New Roman" w:hAnsi="Times New Roman"/>
          <w:sz w:val="14"/>
          <w:szCs w:val="14"/>
          <w:color w:val="auto"/>
        </w:rPr>
        <w:t>Our customer market making activities involve the taking of position risks. The risks at any point in time are limited by the notional size of positions as well as other factors. The overall portfolio risks are quantified using internal risk models and monitored by the Company's Chief Risk Officer, the independent risk group and senior management.</w:t>
      </w:r>
    </w:p>
    <w:p>
      <w:pPr>
        <w:spacing w:after="0" w:line="145"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4"/>
          <w:szCs w:val="14"/>
          <w:color w:val="auto"/>
        </w:rPr>
        <w:t>We use various proprietary risk management tools in managing our market risk on a continuous basis (including intraday).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w:t>
      </w:r>
    </w:p>
    <w:p>
      <w:pPr>
        <w:spacing w:after="0" w:line="15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4"/>
          <w:szCs w:val="14"/>
          <w:color w:val="auto"/>
        </w:rPr>
        <w:t>For working capital purposes, we invest in money market funds and maintain interest and non-interest bearing balances at banks and in our trading accounts with clearing brokers, which are classified as Cash and cash equivalents and Receivables from broker-dealers and clearing organizations, respectively, on the Condensed Consolidated Statements of Financial Condition. These financial instruments do not have maturity dates; the balances are short-term, which helps to mitigate our market risks. We also invest our working capital in short-term U.S. government securities, which are included in Financial instruments owned on the Condensed Consolidated Statements of Financial Condition. Our cash and cash equivalents held in foreign currencies are subject to the exposure of foreign currency fluctuations. These balances are monitored daily and are hedged or reduced when appropriate and therefore not material to our overall cash position.</w:t>
      </w:r>
    </w:p>
    <w:p>
      <w:pPr>
        <w:spacing w:after="0" w:line="164" w:lineRule="exact"/>
        <w:rPr>
          <w:sz w:val="20"/>
          <w:szCs w:val="20"/>
          <w:color w:val="auto"/>
        </w:rPr>
      </w:pPr>
    </w:p>
    <w:p>
      <w:pPr>
        <w:ind w:right="40" w:firstLine="509"/>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maintain inventories of exchange-listed and other equity securities, and to a lesser extent, fixed income securities and listed equity options. The fair value of these financial instruments at March 31, 2024 and December 31, 2023 was $6.4 billion and $7.4 billion, respectively, in long positions and $5.7 billion and $6.1 billion, respectively, in short positions. We also enter into futures contracts, which are recorded on our Condensed Consolidated Statements of Financial Condition within Receivable from brokers, dealers and clearing organizations or Payable to brokers, dealers and clearing organizations as applicable.</w:t>
      </w:r>
    </w:p>
    <w:p>
      <w:pPr>
        <w:spacing w:after="0" w:line="162" w:lineRule="exact"/>
        <w:rPr>
          <w:sz w:val="20"/>
          <w:szCs w:val="20"/>
          <w:color w:val="auto"/>
        </w:rPr>
      </w:pPr>
    </w:p>
    <w:p>
      <w:pPr>
        <w:ind w:firstLine="509"/>
        <w:spacing w:after="0" w:line="270" w:lineRule="auto"/>
        <w:rPr>
          <w:sz w:val="20"/>
          <w:szCs w:val="20"/>
          <w:color w:val="auto"/>
        </w:rPr>
      </w:pPr>
      <w:r>
        <w:rPr>
          <w:rFonts w:ascii="Times New Roman" w:cs="Times New Roman" w:eastAsia="Times New Roman" w:hAnsi="Times New Roman"/>
          <w:sz w:val="14"/>
          <w:szCs w:val="14"/>
          <w:color w:val="auto"/>
        </w:rPr>
        <w:t>We calculate daily the potential losses that might arise from a series of different stress events. These include both single factor and multi factor shocks to asset prices based off both historical events and hypothetical scenarios. The stress calculations include a full recalculation of any option positions, non-linear positions and leverage. Senior management and the independent risk group carefully monitor the highest stress scenarios to help mitigate the risk of exposure to extreme events.</w:t>
      </w:r>
    </w:p>
    <w:p>
      <w:pPr>
        <w:spacing w:after="0" w:line="157" w:lineRule="exact"/>
        <w:rPr>
          <w:sz w:val="20"/>
          <w:szCs w:val="20"/>
          <w:color w:val="auto"/>
        </w:rPr>
      </w:pPr>
    </w:p>
    <w:p>
      <w:pPr>
        <w:ind w:right="80" w:firstLine="509"/>
        <w:spacing w:after="0" w:line="264" w:lineRule="auto"/>
        <w:rPr>
          <w:sz w:val="20"/>
          <w:szCs w:val="20"/>
          <w:color w:val="auto"/>
        </w:rPr>
      </w:pPr>
      <w:r>
        <w:rPr>
          <w:rFonts w:ascii="Times New Roman" w:cs="Times New Roman" w:eastAsia="Times New Roman" w:hAnsi="Times New Roman"/>
          <w:sz w:val="14"/>
          <w:szCs w:val="14"/>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897"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color w:val="auto"/>
        </w:rPr>
        <w:t>Interest Rate Risk, Derivative Instruments</w:t>
      </w:r>
    </w:p>
    <w:p>
      <w:pPr>
        <w:spacing w:after="0" w:line="202"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In the normal course of business, we utilize derivative financial instruments in connection with our proprietary trading activities. We carry our trading derivative instruments at fair value with gains and losses included in Trading income, net, in the accompanying Condensed Consolidated Statements of Comprehensive Income. Fair value of derivatives that are freely tradable and listed on a national exchange is determined at their last sale price as of the last business day of the period. 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62"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4"/>
          <w:szCs w:val="14"/>
          <w:color w:val="auto"/>
        </w:rPr>
        <w:t>We also use derivative instruments for risk management purposes, including cash flow hedges used to manage interest rate risk on long-term borrowings and net investment hedges used to manage foreign exchange risk. We have entered into floating-to-fixed interest rate swap agreements in order to manage interest rate risk associated with our long-term debt obligations. Additionally, we may seek to reduce the impact of fluctuations in foreign exchange rates on our net investment in certain non-U.S. operations through the use of foreign currency forward contracts. For interest rate swap agreements and foreign currency forward contracts designated as hedges, we assess our risk management objectives and strategy, including identification of the hedging instrument, the hedged item and the risk exposure and how effectiveness is to be assessed prospectively and retrospectively. The effectiveness of the hedge is assessed based on the overall changes in the fair value of the interest rate swaps or forward contracts. For instruments that meet the criteria to be considered hedging instruments under ASC 815, any gains or losses, to the extent effective, are included in Accumulated other comprehensive income on the Condensed Consolidated Statements of Financial Condition and Other comprehensive income on the Condensed Consolidated Statements of Comprehensive Income. The ineffective portion, if any, is recorded in Other, net on the Condensed Consolidated Statements of Comprehensive Income.</w:t>
      </w:r>
    </w:p>
    <w:p>
      <w:pPr>
        <w:spacing w:after="0" w:line="168" w:lineRule="exact"/>
        <w:rPr>
          <w:sz w:val="20"/>
          <w:szCs w:val="20"/>
          <w:color w:val="auto"/>
        </w:rPr>
      </w:pPr>
    </w:p>
    <w:p>
      <w:pPr>
        <w:ind w:right="100" w:firstLine="509"/>
        <w:spacing w:after="0" w:line="265" w:lineRule="auto"/>
        <w:rPr>
          <w:sz w:val="20"/>
          <w:szCs w:val="20"/>
          <w:color w:val="auto"/>
        </w:rPr>
      </w:pPr>
      <w:r>
        <w:rPr>
          <w:rFonts w:ascii="Times New Roman" w:cs="Times New Roman" w:eastAsia="Times New Roman" w:hAnsi="Times New Roman"/>
          <w:sz w:val="14"/>
          <w:szCs w:val="14"/>
          <w:i w:val="1"/>
          <w:iCs w:val="1"/>
          <w:color w:val="auto"/>
        </w:rPr>
        <w:t>Futures Contracts</w:t>
      </w:r>
      <w:r>
        <w:rPr>
          <w:rFonts w:ascii="Times New Roman" w:cs="Times New Roman" w:eastAsia="Times New Roman" w:hAnsi="Times New Roman"/>
          <w:sz w:val="14"/>
          <w:szCs w:val="14"/>
          <w:color w:val="auto"/>
        </w:rPr>
        <w:t>. As part of our proprietary market making trading strategies, we use futures contracts to gain exposure to changes in values of various indices, commodities, interest rates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59" w:lineRule="exact"/>
        <w:rPr>
          <w:sz w:val="20"/>
          <w:szCs w:val="20"/>
          <w:color w:val="auto"/>
        </w:rPr>
      </w:pPr>
    </w:p>
    <w:p>
      <w:pPr>
        <w:ind w:right="260" w:firstLine="509"/>
        <w:spacing w:after="0" w:line="290" w:lineRule="auto"/>
        <w:rPr>
          <w:sz w:val="20"/>
          <w:szCs w:val="20"/>
          <w:color w:val="auto"/>
        </w:rPr>
      </w:pPr>
      <w:r>
        <w:rPr>
          <w:rFonts w:ascii="Times New Roman" w:cs="Times New Roman" w:eastAsia="Times New Roman" w:hAnsi="Times New Roman"/>
          <w:sz w:val="14"/>
          <w:szCs w:val="14"/>
          <w:i w:val="1"/>
          <w:iCs w:val="1"/>
          <w:color w:val="auto"/>
        </w:rPr>
        <w:t>Due from Broker-Dealers and Clearing Organizations</w:t>
      </w:r>
      <w:r>
        <w:rPr>
          <w:rFonts w:ascii="Times New Roman" w:cs="Times New Roman" w:eastAsia="Times New Roman" w:hAnsi="Times New Roman"/>
          <w:sz w:val="14"/>
          <w:szCs w:val="14"/>
          <w:color w:val="auto"/>
        </w:rPr>
        <w:t>. Management periodically evaluates our counterparty credit exposures to various brokers and clearing organizations with a view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limiting potential losses resulting from counterparty insolvency.</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Foreign Currency Risk</w:t>
      </w:r>
    </w:p>
    <w:p>
      <w:pPr>
        <w:spacing w:after="0" w:line="202" w:lineRule="exact"/>
        <w:rPr>
          <w:sz w:val="20"/>
          <w:szCs w:val="20"/>
          <w:color w:val="auto"/>
        </w:rPr>
      </w:pPr>
    </w:p>
    <w:p>
      <w:pPr>
        <w:ind w:right="20" w:firstLine="509"/>
        <w:spacing w:after="0" w:line="264" w:lineRule="auto"/>
        <w:rPr>
          <w:sz w:val="20"/>
          <w:szCs w:val="20"/>
          <w:color w:val="auto"/>
        </w:rPr>
      </w:pPr>
      <w:r>
        <w:rPr>
          <w:rFonts w:ascii="Times New Roman" w:cs="Times New Roman" w:eastAsia="Times New Roman" w:hAnsi="Times New Roman"/>
          <w:sz w:val="14"/>
          <w:szCs w:val="14"/>
          <w:color w:val="auto"/>
        </w:rPr>
        <w:t>As a result of our international market making and execution services activities and accumulated earnings in our foreign subsidiaries, our income and net worth are subject to fluctuation in foreign exchange rates. While we generate revenues in several currencies, the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62" w:lineRule="exact"/>
        <w:rPr>
          <w:sz w:val="20"/>
          <w:szCs w:val="20"/>
          <w:color w:val="auto"/>
        </w:rPr>
      </w:pPr>
    </w:p>
    <w:p>
      <w:pPr>
        <w:jc w:val="both"/>
        <w:ind w:right="40" w:firstLine="509"/>
        <w:spacing w:after="0" w:line="270" w:lineRule="auto"/>
        <w:rPr>
          <w:sz w:val="20"/>
          <w:szCs w:val="20"/>
          <w:color w:val="auto"/>
        </w:rPr>
      </w:pPr>
      <w:r>
        <w:rPr>
          <w:rFonts w:ascii="Times New Roman" w:cs="Times New Roman" w:eastAsia="Times New Roman" w:hAnsi="Times New Roman"/>
          <w:sz w:val="14"/>
          <w:szCs w:val="14"/>
          <w:color w:val="auto"/>
        </w:rPr>
        <w:t>Approximately 18.8% and 15.8% of our total revenues for the three months ended March 31, 2024 and 2023, respectively, were denominated in non-U.S. dollar currencies. We estimate that a hypothetical 10% adverse change in the value of the U.S. dollar relative to our foreign denominated earnings would have resulted in decreases in total revenues of $12.1 million and $9.8 million for the three months ended March 31, 2024 and 2023, respectively.</w:t>
      </w:r>
    </w:p>
    <w:p>
      <w:pPr>
        <w:spacing w:after="0" w:line="157" w:lineRule="exact"/>
        <w:rPr>
          <w:sz w:val="20"/>
          <w:szCs w:val="20"/>
          <w:color w:val="auto"/>
        </w:rPr>
      </w:pPr>
    </w:p>
    <w:p>
      <w:pPr>
        <w:ind w:firstLine="509"/>
        <w:spacing w:after="0" w:line="264" w:lineRule="auto"/>
        <w:rPr>
          <w:sz w:val="20"/>
          <w:szCs w:val="20"/>
          <w:color w:val="auto"/>
        </w:rPr>
      </w:pPr>
      <w:r>
        <w:rPr>
          <w:rFonts w:ascii="Times New Roman" w:cs="Times New Roman" w:eastAsia="Times New Roman" w:hAnsi="Times New Roman"/>
          <w:sz w:val="14"/>
          <w:szCs w:val="14"/>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Condensed Consolidated Statements of Comprehensive Income and Condensed Consolidated Statements of Changes in Equity. Our primary currency translation exposures historically relate to net investments in subsidiaries having functional currencies denominated in the Euro, Pound Sterling, and Canadian dollar.</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28"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color w:val="auto"/>
        </w:rPr>
        <w:t>Financial Instruments with Off Balance Sheet Risk</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We enter into various transactions involving derivatives and other off-balance sheet financial instruments. These financial instruments include futures, forward contracts, swaps,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exchange-traded options. These derivative financial instruments are used to conduct trading activities and manage market risks and are, therefore, subject to varying degrees of market and credit risk.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Derivative transactions are entered into for trading purposes or to economically hedge other positions or transactions.</w:t>
      </w:r>
    </w:p>
    <w:p>
      <w:pPr>
        <w:spacing w:after="0" w:line="185"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4"/>
          <w:szCs w:val="14"/>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 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Condensed Consolidated Statements of Financial Condition. Market risk is substantially dependent upon the value of the underlying financial instruments and is affected by market forces, such as volatility and changes in interest and foreign exchange rates.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20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4"/>
          <w:szCs w:val="14"/>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amended (the “Exchange Act”)) as of March 31, 2024. Based upon that evaluation, our Chief Executive Officer and Chief Financial Officer concluded that, as of March 31, 2024, our disclosure controls and procedures were effective to ensure information required to be disclosed by us in the reports we file or submit under the Exchange Act is recorded, processed, summarized and reported within the periods specified in the SEC’s rules and forms and is accumulated and communicated to our management, including our Chief Executive Officer and Chief Financial Officer, as appropriate to allow timely decisions regarding required disclosure.</w:t>
      </w:r>
    </w:p>
    <w:p>
      <w:pPr>
        <w:spacing w:after="0" w:line="164"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4"/>
          <w:szCs w:val="14"/>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167" w:lineRule="exact"/>
        <w:rPr>
          <w:sz w:val="20"/>
          <w:szCs w:val="20"/>
          <w:color w:val="auto"/>
        </w:rPr>
      </w:pPr>
    </w:p>
    <w:p>
      <w:pPr>
        <w:ind w:right="40" w:firstLine="509"/>
        <w:spacing w:after="0" w:line="270" w:lineRule="auto"/>
        <w:rPr>
          <w:sz w:val="20"/>
          <w:szCs w:val="20"/>
          <w:color w:val="auto"/>
        </w:rPr>
      </w:pPr>
      <w:r>
        <w:rPr>
          <w:rFonts w:ascii="Times New Roman" w:cs="Times New Roman" w:eastAsia="Times New Roman" w:hAnsi="Times New Roman"/>
          <w:sz w:val="14"/>
          <w:szCs w:val="14"/>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to Internal Control over Financial Reporting</w:t>
      </w:r>
    </w:p>
    <w:p>
      <w:pPr>
        <w:spacing w:after="0" w:line="202" w:lineRule="exact"/>
        <w:rPr>
          <w:sz w:val="20"/>
          <w:szCs w:val="20"/>
          <w:color w:val="auto"/>
        </w:rPr>
      </w:pPr>
    </w:p>
    <w:p>
      <w:pPr>
        <w:ind w:right="400" w:firstLine="509"/>
        <w:spacing w:after="0" w:line="287" w:lineRule="auto"/>
        <w:rPr>
          <w:sz w:val="20"/>
          <w:szCs w:val="20"/>
          <w:color w:val="auto"/>
        </w:rPr>
      </w:pPr>
      <w:r>
        <w:rPr>
          <w:rFonts w:ascii="Times New Roman" w:cs="Times New Roman" w:eastAsia="Times New Roman" w:hAnsi="Times New Roman"/>
          <w:sz w:val="14"/>
          <w:szCs w:val="14"/>
          <w:color w:val="auto"/>
        </w:rPr>
        <w:t>No change in our internal control over financial reporting (as defined in Rule 13a-15(f) under the Exchange Act) occurred during the three months ended March 31, 2024 that has or is reasonably likely to materially affect, our internal control over financial reporting.</w:t>
      </w: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202" w:lineRule="exact"/>
        <w:rPr>
          <w:sz w:val="20"/>
          <w:szCs w:val="20"/>
          <w:color w:val="auto"/>
        </w:rPr>
      </w:pPr>
    </w:p>
    <w:p>
      <w:pPr>
        <w:ind w:right="120"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set forth in the “Legal Proceedings” section in Note 14 “Commitments, Contingencies and Guarantees” to the Company’s Condensed Consolidated Financial Statements included in Part I Item 1 “Financial Statements”, which is incorporated by reference herein.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There have been no material changes to the Risk Factors described in Part I Item 1A. “Risk Factors” in our 2023 Form 10-K.</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202" w:lineRule="exact"/>
        <w:rPr>
          <w:sz w:val="20"/>
          <w:szCs w:val="20"/>
          <w:color w:val="auto"/>
        </w:rPr>
      </w:pPr>
    </w:p>
    <w:p>
      <w:pPr>
        <w:jc w:val="both"/>
        <w:ind w:right="300" w:firstLine="509"/>
        <w:spacing w:after="0" w:line="270" w:lineRule="auto"/>
        <w:rPr>
          <w:sz w:val="20"/>
          <w:szCs w:val="20"/>
          <w:color w:val="auto"/>
        </w:rPr>
      </w:pPr>
      <w:r>
        <w:rPr>
          <w:rFonts w:ascii="Times New Roman" w:cs="Times New Roman" w:eastAsia="Times New Roman" w:hAnsi="Times New Roman"/>
          <w:sz w:val="14"/>
          <w:szCs w:val="14"/>
          <w:color w:val="auto"/>
        </w:rPr>
        <w:t>Pursuant to the exchange agreement (the “Exchange Agreement”) entered into on April 15, 2015 by and among the Company, Virtu Financial and holders of Virtu Financial Units, Virtu Financial Units (along with the corresponding shares of our Class C Common Stock or Class D Common Stock, as applicable) may be exchanged at any time for shares of our Class A Common Stock or Class B Common Stock, as applicable, on a one-for-one basis, subject to customary conversion rate adjustments for stock splits, stock dividends and reclassifications.</w:t>
      </w:r>
    </w:p>
    <w:p>
      <w:pPr>
        <w:spacing w:after="0" w:line="15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Total share repurchases for the three months ended March 31, 2024 were as follows:</w:t>
      </w:r>
    </w:p>
    <w:p>
      <w:pPr>
        <w:spacing w:after="0" w:line="217"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3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Approximate Dollar Value of</w:t>
            </w:r>
          </w:p>
        </w:tc>
        <w:tc>
          <w:tcPr>
            <w:tcW w:w="0" w:type="dxa"/>
            <w:vAlign w:val="bottom"/>
          </w:tcPr>
          <w:p>
            <w:pPr>
              <w:spacing w:after="0"/>
              <w:rPr>
                <w:sz w:val="1"/>
                <w:szCs w:val="1"/>
                <w:color w:val="auto"/>
              </w:rPr>
            </w:pPr>
          </w:p>
        </w:tc>
      </w:tr>
      <w:tr>
        <w:trPr>
          <w:trHeight w:val="115"/>
        </w:trPr>
        <w:tc>
          <w:tcPr>
            <w:tcW w:w="5320" w:type="dxa"/>
            <w:vAlign w:val="bottom"/>
          </w:tcPr>
          <w:p>
            <w:pPr>
              <w:spacing w:after="0"/>
              <w:rPr>
                <w:sz w:val="9"/>
                <w:szCs w:val="9"/>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Total Number of Shares</w:t>
            </w:r>
          </w:p>
        </w:tc>
        <w:tc>
          <w:tcPr>
            <w:tcW w:w="80" w:type="dxa"/>
            <w:vAlign w:val="bottom"/>
          </w:tcPr>
          <w:p>
            <w:pPr>
              <w:spacing w:after="0"/>
              <w:rPr>
                <w:sz w:val="9"/>
                <w:szCs w:val="9"/>
                <w:color w:val="auto"/>
              </w:rPr>
            </w:pPr>
          </w:p>
        </w:tc>
        <w:tc>
          <w:tcPr>
            <w:tcW w:w="13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Average Price Paid per</w:t>
            </w:r>
          </w:p>
        </w:tc>
        <w:tc>
          <w:tcPr>
            <w:tcW w:w="156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Purchased as Part of Publicly</w:t>
            </w:r>
          </w:p>
        </w:tc>
        <w:tc>
          <w:tcPr>
            <w:tcW w:w="146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Shares that May Yet Be</w:t>
            </w:r>
          </w:p>
        </w:tc>
        <w:tc>
          <w:tcPr>
            <w:tcW w:w="0" w:type="dxa"/>
            <w:vAlign w:val="bottom"/>
          </w:tcPr>
          <w:p>
            <w:pPr>
              <w:spacing w:after="0"/>
              <w:rPr>
                <w:sz w:val="1"/>
                <w:szCs w:val="1"/>
                <w:color w:val="auto"/>
              </w:rPr>
            </w:pPr>
          </w:p>
        </w:tc>
      </w:tr>
      <w:tr>
        <w:trPr>
          <w:trHeight w:val="117"/>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5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56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Announced Plans or</w:t>
            </w:r>
          </w:p>
        </w:tc>
        <w:tc>
          <w:tcPr>
            <w:tcW w:w="146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Purchased Under the Plans</w:t>
            </w:r>
          </w:p>
        </w:tc>
        <w:tc>
          <w:tcPr>
            <w:tcW w:w="0" w:type="dxa"/>
            <w:vAlign w:val="bottom"/>
          </w:tcPr>
          <w:p>
            <w:pPr>
              <w:spacing w:after="0"/>
              <w:rPr>
                <w:sz w:val="1"/>
                <w:szCs w:val="1"/>
                <w:color w:val="auto"/>
              </w:rPr>
            </w:pPr>
          </w:p>
        </w:tc>
      </w:tr>
      <w:tr>
        <w:trPr>
          <w:trHeight w:val="155"/>
        </w:trPr>
        <w:tc>
          <w:tcPr>
            <w:tcW w:w="5320" w:type="dxa"/>
            <w:vAlign w:val="bottom"/>
            <w:vMerge w:val="continue"/>
          </w:tcPr>
          <w:p>
            <w:pPr>
              <w:spacing w:after="0"/>
              <w:rPr>
                <w:sz w:val="13"/>
                <w:szCs w:val="13"/>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Purchased (1)</w:t>
            </w:r>
          </w:p>
        </w:tc>
        <w:tc>
          <w:tcPr>
            <w:tcW w:w="80" w:type="dxa"/>
            <w:vAlign w:val="bottom"/>
          </w:tcPr>
          <w:p>
            <w:pPr>
              <w:spacing w:after="0"/>
              <w:rPr>
                <w:sz w:val="13"/>
                <w:szCs w:val="13"/>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Programs</w:t>
            </w: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or Programs</w:t>
            </w:r>
          </w:p>
        </w:tc>
        <w:tc>
          <w:tcPr>
            <w:tcW w:w="0" w:type="dxa"/>
            <w:vAlign w:val="bottom"/>
          </w:tcPr>
          <w:p>
            <w:pPr>
              <w:spacing w:after="0"/>
              <w:rPr>
                <w:sz w:val="1"/>
                <w:szCs w:val="1"/>
                <w:color w:val="auto"/>
              </w:rPr>
            </w:pPr>
          </w:p>
        </w:tc>
      </w:tr>
      <w:tr>
        <w:trPr>
          <w:trHeight w:val="16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January 1, 2024 - January 31, 2024</w:t>
            </w: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Class A Common Stock / Virtu Financial Units repurchases</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938,440</w:t>
            </w:r>
          </w:p>
        </w:tc>
        <w:tc>
          <w:tcPr>
            <w:tcW w:w="1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18.99</w:t>
            </w: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819,942</w:t>
            </w:r>
          </w:p>
        </w:tc>
        <w:tc>
          <w:tcPr>
            <w:tcW w:w="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$94,573,180</w:t>
            </w:r>
          </w:p>
        </w:tc>
        <w:tc>
          <w:tcPr>
            <w:tcW w:w="0" w:type="dxa"/>
            <w:vAlign w:val="bottom"/>
          </w:tcPr>
          <w:p>
            <w:pPr>
              <w:spacing w:after="0"/>
              <w:rPr>
                <w:sz w:val="1"/>
                <w:szCs w:val="1"/>
                <w:color w:val="auto"/>
              </w:rPr>
            </w:pPr>
          </w:p>
        </w:tc>
      </w:tr>
      <w:tr>
        <w:trPr>
          <w:trHeight w:val="218"/>
        </w:trPr>
        <w:tc>
          <w:tcPr>
            <w:tcW w:w="53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53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February 1, 2024 - February 29, 2024</w:t>
            </w: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Class A Common Stock / Virtu Financial Units repurchases</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1,543,047</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16.78</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720,636</w:t>
            </w: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82,524,992</w:t>
            </w:r>
          </w:p>
        </w:tc>
        <w:tc>
          <w:tcPr>
            <w:tcW w:w="0" w:type="dxa"/>
            <w:vAlign w:val="bottom"/>
          </w:tcPr>
          <w:p>
            <w:pPr>
              <w:spacing w:after="0"/>
              <w:rPr>
                <w:sz w:val="1"/>
                <w:szCs w:val="1"/>
                <w:color w:val="auto"/>
              </w:rPr>
            </w:pPr>
          </w:p>
        </w:tc>
      </w:tr>
      <w:tr>
        <w:trPr>
          <w:trHeight w:val="212"/>
        </w:trPr>
        <w:tc>
          <w:tcPr>
            <w:tcW w:w="53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March 1, 2024 - March 31, 2024</w:t>
            </w: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5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Class A Common Stock / Virtu Financial Units repurchases</w:t>
            </w:r>
          </w:p>
        </w:tc>
        <w:tc>
          <w:tcPr>
            <w:tcW w:w="13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423,856</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19.11</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418,498</w:t>
            </w:r>
          </w:p>
        </w:tc>
        <w:tc>
          <w:tcPr>
            <w:tcW w:w="100" w:type="dxa"/>
            <w:vAlign w:val="bottom"/>
            <w:tcBorders>
              <w:bottom w:val="single" w:sz="8" w:color="CCEEFF"/>
            </w:tcBorders>
          </w:tcPr>
          <w:p>
            <w:pPr>
              <w:spacing w:after="0"/>
              <w:rPr>
                <w:sz w:val="13"/>
                <w:szCs w:val="13"/>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74,525,902</w:t>
            </w:r>
          </w:p>
        </w:tc>
        <w:tc>
          <w:tcPr>
            <w:tcW w:w="0" w:type="dxa"/>
            <w:vAlign w:val="bottom"/>
          </w:tcPr>
          <w:p>
            <w:pPr>
              <w:spacing w:after="0"/>
              <w:rPr>
                <w:sz w:val="1"/>
                <w:szCs w:val="1"/>
                <w:color w:val="auto"/>
              </w:rPr>
            </w:pPr>
          </w:p>
        </w:tc>
      </w:tr>
      <w:tr>
        <w:trPr>
          <w:trHeight w:val="181"/>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Common Stock / Virtu Financial Unit repurchases</w:t>
            </w:r>
          </w:p>
        </w:tc>
        <w:tc>
          <w:tcPr>
            <w:tcW w:w="13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2,905,343</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17.83</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1,959,076</w:t>
            </w: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$74,525,902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the repurchase of 946,267 shares from employees in order to satisfy statutory tax withholding requirements upon the net settlement of equity awards for the three months ended March 31, 2024</w:t>
      </w:r>
    </w:p>
    <w:p>
      <w:pPr>
        <w:spacing w:after="0" w:line="194"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4"/>
          <w:szCs w:val="14"/>
          <w:color w:val="auto"/>
        </w:rPr>
        <w:t>On November 6, 2020, the Company's Board of Directors authorized a new share repurchase program of up to $100.0 million in Class A common stock and Virtu Financial Units by December 31, 2021. On February 11, 2021, the Company's Board of Directors authorized the expansion of the program by an additional $70 million in Class A Common Stock and Virtu Financial Units. On May 4, 2021, the Company's Board of Directors authorized the expansion of the Company's share repurchase program, increasing the total authorized amount by $300 million to $470 million in Class A Common Stock and Virtu Financial Units and extending the duration of the program through May 4, 2022. Additionally, on November 3, 2021 the Company's Board of Directors authorized the expansion of the program by an additional $750 million to $1,220 million and extending the duration of the program through November 3, 2023, which was subsequently extended through December 31, 2024. The share repurchase program authorizes the Company to repurchase shares from time to time in open market transactions, privately negotiated transactions or by other means. Repurchases are also permitted to be made under Rule 10b5-1 plans. The timing and amount of repurchase transactions are determined by the Company's management based on its evaluation of market conditions, share price, cash sources, legal requirements and other factors. From the inception of the program through March 31, 2024, the Company repurchased approximately 45.6 million shares of Class A Common Stock and Virtu Financial Units for approximately $1,145.4 million. As of March 31, 2024, the Company has approximately $74.6 million remaining capacity for future purchases of shares of Class A Common Stock and Virtu Financial Units under the program.</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2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2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202" w:lineRule="exact"/>
        <w:rPr>
          <w:sz w:val="20"/>
          <w:szCs w:val="20"/>
          <w:color w:val="auto"/>
        </w:rPr>
      </w:pPr>
    </w:p>
    <w:p>
      <w:pPr>
        <w:ind w:right="140" w:firstLine="509"/>
        <w:spacing w:after="0" w:line="287" w:lineRule="auto"/>
        <w:rPr>
          <w:sz w:val="20"/>
          <w:szCs w:val="20"/>
          <w:color w:val="auto"/>
        </w:rPr>
      </w:pPr>
      <w:r>
        <w:rPr>
          <w:rFonts w:ascii="Times New Roman" w:cs="Times New Roman" w:eastAsia="Times New Roman" w:hAnsi="Times New Roman"/>
          <w:sz w:val="14"/>
          <w:szCs w:val="14"/>
          <w:color w:val="auto"/>
        </w:rPr>
        <w:t>During the three months ended March 31, 2024, no director or “officer” (as defined in Rule 16a-1(f) under the Exchange Act) of the Company informed the Company of the adoption, modification or termination of a "Rule 10b5-1 trading arrangement" or a “non-Rule 10b5-1 trading arrangement,” as each term is defined in Item 408(a) of Regulation S-K under the Exchange Act.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540" w:type="dxa"/>
            <w:vAlign w:val="bottom"/>
            <w:tcBorders>
              <w:bottom w:val="single" w:sz="8" w:color="FEFEFE"/>
            </w:tcBorders>
          </w:tcPr>
          <w:p>
            <w:pPr>
              <w:spacing w:after="0"/>
              <w:rPr>
                <w:sz w:val="13"/>
                <w:szCs w:val="13"/>
                <w:color w:val="auto"/>
              </w:rPr>
            </w:pPr>
          </w:p>
        </w:tc>
        <w:tc>
          <w:tcPr>
            <w:tcW w:w="2720" w:type="dxa"/>
            <w:vAlign w:val="bottom"/>
            <w:tcBorders>
              <w:bottom w:val="single" w:sz="8" w:color="auto"/>
            </w:tcBorders>
          </w:tcPr>
          <w:p>
            <w:pPr>
              <w:spacing w:after="0"/>
              <w:rPr>
                <w:sz w:val="13"/>
                <w:szCs w:val="13"/>
                <w:color w:val="auto"/>
              </w:rPr>
            </w:pPr>
          </w:p>
        </w:tc>
        <w:tc>
          <w:tcPr>
            <w:tcW w:w="6540" w:type="dxa"/>
            <w:vAlign w:val="bottom"/>
            <w:tcBorders>
              <w:bottom w:val="single" w:sz="8" w:color="auto"/>
            </w:tcBorders>
            <w:gridSpan w:val="6"/>
          </w:tcPr>
          <w:p>
            <w:pPr>
              <w:ind w:left="162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49"/>
        </w:trPr>
        <w:tc>
          <w:tcPr>
            <w:tcW w:w="1460" w:type="dxa"/>
            <w:vAlign w:val="bottom"/>
            <w:tcBorders>
              <w:bottom w:val="single" w:sz="8" w:color="FEFEFE"/>
            </w:tcBorders>
            <w:shd w:val="clear" w:color="auto" w:fill="FEFEFE"/>
          </w:tcPr>
          <w:p>
            <w:pPr>
              <w:ind w:left="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540" w:type="dxa"/>
            <w:vAlign w:val="bottom"/>
            <w:tcBorders>
              <w:bottom w:val="single" w:sz="8" w:color="FEFEFE"/>
              <w:right w:val="single" w:sz="8" w:color="FEFEFE"/>
            </w:tcBorders>
            <w:shd w:val="clear" w:color="auto" w:fill="FEFEFE"/>
          </w:tcPr>
          <w:p>
            <w:pPr>
              <w:spacing w:after="0"/>
              <w:rPr>
                <w:sz w:val="12"/>
                <w:szCs w:val="12"/>
                <w:color w:val="auto"/>
              </w:rPr>
            </w:pPr>
          </w:p>
        </w:tc>
        <w:tc>
          <w:tcPr>
            <w:tcW w:w="7360" w:type="dxa"/>
            <w:vAlign w:val="bottom"/>
            <w:tcBorders>
              <w:bottom w:val="single" w:sz="8" w:color="0000FF"/>
            </w:tcBorders>
            <w:gridSpan w:val="2"/>
            <w:shd w:val="clear" w:color="auto" w:fill="FEFEFE"/>
          </w:tcPr>
          <w:p>
            <w:pPr>
              <w:spacing w:after="0" w:line="149" w:lineRule="exact"/>
              <w:rPr>
                <w:sz w:val="20"/>
                <w:szCs w:val="20"/>
                <w:color w:val="auto"/>
              </w:rPr>
            </w:pPr>
            <w:r>
              <w:rPr>
                <w:rFonts w:ascii="Times New Roman" w:cs="Times New Roman" w:eastAsia="Times New Roman" w:hAnsi="Times New Roman"/>
                <w:sz w:val="14"/>
                <w:szCs w:val="14"/>
                <w:color w:val="0000FF"/>
              </w:rPr>
              <w:t>Virtu Financial Inc. Amended and Restated 2015 Management Incentive Plan Employee Restricted Stock Unit Award Agreement.</w:t>
            </w:r>
          </w:p>
        </w:tc>
        <w:tc>
          <w:tcPr>
            <w:tcW w:w="1900" w:type="dxa"/>
            <w:vAlign w:val="bottom"/>
            <w:tcBorders>
              <w:bottom w:val="single" w:sz="8" w:color="FEFEFE"/>
            </w:tcBorders>
            <w:gridSpan w:val="5"/>
            <w:shd w:val="clear" w:color="auto" w:fill="FEFEF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540" w:type="dxa"/>
            <w:vAlign w:val="bottom"/>
            <w:tcBorders>
              <w:right w:val="single" w:sz="8" w:color="FEFEFE"/>
            </w:tcBorders>
            <w:shd w:val="clear" w:color="auto" w:fill="FEFEFE"/>
          </w:tcPr>
          <w:p>
            <w:pPr>
              <w:spacing w:after="0"/>
              <w:rPr>
                <w:sz w:val="13"/>
                <w:szCs w:val="13"/>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required by Rule 13a-14(a)/15d-14(a) under the Securities Exchange Act of 1934, as amended, as adopted pursuant to</w:t>
            </w:r>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right w:val="single" w:sz="8" w:color="FEFEFE"/>
            </w:tcBorders>
            <w:shd w:val="clear" w:color="auto" w:fill="FEFEFE"/>
          </w:tcPr>
          <w:p>
            <w:pPr>
              <w:spacing w:after="0"/>
              <w:rPr>
                <w:sz w:val="10"/>
                <w:szCs w:val="10"/>
                <w:color w:val="auto"/>
              </w:rPr>
            </w:pPr>
          </w:p>
        </w:tc>
        <w:tc>
          <w:tcPr>
            <w:tcW w:w="8960" w:type="dxa"/>
            <w:vAlign w:val="bottom"/>
            <w:tcBorders>
              <w:top w:val="single" w:sz="8" w:color="0000FF"/>
            </w:tcBorders>
            <w:gridSpan w:val="6"/>
            <w:shd w:val="clear" w:color="auto" w:fill="FEFEFE"/>
          </w:tcPr>
          <w:p>
            <w:pPr>
              <w:spacing w:after="0" w:line="118" w:lineRule="exact"/>
              <w:rPr>
                <w:sz w:val="20"/>
                <w:szCs w:val="20"/>
                <w:color w:val="auto"/>
              </w:rPr>
            </w:pPr>
            <w:r>
              <w:rPr>
                <w:rFonts w:ascii="Times New Roman" w:cs="Times New Roman" w:eastAsia="Times New Roman" w:hAnsi="Times New Roman"/>
                <w:sz w:val="13"/>
                <w:szCs w:val="13"/>
                <w:color w:val="0000FF"/>
              </w:rPr>
              <w:t>Section 302 of the Sarbanes-Oxley Act of 2002.</w:t>
            </w:r>
          </w:p>
        </w:tc>
        <w:tc>
          <w:tcPr>
            <w:tcW w:w="300" w:type="dxa"/>
            <w:vAlign w:val="bottom"/>
            <w:tcBorders>
              <w:top w:val="single" w:sz="8" w:color="FEFEFE"/>
            </w:tcBorders>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4640" w:type="dxa"/>
            <w:vAlign w:val="bottom"/>
            <w:shd w:val="clear" w:color="auto" w:fill="FEFEFE"/>
          </w:tcPr>
          <w:p>
            <w:pPr>
              <w:spacing w:after="0" w:line="20" w:lineRule="exact"/>
              <w:rPr>
                <w:sz w:val="1"/>
                <w:szCs w:val="1"/>
                <w:color w:val="auto"/>
              </w:rPr>
            </w:pPr>
          </w:p>
        </w:tc>
        <w:tc>
          <w:tcPr>
            <w:tcW w:w="100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520" w:type="dxa"/>
            <w:vAlign w:val="bottom"/>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300" w:type="dxa"/>
            <w:vAlign w:val="bottom"/>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540" w:type="dxa"/>
            <w:vAlign w:val="bottom"/>
            <w:tcBorders>
              <w:right w:val="single" w:sz="8" w:color="FEFEFE"/>
            </w:tcBorders>
            <w:shd w:val="clear" w:color="auto" w:fill="FEFEFE"/>
          </w:tcPr>
          <w:p>
            <w:pPr>
              <w:spacing w:after="0"/>
              <w:rPr>
                <w:sz w:val="14"/>
                <w:szCs w:val="14"/>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required by Rule 13a-14(a)/15d-14(a) under the Securities Exchange Act of 1934, as amended, as adopted pursuant to</w:t>
            </w:r>
          </w:p>
        </w:tc>
        <w:tc>
          <w:tcPr>
            <w:tcW w:w="0" w:type="dxa"/>
            <w:vAlign w:val="bottom"/>
          </w:tcPr>
          <w:p>
            <w:pPr>
              <w:spacing w:after="0"/>
              <w:rPr>
                <w:sz w:val="1"/>
                <w:szCs w:val="1"/>
                <w:color w:val="auto"/>
              </w:rPr>
            </w:pPr>
          </w:p>
        </w:tc>
      </w:tr>
      <w:tr>
        <w:trPr>
          <w:trHeight w:val="118"/>
        </w:trPr>
        <w:tc>
          <w:tcPr>
            <w:tcW w:w="1460" w:type="dxa"/>
            <w:vAlign w:val="bottom"/>
            <w:tcBorders>
              <w:top w:val="single" w:sz="8" w:color="FEFEFE"/>
            </w:tcBorders>
            <w:shd w:val="clear" w:color="auto" w:fill="FEFEFE"/>
          </w:tcPr>
          <w:p>
            <w:pPr>
              <w:spacing w:after="0"/>
              <w:rPr>
                <w:sz w:val="10"/>
                <w:szCs w:val="10"/>
                <w:color w:val="auto"/>
              </w:rPr>
            </w:pPr>
          </w:p>
        </w:tc>
        <w:tc>
          <w:tcPr>
            <w:tcW w:w="540" w:type="dxa"/>
            <w:vAlign w:val="bottom"/>
            <w:tcBorders>
              <w:top w:val="single" w:sz="8" w:color="FEFEFE"/>
              <w:right w:val="single" w:sz="8" w:color="FEFEFE"/>
            </w:tcBorders>
            <w:shd w:val="clear" w:color="auto" w:fill="FEFEFE"/>
          </w:tcPr>
          <w:p>
            <w:pPr>
              <w:spacing w:after="0"/>
              <w:rPr>
                <w:sz w:val="10"/>
                <w:szCs w:val="10"/>
                <w:color w:val="auto"/>
              </w:rPr>
            </w:pPr>
          </w:p>
        </w:tc>
        <w:tc>
          <w:tcPr>
            <w:tcW w:w="8920" w:type="dxa"/>
            <w:vAlign w:val="bottom"/>
            <w:tcBorders>
              <w:top w:val="single" w:sz="8" w:color="0000FF"/>
            </w:tcBorders>
            <w:gridSpan w:val="5"/>
            <w:shd w:val="clear" w:color="auto" w:fill="FEFEFE"/>
          </w:tcPr>
          <w:p>
            <w:pPr>
              <w:spacing w:after="0" w:line="118" w:lineRule="exact"/>
              <w:rPr>
                <w:sz w:val="20"/>
                <w:szCs w:val="20"/>
                <w:color w:val="auto"/>
              </w:rPr>
            </w:pPr>
            <w:r>
              <w:rPr>
                <w:rFonts w:ascii="Times New Roman" w:cs="Times New Roman" w:eastAsia="Times New Roman" w:hAnsi="Times New Roman"/>
                <w:sz w:val="13"/>
                <w:szCs w:val="13"/>
                <w:color w:val="0000FF"/>
              </w:rPr>
              <w:t>Section 302 of the Sarbanes-Oxley Act of 2002.</w:t>
            </w:r>
          </w:p>
        </w:tc>
        <w:tc>
          <w:tcPr>
            <w:tcW w:w="340" w:type="dxa"/>
            <w:vAlign w:val="bottom"/>
            <w:tcBorders>
              <w:top w:val="single" w:sz="8" w:color="FEFEFE"/>
            </w:tcBorders>
            <w:gridSpan w:val="2"/>
            <w:shd w:val="clear" w:color="auto" w:fill="FEFEF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FEFEFE"/>
          </w:tcPr>
          <w:p>
            <w:pPr>
              <w:spacing w:after="0" w:line="20" w:lineRule="exact"/>
              <w:rPr>
                <w:sz w:val="1"/>
                <w:szCs w:val="1"/>
                <w:color w:val="auto"/>
              </w:rPr>
            </w:pPr>
          </w:p>
        </w:tc>
        <w:tc>
          <w:tcPr>
            <w:tcW w:w="540" w:type="dxa"/>
            <w:vAlign w:val="bottom"/>
            <w:tcBorders>
              <w:right w:val="single" w:sz="8" w:color="FEFEFE"/>
            </w:tcBorders>
            <w:shd w:val="clear" w:color="auto" w:fill="FEFEFE"/>
          </w:tcPr>
          <w:p>
            <w:pPr>
              <w:spacing w:after="0" w:line="20" w:lineRule="exact"/>
              <w:rPr>
                <w:sz w:val="1"/>
                <w:szCs w:val="1"/>
                <w:color w:val="auto"/>
              </w:rPr>
            </w:pPr>
          </w:p>
        </w:tc>
        <w:tc>
          <w:tcPr>
            <w:tcW w:w="2720" w:type="dxa"/>
            <w:vAlign w:val="bottom"/>
            <w:shd w:val="clear" w:color="auto" w:fill="0000FF"/>
          </w:tcPr>
          <w:p>
            <w:pPr>
              <w:spacing w:after="0" w:line="20" w:lineRule="exact"/>
              <w:rPr>
                <w:sz w:val="1"/>
                <w:szCs w:val="1"/>
                <w:color w:val="auto"/>
              </w:rPr>
            </w:pPr>
          </w:p>
        </w:tc>
        <w:tc>
          <w:tcPr>
            <w:tcW w:w="5640" w:type="dxa"/>
            <w:vAlign w:val="bottom"/>
            <w:gridSpan w:val="2"/>
            <w:shd w:val="clear" w:color="auto" w:fill="FEFEFE"/>
          </w:tcPr>
          <w:p>
            <w:pPr>
              <w:spacing w:after="0" w:line="20" w:lineRule="exact"/>
              <w:rPr>
                <w:sz w:val="1"/>
                <w:szCs w:val="1"/>
                <w:color w:val="auto"/>
              </w:rPr>
            </w:pPr>
          </w:p>
        </w:tc>
        <w:tc>
          <w:tcPr>
            <w:tcW w:w="40" w:type="dxa"/>
            <w:vAlign w:val="bottom"/>
            <w:shd w:val="clear" w:color="auto" w:fill="FEFEFE"/>
          </w:tcPr>
          <w:p>
            <w:pPr>
              <w:spacing w:after="0" w:line="20" w:lineRule="exact"/>
              <w:rPr>
                <w:sz w:val="1"/>
                <w:szCs w:val="1"/>
                <w:color w:val="auto"/>
              </w:rPr>
            </w:pPr>
          </w:p>
        </w:tc>
        <w:tc>
          <w:tcPr>
            <w:tcW w:w="860" w:type="dxa"/>
            <w:vAlign w:val="bottom"/>
            <w:gridSpan w:val="3"/>
            <w:shd w:val="clear" w:color="auto" w:fill="FEFEF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4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540" w:type="dxa"/>
            <w:vAlign w:val="bottom"/>
            <w:tcBorders>
              <w:bottom w:val="single" w:sz="8" w:color="FEFEFE"/>
              <w:right w:val="single" w:sz="8" w:color="FEFEFE"/>
            </w:tcBorders>
            <w:shd w:val="clear" w:color="auto" w:fill="FEFEFE"/>
          </w:tcPr>
          <w:p>
            <w:pPr>
              <w:spacing w:after="0"/>
              <w:rPr>
                <w:sz w:val="14"/>
                <w:szCs w:val="14"/>
                <w:color w:val="auto"/>
              </w:rPr>
            </w:pPr>
          </w:p>
        </w:tc>
        <w:tc>
          <w:tcPr>
            <w:tcW w:w="8400" w:type="dxa"/>
            <w:vAlign w:val="bottom"/>
            <w:tcBorders>
              <w:bottom w:val="single" w:sz="8" w:color="0000FF"/>
            </w:tcBorders>
            <w:gridSpan w:val="4"/>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pursuant to 18 U.S.C. Section 1350, as adopted pursuant to Section 906 of the Sarbanes-Oxley Act of 2002.</w:t>
            </w:r>
          </w:p>
        </w:tc>
        <w:tc>
          <w:tcPr>
            <w:tcW w:w="860" w:type="dxa"/>
            <w:vAlign w:val="bottom"/>
            <w:tcBorders>
              <w:bottom w:val="single" w:sz="8" w:color="FEFEFE"/>
            </w:tcBorders>
            <w:gridSpan w:val="3"/>
            <w:shd w:val="clear" w:color="auto" w:fill="FEFEF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46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540" w:type="dxa"/>
            <w:vAlign w:val="bottom"/>
            <w:tcBorders>
              <w:bottom w:val="single" w:sz="8" w:color="FEFEFE"/>
              <w:right w:val="single" w:sz="8" w:color="FEFEFE"/>
            </w:tcBorders>
            <w:shd w:val="clear" w:color="auto" w:fill="FEFEFE"/>
          </w:tcPr>
          <w:p>
            <w:pPr>
              <w:spacing w:after="0"/>
              <w:rPr>
                <w:sz w:val="15"/>
                <w:szCs w:val="15"/>
                <w:color w:val="auto"/>
              </w:rPr>
            </w:pPr>
          </w:p>
        </w:tc>
        <w:tc>
          <w:tcPr>
            <w:tcW w:w="8360" w:type="dxa"/>
            <w:vAlign w:val="bottom"/>
            <w:tcBorders>
              <w:bottom w:val="single" w:sz="8" w:color="0000FF"/>
            </w:tcBorders>
            <w:gridSpan w:val="3"/>
            <w:shd w:val="clear" w:color="auto" w:fill="FEFEFE"/>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pursuant to 18 U.S.C. Section 1350, as adopted pursuant to Section 906 of the Sarbanes-Oxley Act of 2002.</w:t>
            </w:r>
          </w:p>
        </w:tc>
        <w:tc>
          <w:tcPr>
            <w:tcW w:w="900" w:type="dxa"/>
            <w:vAlign w:val="bottom"/>
            <w:tcBorders>
              <w:bottom w:val="single" w:sz="8" w:color="FEFEFE"/>
            </w:tcBorders>
            <w:gridSpan w:val="4"/>
            <w:shd w:val="clear" w:color="auto" w:fill="FEFEFE"/>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540" w:type="dxa"/>
            <w:vAlign w:val="bottom"/>
            <w:tcBorders>
              <w:right w:val="single" w:sz="8" w:color="FEFEFE"/>
            </w:tcBorders>
            <w:shd w:val="clear" w:color="auto" w:fill="FEFEFE"/>
          </w:tcPr>
          <w:p>
            <w:pPr>
              <w:spacing w:after="0"/>
              <w:rPr>
                <w:sz w:val="18"/>
                <w:szCs w:val="18"/>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Instance Document</w:t>
            </w:r>
          </w:p>
        </w:tc>
        <w:tc>
          <w:tcPr>
            <w:tcW w:w="0" w:type="dxa"/>
            <w:vAlign w:val="bottom"/>
          </w:tcPr>
          <w:p>
            <w:pPr>
              <w:spacing w:after="0"/>
              <w:rPr>
                <w:sz w:val="1"/>
                <w:szCs w:val="1"/>
                <w:color w:val="auto"/>
              </w:rPr>
            </w:pPr>
          </w:p>
        </w:tc>
      </w:tr>
      <w:tr>
        <w:trPr>
          <w:trHeight w:val="202"/>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540" w:type="dxa"/>
            <w:vAlign w:val="bottom"/>
            <w:tcBorders>
              <w:right w:val="single" w:sz="8" w:color="FEFEFE"/>
            </w:tcBorders>
            <w:shd w:val="clear" w:color="auto" w:fill="FEFEFE"/>
          </w:tcPr>
          <w:p>
            <w:pPr>
              <w:spacing w:after="0"/>
              <w:rPr>
                <w:sz w:val="17"/>
                <w:szCs w:val="17"/>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Schema</w:t>
            </w:r>
          </w:p>
        </w:tc>
        <w:tc>
          <w:tcPr>
            <w:tcW w:w="0" w:type="dxa"/>
            <w:vAlign w:val="bottom"/>
          </w:tcPr>
          <w:p>
            <w:pPr>
              <w:spacing w:after="0"/>
              <w:rPr>
                <w:sz w:val="1"/>
                <w:szCs w:val="1"/>
                <w:color w:val="auto"/>
              </w:rPr>
            </w:pPr>
          </w:p>
        </w:tc>
      </w:tr>
      <w:tr>
        <w:trPr>
          <w:trHeight w:val="202"/>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540" w:type="dxa"/>
            <w:vAlign w:val="bottom"/>
            <w:tcBorders>
              <w:right w:val="single" w:sz="8" w:color="FEFEFE"/>
            </w:tcBorders>
            <w:shd w:val="clear" w:color="auto" w:fill="FEFEFE"/>
          </w:tcPr>
          <w:p>
            <w:pPr>
              <w:spacing w:after="0"/>
              <w:rPr>
                <w:sz w:val="17"/>
                <w:szCs w:val="17"/>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Calculation Linkbase</w:t>
            </w:r>
          </w:p>
        </w:tc>
        <w:tc>
          <w:tcPr>
            <w:tcW w:w="0" w:type="dxa"/>
            <w:vAlign w:val="bottom"/>
          </w:tcPr>
          <w:p>
            <w:pPr>
              <w:spacing w:after="0"/>
              <w:rPr>
                <w:sz w:val="1"/>
                <w:szCs w:val="1"/>
                <w:color w:val="auto"/>
              </w:rPr>
            </w:pPr>
          </w:p>
        </w:tc>
      </w:tr>
      <w:tr>
        <w:trPr>
          <w:trHeight w:val="202"/>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540" w:type="dxa"/>
            <w:vAlign w:val="bottom"/>
            <w:tcBorders>
              <w:right w:val="single" w:sz="8" w:color="FEFEFE"/>
            </w:tcBorders>
            <w:shd w:val="clear" w:color="auto" w:fill="FEFEFE"/>
          </w:tcPr>
          <w:p>
            <w:pPr>
              <w:spacing w:after="0"/>
              <w:rPr>
                <w:sz w:val="17"/>
                <w:szCs w:val="17"/>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Label Linkbase</w:t>
            </w:r>
          </w:p>
        </w:tc>
        <w:tc>
          <w:tcPr>
            <w:tcW w:w="0" w:type="dxa"/>
            <w:vAlign w:val="bottom"/>
          </w:tcPr>
          <w:p>
            <w:pPr>
              <w:spacing w:after="0"/>
              <w:rPr>
                <w:sz w:val="1"/>
                <w:szCs w:val="1"/>
                <w:color w:val="auto"/>
              </w:rPr>
            </w:pPr>
          </w:p>
        </w:tc>
      </w:tr>
      <w:tr>
        <w:trPr>
          <w:trHeight w:val="202"/>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540" w:type="dxa"/>
            <w:vAlign w:val="bottom"/>
            <w:tcBorders>
              <w:right w:val="single" w:sz="8" w:color="FEFEFE"/>
            </w:tcBorders>
            <w:shd w:val="clear" w:color="auto" w:fill="FEFEFE"/>
          </w:tcPr>
          <w:p>
            <w:pPr>
              <w:spacing w:after="0"/>
              <w:rPr>
                <w:sz w:val="17"/>
                <w:szCs w:val="17"/>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Presentation Linkbase</w:t>
            </w:r>
          </w:p>
        </w:tc>
        <w:tc>
          <w:tcPr>
            <w:tcW w:w="0" w:type="dxa"/>
            <w:vAlign w:val="bottom"/>
          </w:tcPr>
          <w:p>
            <w:pPr>
              <w:spacing w:after="0"/>
              <w:rPr>
                <w:sz w:val="1"/>
                <w:szCs w:val="1"/>
                <w:color w:val="auto"/>
              </w:rPr>
            </w:pPr>
          </w:p>
        </w:tc>
      </w:tr>
      <w:tr>
        <w:trPr>
          <w:trHeight w:val="202"/>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540" w:type="dxa"/>
            <w:vAlign w:val="bottom"/>
            <w:tcBorders>
              <w:right w:val="single" w:sz="8" w:color="FEFEFE"/>
            </w:tcBorders>
            <w:shd w:val="clear" w:color="auto" w:fill="FEFEFE"/>
          </w:tcPr>
          <w:p>
            <w:pPr>
              <w:spacing w:after="0"/>
              <w:rPr>
                <w:sz w:val="17"/>
                <w:szCs w:val="17"/>
                <w:color w:val="auto"/>
              </w:rPr>
            </w:pPr>
          </w:p>
        </w:tc>
        <w:tc>
          <w:tcPr>
            <w:tcW w:w="9260" w:type="dxa"/>
            <w:vAlign w:val="bottom"/>
            <w:gridSpan w:val="7"/>
            <w:shd w:val="clear" w:color="auto" w:fill="FEFEFE"/>
          </w:tcPr>
          <w:p>
            <w:pPr>
              <w:spacing w:after="0"/>
              <w:rPr>
                <w:sz w:val="20"/>
                <w:szCs w:val="20"/>
                <w:color w:val="auto"/>
              </w:rPr>
            </w:pPr>
            <w:r>
              <w:rPr>
                <w:rFonts w:ascii="Times New Roman" w:cs="Times New Roman" w:eastAsia="Times New Roman" w:hAnsi="Times New Roman"/>
                <w:sz w:val="14"/>
                <w:szCs w:val="14"/>
                <w:color w:val="auto"/>
              </w:rPr>
              <w:t>XBRL Taxonomy Extension Definition Document</w:t>
            </w:r>
          </w:p>
        </w:tc>
        <w:tc>
          <w:tcPr>
            <w:tcW w:w="0" w:type="dxa"/>
            <w:vAlign w:val="bottom"/>
          </w:tcPr>
          <w:p>
            <w:pPr>
              <w:spacing w:after="0"/>
              <w:rPr>
                <w:sz w:val="1"/>
                <w:szCs w:val="1"/>
                <w:color w:val="auto"/>
              </w:rPr>
            </w:pPr>
          </w:p>
        </w:tc>
      </w:tr>
      <w:tr>
        <w:trPr>
          <w:trHeight w:val="202"/>
        </w:trPr>
        <w:tc>
          <w:tcPr>
            <w:tcW w:w="1460" w:type="dxa"/>
            <w:vAlign w:val="bottom"/>
            <w:shd w:val="clear" w:color="auto" w:fill="FEFEFE"/>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540" w:type="dxa"/>
            <w:vAlign w:val="bottom"/>
            <w:tcBorders>
              <w:right w:val="single" w:sz="8" w:color="FEFEFE"/>
            </w:tcBorders>
            <w:shd w:val="clear" w:color="auto" w:fill="FEFEFE"/>
          </w:tcPr>
          <w:p>
            <w:pPr>
              <w:spacing w:after="0"/>
              <w:rPr>
                <w:sz w:val="17"/>
                <w:szCs w:val="17"/>
                <w:color w:val="auto"/>
              </w:rPr>
            </w:pPr>
          </w:p>
        </w:tc>
        <w:tc>
          <w:tcPr>
            <w:tcW w:w="9260" w:type="dxa"/>
            <w:vAlign w:val="bottom"/>
            <w:gridSpan w:val="7"/>
            <w:vMerge w:val="restart"/>
            <w:shd w:val="clear" w:color="auto" w:fill="FEFEFE"/>
          </w:tcPr>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tc>
        <w:tc>
          <w:tcPr>
            <w:tcW w:w="0" w:type="dxa"/>
            <w:vAlign w:val="bottom"/>
          </w:tcPr>
          <w:p>
            <w:pPr>
              <w:spacing w:after="0"/>
              <w:rPr>
                <w:sz w:val="1"/>
                <w:szCs w:val="1"/>
                <w:color w:val="auto"/>
              </w:rPr>
            </w:pPr>
          </w:p>
        </w:tc>
      </w:tr>
      <w:tr>
        <w:trPr>
          <w:trHeight w:val="74"/>
        </w:trPr>
        <w:tc>
          <w:tcPr>
            <w:tcW w:w="1460" w:type="dxa"/>
            <w:vAlign w:val="bottom"/>
            <w:shd w:val="clear" w:color="auto" w:fill="FEFEFE"/>
          </w:tcPr>
          <w:p>
            <w:pPr>
              <w:spacing w:after="0"/>
              <w:rPr>
                <w:sz w:val="6"/>
                <w:szCs w:val="6"/>
                <w:color w:val="auto"/>
              </w:rPr>
            </w:pPr>
          </w:p>
        </w:tc>
        <w:tc>
          <w:tcPr>
            <w:tcW w:w="540" w:type="dxa"/>
            <w:vAlign w:val="bottom"/>
            <w:tcBorders>
              <w:right w:val="single" w:sz="8" w:color="FEFEFE"/>
            </w:tcBorders>
            <w:shd w:val="clear" w:color="auto" w:fill="FEFEFE"/>
          </w:tcPr>
          <w:p>
            <w:pPr>
              <w:spacing w:after="0"/>
              <w:rPr>
                <w:sz w:val="6"/>
                <w:szCs w:val="6"/>
                <w:color w:val="auto"/>
              </w:rPr>
            </w:pPr>
          </w:p>
        </w:tc>
        <w:tc>
          <w:tcPr>
            <w:tcW w:w="9260" w:type="dxa"/>
            <w:vAlign w:val="bottom"/>
            <w:gridSpan w:val="7"/>
            <w:vMerge w:val="continue"/>
            <w:shd w:val="clear" w:color="auto" w:fill="FEFEF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1460" w:type="dxa"/>
            <w:vAlign w:val="bottom"/>
            <w:shd w:val="clear" w:color="auto" w:fill="FEFEFE"/>
          </w:tcPr>
          <w:p>
            <w:pPr>
              <w:spacing w:after="0"/>
              <w:rPr>
                <w:sz w:val="6"/>
                <w:szCs w:val="6"/>
                <w:color w:val="auto"/>
              </w:rPr>
            </w:pPr>
          </w:p>
        </w:tc>
        <w:tc>
          <w:tcPr>
            <w:tcW w:w="540" w:type="dxa"/>
            <w:vAlign w:val="bottom"/>
            <w:tcBorders>
              <w:right w:val="single" w:sz="8" w:color="FEFEFE"/>
            </w:tcBorders>
            <w:shd w:val="clear" w:color="auto" w:fill="FEFEFE"/>
          </w:tcPr>
          <w:p>
            <w:pPr>
              <w:spacing w:after="0"/>
              <w:rPr>
                <w:sz w:val="6"/>
                <w:szCs w:val="6"/>
                <w:color w:val="auto"/>
              </w:rPr>
            </w:pPr>
          </w:p>
        </w:tc>
        <w:tc>
          <w:tcPr>
            <w:tcW w:w="2720" w:type="dxa"/>
            <w:vAlign w:val="bottom"/>
            <w:shd w:val="clear" w:color="auto" w:fill="FEFEFE"/>
          </w:tcPr>
          <w:p>
            <w:pPr>
              <w:spacing w:after="0"/>
              <w:rPr>
                <w:sz w:val="6"/>
                <w:szCs w:val="6"/>
                <w:color w:val="auto"/>
              </w:rPr>
            </w:pPr>
          </w:p>
        </w:tc>
        <w:tc>
          <w:tcPr>
            <w:tcW w:w="4640" w:type="dxa"/>
            <w:vAlign w:val="bottom"/>
            <w:shd w:val="clear" w:color="auto" w:fill="FEFEFE"/>
          </w:tcPr>
          <w:p>
            <w:pPr>
              <w:spacing w:after="0"/>
              <w:rPr>
                <w:sz w:val="6"/>
                <w:szCs w:val="6"/>
                <w:color w:val="auto"/>
              </w:rPr>
            </w:pPr>
          </w:p>
        </w:tc>
        <w:tc>
          <w:tcPr>
            <w:tcW w:w="100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520" w:type="dxa"/>
            <w:vAlign w:val="bottom"/>
            <w:shd w:val="clear" w:color="auto" w:fill="FEFEFE"/>
          </w:tcPr>
          <w:p>
            <w:pPr>
              <w:spacing w:after="0"/>
              <w:rPr>
                <w:sz w:val="6"/>
                <w:szCs w:val="6"/>
                <w:color w:val="auto"/>
              </w:rPr>
            </w:pPr>
          </w:p>
        </w:tc>
        <w:tc>
          <w:tcPr>
            <w:tcW w:w="40" w:type="dxa"/>
            <w:vAlign w:val="bottom"/>
            <w:shd w:val="clear" w:color="auto" w:fill="FEFEFE"/>
          </w:tcPr>
          <w:p>
            <w:pPr>
              <w:spacing w:after="0"/>
              <w:rPr>
                <w:sz w:val="6"/>
                <w:szCs w:val="6"/>
                <w:color w:val="auto"/>
              </w:rPr>
            </w:pPr>
          </w:p>
        </w:tc>
        <w:tc>
          <w:tcPr>
            <w:tcW w:w="300" w:type="dxa"/>
            <w:vAlign w:val="bottom"/>
            <w:shd w:val="clear" w:color="auto" w:fill="FEFEFE"/>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812" w:right="339" w:bottom="1440" w:gutter="0" w:footer="0" w:header="0"/>
        </w:sectPr>
      </w:pPr>
    </w:p>
    <w:bookmarkStart w:id="73" w:name="page74"/>
    <w:bookmarkEnd w:id="73"/>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4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color w:val="auto"/>
        </w:rPr>
        <w:t>Virtu Financial, Inc.</w:t>
      </w:r>
    </w:p>
    <w:p>
      <w:pPr>
        <w:spacing w:after="0" w:line="200" w:lineRule="exact"/>
        <w:rPr>
          <w:sz w:val="20"/>
          <w:szCs w:val="20"/>
          <w:color w:val="auto"/>
        </w:rPr>
      </w:pPr>
    </w:p>
    <w:p>
      <w:pPr>
        <w:spacing w:after="0" w:line="244"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2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April 26, 2024</w:t>
            </w:r>
          </w:p>
        </w:tc>
        <w:tc>
          <w:tcPr>
            <w:tcW w:w="13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Douglas A. Cifu</w:t>
            </w:r>
          </w:p>
        </w:tc>
      </w:tr>
      <w:tr>
        <w:trPr>
          <w:trHeight w:val="167"/>
        </w:trPr>
        <w:tc>
          <w:tcPr>
            <w:tcW w:w="1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Douglas A. Cifu</w:t>
            </w:r>
          </w:p>
        </w:tc>
      </w:tr>
      <w:tr>
        <w:trPr>
          <w:trHeight w:val="184"/>
        </w:trPr>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605"/>
        </w:trPr>
        <w:tc>
          <w:tcPr>
            <w:tcW w:w="114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228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April 26, 2024</w:t>
            </w:r>
          </w:p>
        </w:tc>
        <w:tc>
          <w:tcPr>
            <w:tcW w:w="134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Sean P. Galvin</w:t>
            </w:r>
          </w:p>
        </w:tc>
      </w:tr>
      <w:tr>
        <w:trPr>
          <w:trHeight w:val="167"/>
        </w:trPr>
        <w:tc>
          <w:tcPr>
            <w:tcW w:w="11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Sean P. Galvin</w:t>
            </w:r>
          </w:p>
        </w:tc>
      </w:tr>
      <w:tr>
        <w:trPr>
          <w:trHeight w:val="184"/>
        </w:trPr>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679"/>
        </w:trPr>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73</w:t>
            </w:r>
          </w:p>
        </w:tc>
      </w:tr>
    </w:tbl>
    <w:p>
      <w:pPr>
        <w:sectPr>
          <w:pgSz w:w="11900" w:h="16838" w:orient="portrait"/>
          <w:cols w:equalWidth="0" w:num="1">
            <w:col w:w="10360"/>
          </w:cols>
          <w:pgMar w:left="820" w:top="727" w:right="719" w:bottom="1440"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CEO CERTIFICATION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 — 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Douglas A. Cifu, certify that:</w:t>
      </w:r>
    </w:p>
    <w:p>
      <w:pPr>
        <w:spacing w:after="0" w:line="200" w:lineRule="exact"/>
        <w:rPr>
          <w:sz w:val="20"/>
          <w:szCs w:val="20"/>
          <w:color w:val="auto"/>
        </w:rPr>
      </w:pPr>
    </w:p>
    <w:p>
      <w:pPr>
        <w:ind w:left="520" w:hanging="260"/>
        <w:spacing w:after="0" w:line="28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ending March 31, 2024 of Virtu Financial, Inc. (the “registrant”) as filed with the Securities and Exchange Commission on the date hereof;</w:t>
      </w:r>
    </w:p>
    <w:p>
      <w:pPr>
        <w:spacing w:after="0" w:line="145"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5" w:lineRule="exact"/>
        <w:rPr>
          <w:rFonts w:ascii="Times New Roman" w:cs="Times New Roman" w:eastAsia="Times New Roman" w:hAnsi="Times New Roman"/>
          <w:sz w:val="14"/>
          <w:szCs w:val="14"/>
          <w:color w:val="auto"/>
        </w:rPr>
      </w:pPr>
    </w:p>
    <w:p>
      <w:pPr>
        <w:ind w:left="900" w:right="40" w:hanging="386"/>
        <w:spacing w:after="0" w:line="287" w:lineRule="auto"/>
        <w:tabs>
          <w:tab w:leader="none" w:pos="89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900" w:right="120" w:hanging="386"/>
        <w:spacing w:after="0" w:line="287" w:lineRule="auto"/>
        <w:tabs>
          <w:tab w:leader="none" w:pos="895"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900" w:right="300" w:hanging="386"/>
        <w:spacing w:after="0" w:line="287" w:lineRule="auto"/>
        <w:tabs>
          <w:tab w:leader="none" w:pos="89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900" w:right="280" w:hanging="386"/>
        <w:spacing w:after="0" w:line="287" w:lineRule="auto"/>
        <w:tabs>
          <w:tab w:leader="none" w:pos="895"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900" w:right="640" w:hanging="386"/>
        <w:spacing w:after="0" w:line="287" w:lineRule="auto"/>
        <w:tabs>
          <w:tab w:leader="none" w:pos="898"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1"/>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Date: April 26, 2024</w:t>
            </w:r>
          </w:p>
        </w:tc>
        <w:tc>
          <w:tcPr>
            <w:tcW w:w="2800" w:type="dxa"/>
            <w:vAlign w:val="bottom"/>
          </w:tcPr>
          <w:p>
            <w:pPr>
              <w:ind w:left="2220"/>
              <w:spacing w:after="0"/>
              <w:rPr>
                <w:sz w:val="20"/>
                <w:szCs w:val="20"/>
                <w:color w:val="auto"/>
              </w:rPr>
            </w:pPr>
            <w:r>
              <w:rPr>
                <w:rFonts w:ascii="Times New Roman" w:cs="Times New Roman" w:eastAsia="Times New Roman" w:hAnsi="Times New Roman"/>
                <w:sz w:val="14"/>
                <w:szCs w:val="14"/>
                <w:color w:val="auto"/>
              </w:rPr>
              <w:t>By:</w:t>
            </w:r>
          </w:p>
        </w:tc>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Douglas A. Cifu</w:t>
            </w:r>
          </w:p>
        </w:tc>
      </w:tr>
      <w:tr>
        <w:trPr>
          <w:trHeight w:val="167"/>
        </w:trPr>
        <w:tc>
          <w:tcPr>
            <w:tcW w:w="34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Douglas A. Cifu</w:t>
            </w:r>
          </w:p>
        </w:tc>
      </w:tr>
      <w:tr>
        <w:trPr>
          <w:trHeight w:val="184"/>
        </w:trPr>
        <w:tc>
          <w:tcPr>
            <w:tcW w:w="340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5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Executive Officer</w:t>
            </w:r>
          </w:p>
        </w:tc>
      </w:tr>
    </w:tbl>
    <w:p>
      <w:pPr>
        <w:sectPr>
          <w:pgSz w:w="11900" w:h="16838" w:orient="portrait"/>
          <w:cols w:equalWidth="0" w:num="1">
            <w:col w:w="11280"/>
          </w:cols>
          <w:pgMar w:left="300" w:top="727" w:right="31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CFO CERTIFICATION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SARBANES — 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Sean Galvin, certify that:</w:t>
      </w:r>
    </w:p>
    <w:p>
      <w:pPr>
        <w:spacing w:after="0" w:line="179" w:lineRule="exact"/>
        <w:rPr>
          <w:sz w:val="20"/>
          <w:szCs w:val="20"/>
          <w:color w:val="auto"/>
        </w:rPr>
      </w:pPr>
    </w:p>
    <w:p>
      <w:pPr>
        <w:ind w:left="520" w:hanging="260"/>
        <w:spacing w:after="0" w:line="28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period ending March 31, 2024 of Virtu Financial, Inc. (the “registrant”) as filed with the Securities and Exchange Commission on the date hereof;</w:t>
      </w:r>
    </w:p>
    <w:p>
      <w:pPr>
        <w:spacing w:after="0" w:line="145" w:lineRule="exact"/>
        <w:rPr>
          <w:rFonts w:ascii="Times New Roman" w:cs="Times New Roman" w:eastAsia="Times New Roman" w:hAnsi="Times New Roman"/>
          <w:sz w:val="14"/>
          <w:szCs w:val="14"/>
          <w:color w:val="auto"/>
        </w:rPr>
      </w:pPr>
    </w:p>
    <w:p>
      <w:pPr>
        <w:ind w:left="520" w:right="720" w:hanging="260"/>
        <w:spacing w:after="0" w:line="28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Times New Roman" w:cs="Times New Roman" w:eastAsia="Times New Roman" w:hAnsi="Times New Roman"/>
          <w:sz w:val="14"/>
          <w:szCs w:val="14"/>
          <w:color w:val="auto"/>
        </w:rPr>
      </w:pPr>
    </w:p>
    <w:p>
      <w:pPr>
        <w:ind w:left="520" w:right="200" w:hanging="260"/>
        <w:spacing w:after="0" w:line="28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5" w:lineRule="exact"/>
        <w:rPr>
          <w:rFonts w:ascii="Times New Roman" w:cs="Times New Roman" w:eastAsia="Times New Roman" w:hAnsi="Times New Roman"/>
          <w:sz w:val="14"/>
          <w:szCs w:val="14"/>
          <w:color w:val="auto"/>
        </w:rPr>
      </w:pPr>
    </w:p>
    <w:p>
      <w:pPr>
        <w:ind w:left="520" w:right="40" w:hanging="260"/>
        <w:spacing w:after="0" w:line="28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900" w:right="40" w:hanging="386"/>
        <w:spacing w:after="0" w:line="287" w:lineRule="auto"/>
        <w:tabs>
          <w:tab w:leader="none" w:pos="89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5" w:lineRule="exact"/>
        <w:rPr>
          <w:rFonts w:ascii="Times New Roman" w:cs="Times New Roman" w:eastAsia="Times New Roman" w:hAnsi="Times New Roman"/>
          <w:sz w:val="14"/>
          <w:szCs w:val="14"/>
          <w:color w:val="auto"/>
        </w:rPr>
      </w:pPr>
    </w:p>
    <w:p>
      <w:pPr>
        <w:ind w:left="900" w:right="120" w:hanging="386"/>
        <w:spacing w:after="0" w:line="287" w:lineRule="auto"/>
        <w:tabs>
          <w:tab w:leader="none" w:pos="895"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5" w:lineRule="exact"/>
        <w:rPr>
          <w:rFonts w:ascii="Times New Roman" w:cs="Times New Roman" w:eastAsia="Times New Roman" w:hAnsi="Times New Roman"/>
          <w:sz w:val="14"/>
          <w:szCs w:val="14"/>
          <w:color w:val="auto"/>
        </w:rPr>
      </w:pPr>
    </w:p>
    <w:p>
      <w:pPr>
        <w:ind w:left="900" w:right="300" w:hanging="386"/>
        <w:spacing w:after="0" w:line="287" w:lineRule="auto"/>
        <w:tabs>
          <w:tab w:leader="none" w:pos="89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5" w:lineRule="exact"/>
        <w:rPr>
          <w:rFonts w:ascii="Times New Roman" w:cs="Times New Roman" w:eastAsia="Times New Roman" w:hAnsi="Times New Roman"/>
          <w:sz w:val="14"/>
          <w:szCs w:val="14"/>
          <w:color w:val="auto"/>
        </w:rPr>
      </w:pPr>
    </w:p>
    <w:p>
      <w:pPr>
        <w:ind w:left="900" w:right="280" w:hanging="386"/>
        <w:spacing w:after="0" w:line="287" w:lineRule="auto"/>
        <w:tabs>
          <w:tab w:leader="none" w:pos="895"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Times New Roman" w:cs="Times New Roman" w:eastAsia="Times New Roman" w:hAnsi="Times New Roman"/>
          <w:sz w:val="14"/>
          <w:szCs w:val="14"/>
          <w:color w:val="auto"/>
        </w:rPr>
      </w:pPr>
    </w:p>
    <w:p>
      <w:pPr>
        <w:ind w:left="520" w:right="540" w:hanging="260"/>
        <w:spacing w:after="0" w:line="287" w:lineRule="auto"/>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900" w:right="640" w:hanging="386"/>
        <w:spacing w:after="0" w:line="287" w:lineRule="auto"/>
        <w:tabs>
          <w:tab w:leader="none" w:pos="898"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5" w:lineRule="exact"/>
        <w:rPr>
          <w:rFonts w:ascii="Times New Roman" w:cs="Times New Roman" w:eastAsia="Times New Roman" w:hAnsi="Times New Roman"/>
          <w:sz w:val="14"/>
          <w:szCs w:val="14"/>
          <w:color w:val="auto"/>
        </w:rPr>
      </w:pPr>
    </w:p>
    <w:p>
      <w:pPr>
        <w:ind w:left="900" w:hanging="386"/>
        <w:spacing w:after="0"/>
        <w:tabs>
          <w:tab w:leader="none" w:pos="90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41"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4"/>
                <w:szCs w:val="14"/>
                <w:color w:val="auto"/>
              </w:rPr>
              <w:t>Date: April 26, 2024</w:t>
            </w:r>
          </w:p>
        </w:tc>
        <w:tc>
          <w:tcPr>
            <w:tcW w:w="2820" w:type="dxa"/>
            <w:vAlign w:val="bottom"/>
          </w:tcPr>
          <w:p>
            <w:pPr>
              <w:ind w:left="2240"/>
              <w:spacing w:after="0"/>
              <w:rPr>
                <w:sz w:val="20"/>
                <w:szCs w:val="20"/>
                <w:color w:val="auto"/>
              </w:rPr>
            </w:pPr>
            <w:r>
              <w:rPr>
                <w:rFonts w:ascii="Times New Roman" w:cs="Times New Roman" w:eastAsia="Times New Roman" w:hAnsi="Times New Roman"/>
                <w:sz w:val="14"/>
                <w:szCs w:val="14"/>
                <w:color w:val="auto"/>
              </w:rPr>
              <w:t>By:</w:t>
            </w:r>
          </w:p>
        </w:tc>
        <w:tc>
          <w:tcPr>
            <w:tcW w:w="5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/s/ Sean P. Galvin</w:t>
            </w:r>
          </w:p>
        </w:tc>
      </w:tr>
      <w:tr>
        <w:trPr>
          <w:trHeight w:val="167"/>
        </w:trPr>
        <w:tc>
          <w:tcPr>
            <w:tcW w:w="34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Sean Galvin</w:t>
            </w:r>
          </w:p>
        </w:tc>
      </w:tr>
      <w:tr>
        <w:trPr>
          <w:trHeight w:val="184"/>
        </w:trPr>
        <w:tc>
          <w:tcPr>
            <w:tcW w:w="34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w:t>
            </w:r>
          </w:p>
        </w:tc>
      </w:tr>
    </w:tbl>
    <w:p>
      <w:pPr>
        <w:sectPr>
          <w:pgSz w:w="11900" w:h="16838" w:orient="portrait"/>
          <w:cols w:equalWidth="0" w:num="1">
            <w:col w:w="11280"/>
          </w:cols>
          <w:pgMar w:left="300" w:top="727" w:right="31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64" w:lineRule="exact"/>
        <w:rPr>
          <w:sz w:val="20"/>
          <w:szCs w:val="20"/>
          <w:color w:val="auto"/>
        </w:rPr>
      </w:pPr>
    </w:p>
    <w:p>
      <w:pPr>
        <w:ind w:right="12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Virtu Financial, Inc. (the “Company”) for the period ended March 31, 2024 as filed with the Securities and Exchange Commission on the date hereof (the “Report”), I, Douglas A. Cifu, certify, pursuant to 18 U.S.C. Section 1350, as adopted pursuant to Section 906 of the Sarbanes-Oxley Act of 2002, in my capacity as an officer of the Company that, to my knowledge:</w:t>
      </w:r>
    </w:p>
    <w:p>
      <w:pPr>
        <w:spacing w:after="0" w:line="157" w:lineRule="exact"/>
        <w:rPr>
          <w:sz w:val="20"/>
          <w:szCs w:val="20"/>
          <w:color w:val="auto"/>
        </w:rPr>
      </w:pPr>
    </w:p>
    <w:p>
      <w:pPr>
        <w:ind w:left="1040" w:hanging="144"/>
        <w:spacing w:after="0"/>
        <w:tabs>
          <w:tab w:leader="none" w:pos="10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78" w:lineRule="exact"/>
        <w:rPr>
          <w:rFonts w:ascii="Times New Roman" w:cs="Times New Roman" w:eastAsia="Times New Roman" w:hAnsi="Times New Roman"/>
          <w:sz w:val="14"/>
          <w:szCs w:val="14"/>
          <w:color w:val="auto"/>
        </w:rPr>
      </w:pPr>
    </w:p>
    <w:p>
      <w:pPr>
        <w:ind w:left="1040" w:hanging="144"/>
        <w:spacing w:after="0"/>
        <w:tabs>
          <w:tab w:leader="none" w:pos="10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Douglas A. Cifu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3654425</wp:posOffset>
            </wp:positionH>
            <wp:positionV relativeFrom="paragraph">
              <wp:posOffset>14605</wp:posOffset>
            </wp:positionV>
            <wp:extent cx="348297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82975" cy="698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Douglas A. Cifu</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Chief Executive Officer</w:t>
      </w:r>
    </w:p>
    <w:p>
      <w:pPr>
        <w:spacing w:after="0" w:line="19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Date: April 26, 2024</w:t>
      </w:r>
    </w:p>
    <w:p>
      <w:pPr>
        <w:sectPr>
          <w:pgSz w:w="11900" w:h="16838" w:orient="portrait"/>
          <w:cols w:equalWidth="0" w:num="1">
            <w:col w:w="11280"/>
          </w:cols>
          <w:pgMar w:left="300" w:top="728" w:right="31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SECTION 906 OF THE SARBANES-OXLEY ACT OF 2002</w:t>
      </w:r>
    </w:p>
    <w:p>
      <w:pPr>
        <w:spacing w:after="0" w:line="164" w:lineRule="exact"/>
        <w:rPr>
          <w:sz w:val="20"/>
          <w:szCs w:val="20"/>
          <w:color w:val="auto"/>
        </w:rPr>
      </w:pPr>
    </w:p>
    <w:p>
      <w:pPr>
        <w:jc w:val="both"/>
        <w:ind w:right="200"/>
        <w:spacing w:after="0" w:line="270" w:lineRule="auto"/>
        <w:rPr>
          <w:sz w:val="20"/>
          <w:szCs w:val="20"/>
          <w:color w:val="auto"/>
        </w:rPr>
      </w:pPr>
      <w:r>
        <w:rPr>
          <w:rFonts w:ascii="Times New Roman" w:cs="Times New Roman" w:eastAsia="Times New Roman" w:hAnsi="Times New Roman"/>
          <w:sz w:val="14"/>
          <w:szCs w:val="14"/>
          <w:color w:val="auto"/>
        </w:rPr>
        <w:t>In connection with the Quarterly Report on Form 10-Q of Virtu Financial, Inc. (the “Company”) for the period ended March 31, 2024 as filed with the Securities and Exchange Commission on the date hereof (the “Report”), I, Sean P. Galvin, certify, pursuant to 18 U.S.C. Section 1350, as adopted pursuant to Section 906 of the Sarbanes-Oxley Act of 2002, in my capacity as an officer of the Company that, to my knowledge:</w:t>
      </w:r>
    </w:p>
    <w:p>
      <w:pPr>
        <w:spacing w:after="0" w:line="136" w:lineRule="exact"/>
        <w:rPr>
          <w:sz w:val="20"/>
          <w:szCs w:val="20"/>
          <w:color w:val="auto"/>
        </w:rPr>
      </w:pPr>
    </w:p>
    <w:p>
      <w:pPr>
        <w:ind w:left="1040" w:hanging="144"/>
        <w:spacing w:after="0"/>
        <w:tabs>
          <w:tab w:leader="none" w:pos="1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as applicable, of the Securities Exchange Act of 1934; and</w:t>
      </w:r>
    </w:p>
    <w:p>
      <w:pPr>
        <w:spacing w:after="0" w:line="178" w:lineRule="exact"/>
        <w:rPr>
          <w:rFonts w:ascii="Times New Roman" w:cs="Times New Roman" w:eastAsia="Times New Roman" w:hAnsi="Times New Roman"/>
          <w:sz w:val="14"/>
          <w:szCs w:val="14"/>
          <w:color w:val="auto"/>
        </w:rPr>
      </w:pPr>
    </w:p>
    <w:p>
      <w:pPr>
        <w:ind w:left="1040" w:hanging="144"/>
        <w:spacing w:after="0"/>
        <w:tabs>
          <w:tab w:leader="none" w:pos="10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 Sean P. Galvin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503295"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503295" cy="698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Sean Galvin</w:t>
      </w:r>
    </w:p>
    <w:p>
      <w:pPr>
        <w:spacing w:after="0" w:line="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Chief Financial Officer</w:t>
      </w:r>
    </w:p>
    <w:p>
      <w:pPr>
        <w:spacing w:after="0" w:line="19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color w:val="auto"/>
        </w:rPr>
        <w:t>Date: April 26, 2024</w:t>
      </w:r>
    </w:p>
    <w:sectPr>
      <w:pgSz w:w="11900" w:h="16838" w:orient="portrait"/>
      <w:cols w:equalWidth="0" w:num="1">
        <w:col w:w="11280"/>
      </w:cols>
      <w:pgMar w:left="300" w:top="727"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1"/>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lvl w:ilvl="1">
      <w:lvlJc w:val="left"/>
      <w:lvlText w:val="(%2)"/>
      <w:numFmt w:val="decimal"/>
      <w:start w:val="1"/>
    </w:lvl>
  </w:abstractNum>
  <w:abstractNum w:abstractNumId="11">
    <w:nsid w:val="3F2DBA31"/>
    <w:multiLevelType w:val="hybridMultilevel"/>
    <w:lvl w:ilvl="0">
      <w:lvlJc w:val="left"/>
      <w:lvlText w:val="%1."/>
      <w:numFmt w:val="decimal"/>
      <w:start w:val="18"/>
    </w:lvl>
    <w:lvl w:ilvl="1">
      <w:lvlJc w:val="left"/>
      <w:lvlText w:val="%2"/>
      <w:numFmt w:val="decimal"/>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decimal"/>
      <w:start w:val="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Roman"/>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2024-04-26T16:01:53Z</dcterms:created>
  <dcterms:modified xsi:type="dcterms:W3CDTF">2024-04-26T16:01:53Z</dcterms:modified>
</cp:coreProperties>
</file>