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214630</wp:posOffset>
            </wp:positionH>
            <wp:positionV relativeFrom="page">
              <wp:posOffset>662940</wp:posOffset>
            </wp:positionV>
            <wp:extent cx="7119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9620" cy="8255"/>
                    </a:xfrm>
                    <a:prstGeom prst="rect">
                      <a:avLst/>
                    </a:prstGeom>
                    <a:noFill/>
                  </pic:spPr>
                </pic:pic>
              </a:graphicData>
            </a:graphic>
          </wp:anchor>
        </w:drawing>
        <w:drawing>
          <wp:anchor simplePos="0" relativeHeight="251657728" behindDoc="1" locked="0" layoutInCell="0" allowOverlap="1">
            <wp:simplePos x="0" y="0"/>
            <wp:positionH relativeFrom="page">
              <wp:posOffset>214630</wp:posOffset>
            </wp:positionH>
            <wp:positionV relativeFrom="page">
              <wp:posOffset>687705</wp:posOffset>
            </wp:positionV>
            <wp:extent cx="7119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96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0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4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97" w:lineRule="exact"/>
        <w:rPr>
          <w:sz w:val="24"/>
          <w:szCs w:val="24"/>
          <w:color w:val="auto"/>
        </w:rPr>
      </w:pPr>
    </w:p>
    <w:p>
      <w:pPr>
        <w:jc w:val="center"/>
        <w:ind w:left="3860" w:right="1160" w:hanging="2795"/>
        <w:spacing w:after="0" w:line="289" w:lineRule="auto"/>
        <w:tabs>
          <w:tab w:leader="none" w:pos="12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 (d) OF THE SECURITIES EXCHANGE ACT OF 1934 For the quarterly period ended March 31, 2026</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66" w:lineRule="exact"/>
        <w:rPr>
          <w:sz w:val="24"/>
          <w:szCs w:val="24"/>
          <w:color w:val="auto"/>
        </w:rPr>
      </w:pPr>
    </w:p>
    <w:p>
      <w:pPr>
        <w:ind w:left="1260" w:hanging="201"/>
        <w:spacing w:after="0"/>
        <w:tabs>
          <w:tab w:leader="none" w:pos="12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 (d) OF THE SECURITIES EXCHANGE ACT OF 1934</w:t>
      </w:r>
    </w:p>
    <w:p>
      <w:pPr>
        <w:spacing w:after="0" w:line="36" w:lineRule="exact"/>
        <w:rPr>
          <w:sz w:val="24"/>
          <w:szCs w:val="24"/>
          <w:color w:val="auto"/>
        </w:rPr>
      </w:pPr>
    </w:p>
    <w:tbl>
      <w:tblPr>
        <w:tblLayout w:type="fixed"/>
        <w:tblInd w:w="380" w:type="dxa"/>
        <w:tblCellMar>
          <w:top w:w="0" w:type="dxa"/>
          <w:left w:w="0" w:type="dxa"/>
          <w:bottom w:w="0" w:type="dxa"/>
          <w:right w:w="0" w:type="dxa"/>
        </w:tblCellMar>
      </w:tblPr>
      <w:tr>
        <w:trPr>
          <w:trHeight w:val="230"/>
        </w:trPr>
        <w:tc>
          <w:tcPr>
            <w:tcW w:w="3540" w:type="dxa"/>
            <w:vAlign w:val="bottom"/>
          </w:tcPr>
          <w:p>
            <w:pPr>
              <w:spacing w:after="0"/>
              <w:rPr>
                <w:sz w:val="19"/>
                <w:szCs w:val="19"/>
                <w:color w:val="auto"/>
              </w:rPr>
            </w:pPr>
          </w:p>
        </w:tc>
        <w:tc>
          <w:tcPr>
            <w:tcW w:w="2680" w:type="dxa"/>
            <w:vAlign w:val="bottom"/>
            <w:gridSpan w:val="3"/>
          </w:tcPr>
          <w:p>
            <w:pPr>
              <w:ind w:left="280"/>
              <w:spacing w:after="0"/>
              <w:rPr>
                <w:sz w:val="20"/>
                <w:szCs w:val="20"/>
                <w:color w:val="auto"/>
              </w:rPr>
            </w:pPr>
            <w:r>
              <w:rPr>
                <w:rFonts w:ascii="Times New Roman" w:cs="Times New Roman" w:eastAsia="Times New Roman" w:hAnsi="Times New Roman"/>
                <w:sz w:val="17"/>
                <w:szCs w:val="17"/>
                <w:b w:val="1"/>
                <w:bCs w:val="1"/>
                <w:color w:val="auto"/>
              </w:rPr>
              <w:t>For the transition period from</w:t>
            </w:r>
          </w:p>
        </w:tc>
        <w:tc>
          <w:tcPr>
            <w:tcW w:w="4600" w:type="dxa"/>
            <w:vAlign w:val="bottom"/>
            <w:gridSpan w:val="3"/>
          </w:tcPr>
          <w:p>
            <w:pPr>
              <w:ind w:left="80"/>
              <w:spacing w:after="0"/>
              <w:rPr>
                <w:sz w:val="20"/>
                <w:szCs w:val="20"/>
                <w:color w:val="auto"/>
              </w:rPr>
            </w:pPr>
            <w:r>
              <w:rPr>
                <w:rFonts w:ascii="Times New Roman" w:cs="Times New Roman" w:eastAsia="Times New Roman" w:hAnsi="Times New Roman"/>
                <w:sz w:val="17"/>
                <w:szCs w:val="17"/>
                <w:b w:val="1"/>
                <w:bCs w:val="1"/>
                <w:color w:val="auto"/>
              </w:rPr>
              <w:t>to</w:t>
            </w:r>
          </w:p>
        </w:tc>
      </w:tr>
      <w:tr>
        <w:trPr>
          <w:trHeight w:val="213"/>
        </w:trPr>
        <w:tc>
          <w:tcPr>
            <w:tcW w:w="3540" w:type="dxa"/>
            <w:vAlign w:val="bottom"/>
          </w:tcPr>
          <w:p>
            <w:pPr>
              <w:spacing w:after="0"/>
              <w:rPr>
                <w:sz w:val="18"/>
                <w:szCs w:val="18"/>
                <w:color w:val="auto"/>
              </w:rPr>
            </w:pPr>
          </w:p>
        </w:tc>
        <w:tc>
          <w:tcPr>
            <w:tcW w:w="7280" w:type="dxa"/>
            <w:vAlign w:val="bottom"/>
            <w:gridSpan w:val="6"/>
          </w:tcPr>
          <w:p>
            <w:pPr>
              <w:jc w:val="center"/>
              <w:ind w:right="3788"/>
              <w:spacing w:after="0"/>
              <w:rPr>
                <w:sz w:val="20"/>
                <w:szCs w:val="20"/>
                <w:color w:val="auto"/>
              </w:rPr>
            </w:pPr>
            <w:r>
              <w:rPr>
                <w:rFonts w:ascii="Times New Roman" w:cs="Times New Roman" w:eastAsia="Times New Roman" w:hAnsi="Times New Roman"/>
                <w:sz w:val="17"/>
                <w:szCs w:val="17"/>
                <w:b w:val="1"/>
                <w:bCs w:val="1"/>
                <w:color w:val="auto"/>
              </w:rPr>
              <w:t>Commission file number: 001-37352</w:t>
            </w:r>
          </w:p>
        </w:tc>
      </w:tr>
      <w:tr>
        <w:trPr>
          <w:trHeight w:val="297"/>
        </w:trPr>
        <w:tc>
          <w:tcPr>
            <w:tcW w:w="3540" w:type="dxa"/>
            <w:vAlign w:val="bottom"/>
          </w:tcPr>
          <w:p>
            <w:pPr>
              <w:spacing w:after="0"/>
              <w:rPr>
                <w:sz w:val="24"/>
                <w:szCs w:val="24"/>
                <w:color w:val="auto"/>
              </w:rPr>
            </w:pPr>
          </w:p>
        </w:tc>
        <w:tc>
          <w:tcPr>
            <w:tcW w:w="7280" w:type="dxa"/>
            <w:vAlign w:val="bottom"/>
            <w:gridSpan w:val="6"/>
          </w:tcPr>
          <w:p>
            <w:pPr>
              <w:jc w:val="center"/>
              <w:ind w:right="3808"/>
              <w:spacing w:after="0"/>
              <w:rPr>
                <w:sz w:val="20"/>
                <w:szCs w:val="20"/>
                <w:color w:val="auto"/>
              </w:rPr>
            </w:pPr>
            <w:r>
              <w:rPr>
                <w:rFonts w:ascii="Times New Roman" w:cs="Times New Roman" w:eastAsia="Times New Roman" w:hAnsi="Times New Roman"/>
                <w:sz w:val="24"/>
                <w:szCs w:val="24"/>
                <w:b w:val="1"/>
                <w:bCs w:val="1"/>
                <w:color w:val="auto"/>
              </w:rPr>
              <w:t>Virtu Financial, Inc.</w:t>
            </w:r>
          </w:p>
        </w:tc>
      </w:tr>
      <w:tr>
        <w:trPr>
          <w:trHeight w:val="159"/>
        </w:trPr>
        <w:tc>
          <w:tcPr>
            <w:tcW w:w="3540" w:type="dxa"/>
            <w:vAlign w:val="bottom"/>
          </w:tcPr>
          <w:p>
            <w:pPr>
              <w:spacing w:after="0"/>
              <w:rPr>
                <w:sz w:val="13"/>
                <w:szCs w:val="13"/>
                <w:color w:val="auto"/>
              </w:rPr>
            </w:pPr>
          </w:p>
        </w:tc>
        <w:tc>
          <w:tcPr>
            <w:tcW w:w="7280" w:type="dxa"/>
            <w:vAlign w:val="bottom"/>
            <w:gridSpan w:val="6"/>
          </w:tcPr>
          <w:p>
            <w:pPr>
              <w:jc w:val="center"/>
              <w:ind w:right="3808"/>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r>
      <w:tr>
        <w:trPr>
          <w:trHeight w:val="256"/>
        </w:trPr>
        <w:tc>
          <w:tcPr>
            <w:tcW w:w="3540" w:type="dxa"/>
            <w:vAlign w:val="bottom"/>
          </w:tcPr>
          <w:p>
            <w:pPr>
              <w:jc w:val="center"/>
              <w:ind w:left="1266"/>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600" w:type="dxa"/>
            <w:vAlign w:val="bottom"/>
            <w:gridSpan w:val="3"/>
          </w:tcPr>
          <w:p>
            <w:pPr>
              <w:jc w:val="right"/>
              <w:ind w:right="2288"/>
              <w:spacing w:after="0"/>
              <w:rPr>
                <w:sz w:val="20"/>
                <w:szCs w:val="20"/>
                <w:color w:val="auto"/>
              </w:rPr>
            </w:pPr>
            <w:r>
              <w:rPr>
                <w:rFonts w:ascii="Times New Roman" w:cs="Times New Roman" w:eastAsia="Times New Roman" w:hAnsi="Times New Roman"/>
                <w:sz w:val="17"/>
                <w:szCs w:val="17"/>
                <w:b w:val="1"/>
                <w:bCs w:val="1"/>
                <w:color w:val="auto"/>
              </w:rPr>
              <w:t>32-0420206</w:t>
            </w:r>
          </w:p>
        </w:tc>
      </w:tr>
      <w:tr>
        <w:trPr>
          <w:trHeight w:val="182"/>
        </w:trPr>
        <w:tc>
          <w:tcPr>
            <w:tcW w:w="6220" w:type="dxa"/>
            <w:vAlign w:val="bottom"/>
            <w:gridSpan w:val="4"/>
          </w:tcPr>
          <w:p>
            <w:pPr>
              <w:jc w:val="center"/>
              <w:ind w:right="1266"/>
              <w:spacing w:after="0"/>
              <w:rPr>
                <w:sz w:val="20"/>
                <w:szCs w:val="20"/>
                <w:color w:val="auto"/>
              </w:rPr>
            </w:pPr>
            <w:r>
              <w:rPr>
                <w:rFonts w:ascii="Times New Roman" w:cs="Times New Roman" w:eastAsia="Times New Roman" w:hAnsi="Times New Roman"/>
                <w:sz w:val="14"/>
                <w:szCs w:val="14"/>
                <w:color w:val="auto"/>
                <w:w w:val="99"/>
              </w:rPr>
              <w:t>(State or other jurisdiction of incorporation or organization)</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Pr>
          <w:p>
            <w:pPr>
              <w:jc w:val="center"/>
              <w:ind w:right="1428"/>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550"/>
        </w:trPr>
        <w:tc>
          <w:tcPr>
            <w:tcW w:w="3540" w:type="dxa"/>
            <w:vAlign w:val="bottom"/>
          </w:tcPr>
          <w:p>
            <w:pPr>
              <w:jc w:val="center"/>
              <w:ind w:left="2186"/>
              <w:spacing w:after="0"/>
              <w:rPr>
                <w:sz w:val="20"/>
                <w:szCs w:val="20"/>
                <w:color w:val="auto"/>
              </w:rPr>
            </w:pPr>
            <w:r>
              <w:rPr>
                <w:rFonts w:ascii="Times New Roman" w:cs="Times New Roman" w:eastAsia="Times New Roman" w:hAnsi="Times New Roman"/>
                <w:sz w:val="14"/>
                <w:szCs w:val="14"/>
                <w:b w:val="1"/>
                <w:bCs w:val="1"/>
                <w:color w:val="auto"/>
                <w:w w:val="98"/>
              </w:rPr>
              <w:t>1633 Broadway</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96"/>
        </w:trPr>
        <w:tc>
          <w:tcPr>
            <w:tcW w:w="354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w w:val="97"/>
              </w:rPr>
              <w:t>New York, New York</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600" w:type="dxa"/>
            <w:vAlign w:val="bottom"/>
            <w:gridSpan w:val="3"/>
          </w:tcPr>
          <w:p>
            <w:pPr>
              <w:jc w:val="right"/>
              <w:ind w:right="2988"/>
              <w:spacing w:after="0"/>
              <w:rPr>
                <w:sz w:val="20"/>
                <w:szCs w:val="20"/>
                <w:color w:val="auto"/>
              </w:rPr>
            </w:pPr>
            <w:r>
              <w:rPr>
                <w:rFonts w:ascii="Times New Roman" w:cs="Times New Roman" w:eastAsia="Times New Roman" w:hAnsi="Times New Roman"/>
                <w:sz w:val="14"/>
                <w:szCs w:val="14"/>
                <w:b w:val="1"/>
                <w:bCs w:val="1"/>
                <w:color w:val="auto"/>
              </w:rPr>
              <w:t>10019</w:t>
            </w:r>
          </w:p>
        </w:tc>
      </w:tr>
      <w:tr>
        <w:trPr>
          <w:trHeight w:val="196"/>
        </w:trPr>
        <w:tc>
          <w:tcPr>
            <w:tcW w:w="6220" w:type="dxa"/>
            <w:vAlign w:val="bottom"/>
            <w:gridSpan w:val="4"/>
          </w:tcPr>
          <w:p>
            <w:pPr>
              <w:jc w:val="center"/>
              <w:ind w:right="326"/>
              <w:spacing w:after="0"/>
              <w:rPr>
                <w:sz w:val="20"/>
                <w:szCs w:val="20"/>
                <w:color w:val="auto"/>
              </w:rPr>
            </w:pPr>
            <w:r>
              <w:rPr>
                <w:rFonts w:ascii="Times New Roman" w:cs="Times New Roman" w:eastAsia="Times New Roman" w:hAnsi="Times New Roman"/>
                <w:sz w:val="14"/>
                <w:szCs w:val="14"/>
                <w:color w:val="auto"/>
                <w:w w:val="99"/>
              </w:rPr>
              <w:t>(Address of principal executive offices)</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Pr>
          <w:p>
            <w:pPr>
              <w:jc w:val="center"/>
              <w:ind w:right="2328"/>
              <w:spacing w:after="0"/>
              <w:rPr>
                <w:sz w:val="20"/>
                <w:szCs w:val="20"/>
                <w:color w:val="auto"/>
              </w:rPr>
            </w:pPr>
            <w:r>
              <w:rPr>
                <w:rFonts w:ascii="Times New Roman" w:cs="Times New Roman" w:eastAsia="Times New Roman" w:hAnsi="Times New Roman"/>
                <w:sz w:val="14"/>
                <w:szCs w:val="14"/>
                <w:color w:val="auto"/>
              </w:rPr>
              <w:t>(Zip Code)</w:t>
            </w:r>
          </w:p>
        </w:tc>
      </w:tr>
      <w:tr>
        <w:trPr>
          <w:trHeight w:val="425"/>
        </w:trPr>
        <w:tc>
          <w:tcPr>
            <w:tcW w:w="3540" w:type="dxa"/>
            <w:vAlign w:val="bottom"/>
          </w:tcPr>
          <w:p>
            <w:pPr>
              <w:spacing w:after="0"/>
              <w:rPr>
                <w:sz w:val="24"/>
                <w:szCs w:val="24"/>
                <w:color w:val="auto"/>
              </w:rPr>
            </w:pPr>
          </w:p>
        </w:tc>
        <w:tc>
          <w:tcPr>
            <w:tcW w:w="2680" w:type="dxa"/>
            <w:vAlign w:val="bottom"/>
            <w:gridSpan w:val="3"/>
          </w:tcPr>
          <w:p>
            <w:pPr>
              <w:jc w:val="center"/>
              <w:ind w:left="655"/>
              <w:spacing w:after="0"/>
              <w:rPr>
                <w:sz w:val="20"/>
                <w:szCs w:val="20"/>
                <w:color w:val="auto"/>
              </w:rPr>
            </w:pPr>
            <w:r>
              <w:rPr>
                <w:rFonts w:ascii="Times New Roman" w:cs="Times New Roman" w:eastAsia="Times New Roman" w:hAnsi="Times New Roman"/>
                <w:sz w:val="16"/>
                <w:szCs w:val="16"/>
                <w:b w:val="1"/>
                <w:bCs w:val="1"/>
                <w:color w:val="auto"/>
                <w:w w:val="97"/>
              </w:rPr>
              <w:t>(212) 418-0100</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23"/>
        </w:trPr>
        <w:tc>
          <w:tcPr>
            <w:tcW w:w="3540" w:type="dxa"/>
            <w:vAlign w:val="bottom"/>
          </w:tcPr>
          <w:p>
            <w:pPr>
              <w:spacing w:after="0"/>
              <w:rPr>
                <w:sz w:val="19"/>
                <w:szCs w:val="19"/>
                <w:color w:val="auto"/>
              </w:rPr>
            </w:pPr>
          </w:p>
        </w:tc>
        <w:tc>
          <w:tcPr>
            <w:tcW w:w="7280" w:type="dxa"/>
            <w:vAlign w:val="bottom"/>
            <w:gridSpan w:val="6"/>
          </w:tcPr>
          <w:p>
            <w:pPr>
              <w:jc w:val="center"/>
              <w:ind w:right="3828"/>
              <w:spacing w:after="0"/>
              <w:rPr>
                <w:sz w:val="20"/>
                <w:szCs w:val="20"/>
                <w:color w:val="auto"/>
              </w:rPr>
            </w:pPr>
            <w:r>
              <w:rPr>
                <w:rFonts w:ascii="Times New Roman" w:cs="Times New Roman" w:eastAsia="Times New Roman" w:hAnsi="Times New Roman"/>
                <w:sz w:val="16"/>
                <w:szCs w:val="16"/>
                <w:color w:val="auto"/>
                <w:w w:val="98"/>
              </w:rPr>
              <w:t>(Registrant’s telephone number, including area code)</w:t>
            </w:r>
          </w:p>
        </w:tc>
      </w:tr>
      <w:tr>
        <w:trPr>
          <w:trHeight w:val="223"/>
        </w:trPr>
        <w:tc>
          <w:tcPr>
            <w:tcW w:w="3540" w:type="dxa"/>
            <w:vAlign w:val="bottom"/>
          </w:tcPr>
          <w:p>
            <w:pPr>
              <w:spacing w:after="0"/>
              <w:rPr>
                <w:sz w:val="19"/>
                <w:szCs w:val="19"/>
                <w:color w:val="auto"/>
              </w:rPr>
            </w:pPr>
          </w:p>
        </w:tc>
        <w:tc>
          <w:tcPr>
            <w:tcW w:w="7280" w:type="dxa"/>
            <w:vAlign w:val="bottom"/>
            <w:gridSpan w:val="6"/>
          </w:tcPr>
          <w:p>
            <w:pPr>
              <w:ind w:left="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190"/>
        </w:trPr>
        <w:tc>
          <w:tcPr>
            <w:tcW w:w="354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w w:val="98"/>
              </w:rPr>
              <w:t>Trading symbol(s)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3"/>
        </w:trPr>
        <w:tc>
          <w:tcPr>
            <w:tcW w:w="3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0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6"/>
                <w:szCs w:val="16"/>
                <w:color w:val="auto"/>
                <w:w w:val="96"/>
              </w:rPr>
              <w:t>VIRT</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New York Stock Exchange</w:t>
            </w:r>
          </w:p>
        </w:tc>
      </w:tr>
    </w:tbl>
    <w:p>
      <w:pPr>
        <w:spacing w:after="0" w:line="91" w:lineRule="exact"/>
        <w:rPr>
          <w:sz w:val="24"/>
          <w:szCs w:val="24"/>
          <w:color w:val="auto"/>
        </w:rPr>
      </w:pPr>
    </w:p>
    <w:p>
      <w:pPr>
        <w:jc w:val="both"/>
        <w:ind w:right="180" w:firstLine="314"/>
        <w:spacing w:after="0" w:line="270" w:lineRule="auto"/>
        <w:rPr>
          <w:sz w:val="20"/>
          <w:szCs w:val="20"/>
          <w:color w:val="auto"/>
        </w:rPr>
      </w:pPr>
      <w:r>
        <w:rPr>
          <w:rFonts w:ascii="Times New Roman" w:cs="Times New Roman" w:eastAsia="Times New Roman" w:hAnsi="Times New Roman"/>
          <w:sz w:val="15"/>
          <w:szCs w:val="15"/>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00" w:hanging="195"/>
        <w:spacing w:after="0" w:line="184" w:lineRule="exact"/>
        <w:tabs>
          <w:tab w:leader="none" w:pos="2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82" w:lineRule="exact"/>
        <w:rPr>
          <w:sz w:val="24"/>
          <w:szCs w:val="24"/>
          <w:color w:val="auto"/>
        </w:rPr>
      </w:pPr>
    </w:p>
    <w:p>
      <w:pPr>
        <w:ind w:right="520" w:firstLine="314"/>
        <w:spacing w:after="0" w:line="22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 w:lineRule="exact"/>
        <w:rPr>
          <w:sz w:val="24"/>
          <w:szCs w:val="24"/>
          <w:color w:val="auto"/>
        </w:rPr>
      </w:pPr>
    </w:p>
    <w:p>
      <w:pPr>
        <w:ind w:right="260" w:firstLine="314"/>
        <w:spacing w:after="0" w:line="32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p>
      <w:pPr>
        <w:jc w:val="right"/>
        <w:ind w:left="1180" w:right="880"/>
        <w:spacing w:after="0" w:line="276"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24"/>
          <w:szCs w:val="24"/>
          <w:color w:val="auto"/>
          <w:vertAlign w:val="superscript"/>
        </w:rPr>
        <w:t>☒</w:t>
      </w:r>
      <w:r>
        <w:rPr>
          <w:rFonts w:ascii="Times New Roman" w:cs="Times New Roman" w:eastAsia="Times New Roman" w:hAnsi="Times New Roman"/>
          <w:sz w:val="14"/>
          <w:szCs w:val="14"/>
          <w:color w:val="auto"/>
        </w:rPr>
        <w:t xml:space="preserve">               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Emerging growth company </w:t>
      </w:r>
      <w:r>
        <w:rPr>
          <w:rFonts w:ascii="MS PGothic" w:cs="MS PGothic" w:eastAsia="MS PGothic" w:hAnsi="MS PGothic"/>
          <w:sz w:val="14"/>
          <w:szCs w:val="14"/>
          <w:color w:val="auto"/>
        </w:rPr>
        <w:t>☐</w:t>
      </w:r>
    </w:p>
    <w:p>
      <w:pPr>
        <w:spacing w:after="0" w:line="397" w:lineRule="exact"/>
        <w:rPr>
          <w:sz w:val="24"/>
          <w:szCs w:val="24"/>
          <w:color w:val="auto"/>
        </w:rPr>
      </w:pPr>
    </w:p>
    <w:p>
      <w:pPr>
        <w:ind w:right="100" w:firstLine="314"/>
        <w:spacing w:after="0" w:line="20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6"/>
          <w:szCs w:val="16"/>
          <w:color w:val="auto"/>
        </w:rPr>
        <w:t>☐</w:t>
      </w: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6" w:lineRule="exact"/>
        <w:rPr>
          <w:sz w:val="24"/>
          <w:szCs w:val="24"/>
          <w:color w:val="auto"/>
        </w:rPr>
      </w:pPr>
    </w:p>
    <w:tbl>
      <w:tblPr>
        <w:tblLayout w:type="fixed"/>
        <w:tblInd w:w="480" w:type="dxa"/>
        <w:tblCellMar>
          <w:top w:w="0" w:type="dxa"/>
          <w:left w:w="0" w:type="dxa"/>
          <w:bottom w:w="0" w:type="dxa"/>
          <w:right w:w="0" w:type="dxa"/>
        </w:tblCellMar>
      </w:tblPr>
      <w:tr>
        <w:trPr>
          <w:trHeight w:val="161"/>
        </w:trPr>
        <w:tc>
          <w:tcPr>
            <w:tcW w:w="2180" w:type="dxa"/>
            <w:vAlign w:val="bottom"/>
          </w:tcPr>
          <w:p>
            <w:pPr>
              <w:spacing w:after="0"/>
              <w:rPr>
                <w:sz w:val="13"/>
                <w:szCs w:val="13"/>
                <w:color w:val="auto"/>
              </w:rPr>
            </w:pPr>
          </w:p>
        </w:tc>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Class of Stock</w:t>
            </w:r>
          </w:p>
        </w:tc>
        <w:tc>
          <w:tcPr>
            <w:tcW w:w="20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Shares outstanding as of April</w:t>
            </w: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4400" w:type="dxa"/>
            <w:vAlign w:val="bottom"/>
            <w:gridSpan w:val="2"/>
            <w:vMerge w:val="continue"/>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24, 2026</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A common stock, par value $0.00001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87,024,431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1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Class C common stock, par value $0.00001 per share</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7,970,185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18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Class D common stock, par value $0.00001 per share</w:t>
            </w: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60,091,740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2180" w:type="dxa"/>
            <w:vAlign w:val="bottom"/>
            <w:tcBorders>
              <w:bottom w:val="single" w:sz="8" w:color="auto"/>
            </w:tcBorders>
          </w:tcPr>
          <w:p>
            <w:pPr>
              <w:spacing w:after="0"/>
              <w:rPr>
                <w:sz w:val="22"/>
                <w:szCs w:val="22"/>
                <w:color w:val="auto"/>
              </w:rPr>
            </w:pPr>
          </w:p>
        </w:tc>
        <w:tc>
          <w:tcPr>
            <w:tcW w:w="4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60"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INDEX TO FORM 10-Q</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FOR THE QUARTER ENDED March 31, 2026</w:t>
      </w: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1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8"/>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1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406"/>
        </w:trPr>
        <w:tc>
          <w:tcPr>
            <w:tcW w:w="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PART I -</w:t>
            </w:r>
          </w:p>
        </w:tc>
        <w:tc>
          <w:tcPr>
            <w:tcW w:w="760" w:type="dxa"/>
            <w:vAlign w:val="bottom"/>
            <w:gridSpan w:val="2"/>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FINANCIAL INFORMATION</w:t>
            </w:r>
          </w:p>
        </w:tc>
        <w:tc>
          <w:tcPr>
            <w:tcW w:w="1160" w:type="dxa"/>
            <w:vAlign w:val="bottom"/>
          </w:tcPr>
          <w:p>
            <w:pPr>
              <w:spacing w:after="0"/>
              <w:rPr>
                <w:sz w:val="24"/>
                <w:szCs w:val="24"/>
                <w:color w:val="auto"/>
              </w:rPr>
            </w:pPr>
          </w:p>
        </w:tc>
      </w:tr>
      <w:tr>
        <w:trPr>
          <w:trHeight w:val="425"/>
        </w:trPr>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1.</w:t>
            </w:r>
          </w:p>
        </w:tc>
        <w:tc>
          <w:tcPr>
            <w:tcW w:w="120" w:type="dxa"/>
            <w:vAlign w:val="bottom"/>
            <w:tcBorders>
              <w:top w:val="single" w:sz="8" w:color="0000FF"/>
            </w:tcBorders>
          </w:tcPr>
          <w:p>
            <w:pPr>
              <w:spacing w:after="0"/>
              <w:rPr>
                <w:sz w:val="24"/>
                <w:szCs w:val="24"/>
                <w:color w:val="auto"/>
              </w:rPr>
            </w:pPr>
          </w:p>
        </w:tc>
        <w:tc>
          <w:tcPr>
            <w:tcW w:w="760" w:type="dxa"/>
            <w:vAlign w:val="bottom"/>
            <w:gridSpan w:val="2"/>
          </w:tcPr>
          <w:p>
            <w:pPr>
              <w:spacing w:after="0"/>
              <w:rPr>
                <w:sz w:val="24"/>
                <w:szCs w:val="24"/>
                <w:color w:val="auto"/>
              </w:rPr>
            </w:pPr>
          </w:p>
        </w:tc>
        <w:tc>
          <w:tcPr>
            <w:tcW w:w="14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720" w:type="dxa"/>
            <w:vAlign w:val="bottom"/>
            <w:tcBorders>
              <w:top w:val="single" w:sz="8" w:color="0000FF"/>
            </w:tcBorders>
            <w:gridSpan w:val="3"/>
          </w:tcPr>
          <w:p>
            <w:pPr>
              <w:spacing w:after="0"/>
              <w:rPr>
                <w:sz w:val="24"/>
                <w:szCs w:val="24"/>
                <w:color w:val="auto"/>
              </w:rPr>
            </w:pPr>
          </w:p>
        </w:tc>
        <w:tc>
          <w:tcPr>
            <w:tcW w:w="6380" w:type="dxa"/>
            <w:vAlign w:val="bottom"/>
            <w:gridSpan w:val="10"/>
          </w:tcPr>
          <w:p>
            <w:pPr>
              <w:spacing w:after="0"/>
              <w:rPr>
                <w:sz w:val="24"/>
                <w:szCs w:val="24"/>
                <w:color w:val="auto"/>
              </w:rPr>
            </w:pPr>
          </w:p>
        </w:tc>
        <w:tc>
          <w:tcPr>
            <w:tcW w:w="1160" w:type="dxa"/>
            <w:vAlign w:val="bottom"/>
          </w:tcPr>
          <w:p>
            <w:pPr>
              <w:spacing w:after="0"/>
              <w:rPr>
                <w:sz w:val="24"/>
                <w:szCs w:val="24"/>
                <w:color w:val="auto"/>
              </w:rPr>
            </w:pPr>
          </w:p>
        </w:tc>
      </w:tr>
      <w:tr>
        <w:trPr>
          <w:trHeight w:val="42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Financial Condition (Unaudited)</w:t>
            </w:r>
          </w:p>
        </w:tc>
        <w:tc>
          <w:tcPr>
            <w:tcW w:w="3500" w:type="dxa"/>
            <w:vAlign w:val="bottom"/>
            <w:gridSpan w:val="3"/>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3</w:t>
            </w: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(Unaudited)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w:t>
            </w: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96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Equity (Unaudited)</w:t>
            </w:r>
          </w:p>
        </w:tc>
        <w:tc>
          <w:tcPr>
            <w:tcW w:w="360" w:type="dxa"/>
            <w:vAlign w:val="bottom"/>
            <w:tcBorders>
              <w:top w:val="single" w:sz="8" w:color="0000FF"/>
            </w:tcBorders>
            <w:gridSpan w:val="2"/>
          </w:tcPr>
          <w:p>
            <w:pPr>
              <w:spacing w:after="0"/>
              <w:rPr>
                <w:sz w:val="17"/>
                <w:szCs w:val="17"/>
                <w:color w:val="auto"/>
              </w:rPr>
            </w:pPr>
          </w:p>
        </w:tc>
        <w:tc>
          <w:tcPr>
            <w:tcW w:w="3240" w:type="dxa"/>
            <w:vAlign w:val="bottom"/>
            <w:gridSpan w:val="2"/>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6</w:t>
            </w: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3"/>
        </w:trPr>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7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3800" w:type="dxa"/>
            <w:vAlign w:val="bottom"/>
            <w:gridSpan w:val="5"/>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9</w:t>
            </w:r>
          </w:p>
        </w:tc>
      </w:tr>
      <w:tr>
        <w:trPr>
          <w:trHeight w:val="425"/>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Item 2.</w:t>
            </w:r>
          </w:p>
        </w:tc>
        <w:tc>
          <w:tcPr>
            <w:tcW w:w="880" w:type="dxa"/>
            <w:vAlign w:val="bottom"/>
            <w:gridSpan w:val="3"/>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46</w:t>
            </w:r>
          </w:p>
        </w:tc>
      </w:tr>
      <w:tr>
        <w:trPr>
          <w:trHeight w:val="425"/>
        </w:trPr>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3.</w:t>
            </w:r>
          </w:p>
        </w:tc>
        <w:tc>
          <w:tcPr>
            <w:tcW w:w="880" w:type="dxa"/>
            <w:vAlign w:val="bottom"/>
            <w:gridSpan w:val="3"/>
          </w:tcPr>
          <w:p>
            <w:pPr>
              <w:spacing w:after="0"/>
              <w:rPr>
                <w:sz w:val="24"/>
                <w:szCs w:val="24"/>
                <w:color w:val="auto"/>
              </w:rPr>
            </w:pPr>
          </w:p>
        </w:tc>
        <w:tc>
          <w:tcPr>
            <w:tcW w:w="424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20" w:type="dxa"/>
            <w:vAlign w:val="bottom"/>
            <w:tcBorders>
              <w:top w:val="single" w:sz="8" w:color="0000FF"/>
            </w:tcBorders>
            <w:gridSpan w:val="6"/>
          </w:tcPr>
          <w:p>
            <w:pPr>
              <w:spacing w:after="0"/>
              <w:rPr>
                <w:sz w:val="24"/>
                <w:szCs w:val="24"/>
                <w:color w:val="auto"/>
              </w:rPr>
            </w:pPr>
          </w:p>
        </w:tc>
        <w:tc>
          <w:tcPr>
            <w:tcW w:w="2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73</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4.</w:t>
            </w:r>
          </w:p>
        </w:tc>
        <w:tc>
          <w:tcPr>
            <w:tcW w:w="880" w:type="dxa"/>
            <w:vAlign w:val="bottom"/>
            <w:gridSpan w:val="3"/>
          </w:tcPr>
          <w:p>
            <w:pPr>
              <w:spacing w:after="0"/>
              <w:rPr>
                <w:sz w:val="24"/>
                <w:szCs w:val="24"/>
                <w:color w:val="auto"/>
              </w:rPr>
            </w:pPr>
          </w:p>
        </w:tc>
        <w:tc>
          <w:tcPr>
            <w:tcW w:w="1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6840" w:type="dxa"/>
            <w:vAlign w:val="bottom"/>
            <w:gridSpan w:val="12"/>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75</w:t>
            </w:r>
          </w:p>
        </w:tc>
      </w:tr>
      <w:tr>
        <w:trPr>
          <w:trHeight w:val="425"/>
        </w:trPr>
        <w:tc>
          <w:tcPr>
            <w:tcW w:w="7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PART II -</w:t>
            </w:r>
          </w:p>
        </w:tc>
        <w:tc>
          <w:tcPr>
            <w:tcW w:w="700" w:type="dxa"/>
            <w:vAlign w:val="bottom"/>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1160" w:type="dxa"/>
            <w:vAlign w:val="bottom"/>
          </w:tcPr>
          <w:p>
            <w:pPr>
              <w:spacing w:after="0"/>
              <w:rPr>
                <w:sz w:val="24"/>
                <w:szCs w:val="24"/>
                <w:color w:val="auto"/>
              </w:rPr>
            </w:pPr>
          </w:p>
        </w:tc>
      </w:tr>
      <w:tr>
        <w:trPr>
          <w:trHeight w:val="425"/>
        </w:trPr>
        <w:tc>
          <w:tcPr>
            <w:tcW w:w="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1.</w:t>
            </w:r>
          </w:p>
        </w:tc>
        <w:tc>
          <w:tcPr>
            <w:tcW w:w="180" w:type="dxa"/>
            <w:vAlign w:val="bottom"/>
            <w:tcBorders>
              <w:top w:val="single" w:sz="8" w:color="0000FF"/>
            </w:tcBorders>
            <w:gridSpan w:val="2"/>
          </w:tcPr>
          <w:p>
            <w:pPr>
              <w:spacing w:after="0"/>
              <w:rPr>
                <w:sz w:val="24"/>
                <w:szCs w:val="24"/>
                <w:color w:val="auto"/>
              </w:rPr>
            </w:pPr>
          </w:p>
        </w:tc>
        <w:tc>
          <w:tcPr>
            <w:tcW w:w="700" w:type="dxa"/>
            <w:vAlign w:val="bottom"/>
          </w:tcPr>
          <w:p>
            <w:pPr>
              <w:spacing w:after="0"/>
              <w:rPr>
                <w:sz w:val="24"/>
                <w:szCs w:val="24"/>
                <w:color w:val="auto"/>
              </w:rPr>
            </w:pPr>
          </w:p>
        </w:tc>
        <w:tc>
          <w:tcPr>
            <w:tcW w:w="13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520" w:type="dxa"/>
            <w:vAlign w:val="bottom"/>
            <w:tcBorders>
              <w:top w:val="single" w:sz="8" w:color="0000FF"/>
            </w:tcBorders>
            <w:gridSpan w:val="3"/>
          </w:tcPr>
          <w:p>
            <w:pPr>
              <w:spacing w:after="0"/>
              <w:rPr>
                <w:sz w:val="24"/>
                <w:szCs w:val="24"/>
                <w:color w:val="auto"/>
              </w:rPr>
            </w:pPr>
          </w:p>
        </w:tc>
        <w:tc>
          <w:tcPr>
            <w:tcW w:w="6740" w:type="dxa"/>
            <w:vAlign w:val="bottom"/>
            <w:gridSpan w:val="11"/>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w:t>
            </w:r>
          </w:p>
        </w:tc>
      </w:tr>
      <w:tr>
        <w:trPr>
          <w:trHeight w:val="425"/>
        </w:trPr>
        <w:tc>
          <w:tcPr>
            <w:tcW w:w="6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Item 1A.</w:t>
            </w:r>
          </w:p>
        </w:tc>
        <w:tc>
          <w:tcPr>
            <w:tcW w:w="760" w:type="dxa"/>
            <w:vAlign w:val="bottom"/>
            <w:gridSpan w:val="2"/>
          </w:tcPr>
          <w:p>
            <w:pPr>
              <w:spacing w:after="0"/>
              <w:rPr>
                <w:sz w:val="24"/>
                <w:szCs w:val="24"/>
                <w:color w:val="auto"/>
              </w:rPr>
            </w:pPr>
          </w:p>
        </w:tc>
        <w:tc>
          <w:tcPr>
            <w:tcW w:w="8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7680" w:type="dxa"/>
            <w:vAlign w:val="bottom"/>
            <w:gridSpan w:val="17"/>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2.</w:t>
            </w:r>
          </w:p>
        </w:tc>
        <w:tc>
          <w:tcPr>
            <w:tcW w:w="880" w:type="dxa"/>
            <w:vAlign w:val="bottom"/>
            <w:gridSpan w:val="3"/>
          </w:tcPr>
          <w:p>
            <w:pPr>
              <w:spacing w:after="0"/>
              <w:rPr>
                <w:sz w:val="24"/>
                <w:szCs w:val="24"/>
                <w:color w:val="auto"/>
              </w:rPr>
            </w:pPr>
          </w:p>
        </w:tc>
        <w:tc>
          <w:tcPr>
            <w:tcW w:w="42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4340" w:type="dxa"/>
            <w:vAlign w:val="bottom"/>
            <w:gridSpan w:val="8"/>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76</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3.</w:t>
            </w:r>
          </w:p>
        </w:tc>
        <w:tc>
          <w:tcPr>
            <w:tcW w:w="880" w:type="dxa"/>
            <w:vAlign w:val="bottom"/>
            <w:gridSpan w:val="3"/>
          </w:tcPr>
          <w:p>
            <w:pPr>
              <w:spacing w:after="0"/>
              <w:rPr>
                <w:sz w:val="24"/>
                <w:szCs w:val="24"/>
                <w:color w:val="auto"/>
              </w:rPr>
            </w:pPr>
          </w:p>
        </w:tc>
        <w:tc>
          <w:tcPr>
            <w:tcW w:w="22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Defaults Upon Senior Securities</w:t>
            </w:r>
          </w:p>
        </w:tc>
        <w:tc>
          <w:tcPr>
            <w:tcW w:w="6300" w:type="dxa"/>
            <w:vAlign w:val="bottom"/>
            <w:gridSpan w:val="9"/>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4.</w:t>
            </w:r>
          </w:p>
        </w:tc>
        <w:tc>
          <w:tcPr>
            <w:tcW w:w="880" w:type="dxa"/>
            <w:vAlign w:val="bottom"/>
            <w:gridSpan w:val="3"/>
          </w:tcPr>
          <w:p>
            <w:pPr>
              <w:spacing w:after="0"/>
              <w:rPr>
                <w:sz w:val="24"/>
                <w:szCs w:val="24"/>
                <w:color w:val="auto"/>
              </w:rPr>
            </w:pPr>
          </w:p>
        </w:tc>
        <w:tc>
          <w:tcPr>
            <w:tcW w:w="1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6840" w:type="dxa"/>
            <w:vAlign w:val="bottom"/>
            <w:gridSpan w:val="12"/>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5.</w:t>
            </w:r>
          </w:p>
        </w:tc>
        <w:tc>
          <w:tcPr>
            <w:tcW w:w="880" w:type="dxa"/>
            <w:vAlign w:val="bottom"/>
            <w:gridSpan w:val="3"/>
          </w:tcPr>
          <w:p>
            <w:pPr>
              <w:spacing w:after="0"/>
              <w:rPr>
                <w:sz w:val="24"/>
                <w:szCs w:val="24"/>
                <w:color w:val="auto"/>
              </w:rPr>
            </w:pPr>
          </w:p>
        </w:tc>
        <w:tc>
          <w:tcPr>
            <w:tcW w:w="12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7280" w:type="dxa"/>
            <w:vAlign w:val="bottom"/>
            <w:gridSpan w:val="15"/>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77</w:t>
            </w:r>
          </w:p>
        </w:tc>
      </w:tr>
      <w:tr>
        <w:trPr>
          <w:trHeight w:val="425"/>
        </w:trPr>
        <w:tc>
          <w:tcPr>
            <w:tcW w:w="5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Item 6.</w:t>
            </w:r>
          </w:p>
        </w:tc>
        <w:tc>
          <w:tcPr>
            <w:tcW w:w="880" w:type="dxa"/>
            <w:vAlign w:val="bottom"/>
            <w:gridSpan w:val="3"/>
          </w:tcPr>
          <w:p>
            <w:pPr>
              <w:spacing w:after="0"/>
              <w:rPr>
                <w:sz w:val="24"/>
                <w:szCs w:val="24"/>
                <w:color w:val="auto"/>
              </w:rPr>
            </w:pPr>
          </w:p>
        </w:tc>
        <w:tc>
          <w:tcPr>
            <w:tcW w:w="5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8"/>
              </w:rPr>
              <w:t>Exhibits</w:t>
            </w:r>
          </w:p>
        </w:tc>
        <w:tc>
          <w:tcPr>
            <w:tcW w:w="7980" w:type="dxa"/>
            <w:vAlign w:val="bottom"/>
            <w:gridSpan w:val="18"/>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78</w:t>
            </w:r>
          </w:p>
        </w:tc>
      </w:tr>
      <w:tr>
        <w:trPr>
          <w:trHeight w:val="425"/>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79</w:t>
            </w:r>
          </w:p>
        </w:tc>
      </w:tr>
      <w:tr>
        <w:trPr>
          <w:trHeight w:val="20"/>
        </w:trPr>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Index to Condensed Consolidated Financial Statements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220" w:type="dxa"/>
            <w:vAlign w:val="bottom"/>
            <w:gridSpan w:val="3"/>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0"/>
        </w:trPr>
        <w:tc>
          <w:tcPr>
            <w:tcW w:w="4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2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391"/>
        </w:trPr>
        <w:tc>
          <w:tcPr>
            <w:tcW w:w="40" w:type="dxa"/>
            <w:vAlign w:val="bottom"/>
          </w:tcPr>
          <w:p>
            <w:pPr>
              <w:spacing w:after="0"/>
              <w:rPr>
                <w:sz w:val="24"/>
                <w:szCs w:val="24"/>
                <w:color w:val="auto"/>
              </w:rPr>
            </w:pPr>
          </w:p>
        </w:tc>
        <w:tc>
          <w:tcPr>
            <w:tcW w:w="54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Condensed Consolidated Statements of Financial Condition (Unaudited)</w:t>
            </w:r>
          </w:p>
        </w:tc>
        <w:tc>
          <w:tcPr>
            <w:tcW w:w="57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3</w:t>
            </w:r>
          </w:p>
        </w:tc>
      </w:tr>
      <w:tr>
        <w:trPr>
          <w:trHeight w:val="20"/>
        </w:trPr>
        <w:tc>
          <w:tcPr>
            <w:tcW w:w="4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53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(Unaudited)</w:t>
            </w:r>
          </w:p>
        </w:tc>
        <w:tc>
          <w:tcPr>
            <w:tcW w:w="100" w:type="dxa"/>
            <w:vAlign w:val="bottom"/>
          </w:tcPr>
          <w:p>
            <w:pPr>
              <w:spacing w:after="0"/>
              <w:rPr>
                <w:sz w:val="24"/>
                <w:szCs w:val="24"/>
                <w:color w:val="auto"/>
              </w:rPr>
            </w:pPr>
          </w:p>
        </w:tc>
        <w:tc>
          <w:tcPr>
            <w:tcW w:w="57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5</w:t>
            </w:r>
          </w:p>
        </w:tc>
      </w:tr>
      <w:tr>
        <w:trPr>
          <w:trHeight w:val="20"/>
        </w:trPr>
        <w:tc>
          <w:tcPr>
            <w:tcW w:w="4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53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Condensed Consolidated Statements of Changes in Equity (Unaudited)</w:t>
            </w:r>
          </w:p>
        </w:tc>
        <w:tc>
          <w:tcPr>
            <w:tcW w:w="100" w:type="dxa"/>
            <w:vAlign w:val="bottom"/>
          </w:tcPr>
          <w:p>
            <w:pPr>
              <w:spacing w:after="0"/>
              <w:rPr>
                <w:sz w:val="24"/>
                <w:szCs w:val="24"/>
                <w:color w:val="auto"/>
              </w:rPr>
            </w:pPr>
          </w:p>
        </w:tc>
        <w:tc>
          <w:tcPr>
            <w:tcW w:w="57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6</w:t>
            </w:r>
          </w:p>
        </w:tc>
      </w:tr>
      <w:tr>
        <w:trPr>
          <w:trHeight w:val="20"/>
        </w:trPr>
        <w:tc>
          <w:tcPr>
            <w:tcW w:w="4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(Unaudited)</w:t>
            </w:r>
          </w:p>
        </w:tc>
        <w:tc>
          <w:tcPr>
            <w:tcW w:w="460" w:type="dxa"/>
            <w:vAlign w:val="bottom"/>
            <w:gridSpan w:val="2"/>
          </w:tcPr>
          <w:p>
            <w:pPr>
              <w:spacing w:after="0"/>
              <w:rPr>
                <w:sz w:val="24"/>
                <w:szCs w:val="24"/>
                <w:color w:val="auto"/>
              </w:rPr>
            </w:pPr>
          </w:p>
        </w:tc>
        <w:tc>
          <w:tcPr>
            <w:tcW w:w="480" w:type="dxa"/>
            <w:vAlign w:val="bottom"/>
            <w:gridSpan w:val="3"/>
          </w:tcPr>
          <w:p>
            <w:pPr>
              <w:spacing w:after="0"/>
              <w:rPr>
                <w:sz w:val="24"/>
                <w:szCs w:val="24"/>
                <w:color w:val="auto"/>
              </w:rPr>
            </w:pPr>
          </w:p>
        </w:tc>
        <w:tc>
          <w:tcPr>
            <w:tcW w:w="57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7</w:t>
            </w:r>
          </w:p>
        </w:tc>
      </w:tr>
      <w:tr>
        <w:trPr>
          <w:trHeight w:val="20"/>
        </w:trPr>
        <w:tc>
          <w:tcPr>
            <w:tcW w:w="40" w:type="dxa"/>
            <w:vAlign w:val="bottom"/>
          </w:tcPr>
          <w:p>
            <w:pPr>
              <w:spacing w:after="0" w:line="20" w:lineRule="exact"/>
              <w:rPr>
                <w:sz w:val="1"/>
                <w:szCs w:val="1"/>
                <w:color w:val="auto"/>
              </w:rPr>
            </w:pPr>
          </w:p>
        </w:tc>
        <w:tc>
          <w:tcPr>
            <w:tcW w:w="45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564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5"/>
        </w:trPr>
        <w:tc>
          <w:tcPr>
            <w:tcW w:w="40" w:type="dxa"/>
            <w:vAlign w:val="bottom"/>
          </w:tcPr>
          <w:p>
            <w:pPr>
              <w:spacing w:after="0"/>
              <w:rPr>
                <w:sz w:val="24"/>
                <w:szCs w:val="24"/>
                <w:color w:val="auto"/>
              </w:rPr>
            </w:pPr>
          </w:p>
        </w:tc>
        <w:tc>
          <w:tcPr>
            <w:tcW w:w="54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576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0000FF"/>
              </w:rPr>
              <w:t>9</w:t>
            </w:r>
          </w:p>
        </w:tc>
      </w:tr>
      <w:tr>
        <w:trPr>
          <w:trHeight w:val="870"/>
        </w:trPr>
        <w:tc>
          <w:tcPr>
            <w:tcW w:w="40" w:type="dxa"/>
            <w:vAlign w:val="bottom"/>
          </w:tcPr>
          <w:p>
            <w:pPr>
              <w:spacing w:after="0"/>
              <w:rPr>
                <w:sz w:val="24"/>
                <w:szCs w:val="24"/>
                <w:color w:val="auto"/>
              </w:rPr>
            </w:pPr>
          </w:p>
        </w:tc>
        <w:tc>
          <w:tcPr>
            <w:tcW w:w="45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40" w:type="dxa"/>
            <w:vAlign w:val="bottom"/>
          </w:tcPr>
          <w:p>
            <w:pPr>
              <w:jc w:val="right"/>
              <w:ind w:right="4273"/>
              <w:spacing w:after="0"/>
              <w:rPr>
                <w:sz w:val="20"/>
                <w:szCs w:val="20"/>
                <w:color w:val="auto"/>
              </w:rPr>
            </w:pPr>
            <w:r>
              <w:rPr>
                <w:rFonts w:ascii="Times New Roman" w:cs="Times New Roman" w:eastAsia="Times New Roman" w:hAnsi="Times New Roman"/>
                <w:sz w:val="17"/>
                <w:szCs w:val="17"/>
                <w:color w:val="auto"/>
              </w:rPr>
              <w:t>2</w:t>
            </w:r>
          </w:p>
        </w:tc>
        <w:tc>
          <w:tcPr>
            <w:tcW w:w="11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11"/>
        </w:trPr>
        <w:tc>
          <w:tcPr>
            <w:tcW w:w="40" w:type="dxa"/>
            <w:vAlign w:val="bottom"/>
            <w:tcBorders>
              <w:bottom w:val="single" w:sz="8" w:color="9A9A9A"/>
            </w:tcBorders>
          </w:tcPr>
          <w:p>
            <w:pPr>
              <w:spacing w:after="0"/>
              <w:rPr>
                <w:sz w:val="9"/>
                <w:szCs w:val="9"/>
                <w:color w:val="auto"/>
              </w:rPr>
            </w:pPr>
          </w:p>
        </w:tc>
        <w:tc>
          <w:tcPr>
            <w:tcW w:w="45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5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Financial Condition (Unaudited)</w:t>
      </w: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20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3"/>
        </w:trPr>
        <w:tc>
          <w:tcPr>
            <w:tcW w:w="84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973,225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1,061,697</w:t>
            </w:r>
          </w:p>
        </w:tc>
        <w:tc>
          <w:tcPr>
            <w:tcW w:w="0" w:type="dxa"/>
            <w:vAlign w:val="bottom"/>
          </w:tcPr>
          <w:p>
            <w:pPr>
              <w:spacing w:after="0"/>
              <w:rPr>
                <w:sz w:val="1"/>
                <w:szCs w:val="1"/>
                <w:color w:val="auto"/>
              </w:rPr>
            </w:pPr>
          </w:p>
        </w:tc>
      </w:tr>
      <w:tr>
        <w:trPr>
          <w:trHeight w:val="234"/>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Cash restricted or segregated under regulations and other</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64,744</w:t>
            </w:r>
          </w:p>
        </w:tc>
        <w:tc>
          <w:tcPr>
            <w:tcW w:w="0" w:type="dxa"/>
            <w:vAlign w:val="bottom"/>
          </w:tcPr>
          <w:p>
            <w:pPr>
              <w:spacing w:after="0"/>
              <w:rPr>
                <w:sz w:val="1"/>
                <w:szCs w:val="1"/>
                <w:color w:val="auto"/>
              </w:rPr>
            </w:pPr>
          </w:p>
        </w:tc>
      </w:tr>
      <w:tr>
        <w:trPr>
          <w:trHeight w:val="212"/>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borrowed</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3,055,305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3,191,138</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Securities purchased under agreements to resell</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1,644,231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988,929</w:t>
            </w:r>
          </w:p>
        </w:tc>
        <w:tc>
          <w:tcPr>
            <w:tcW w:w="0" w:type="dxa"/>
            <w:vAlign w:val="bottom"/>
          </w:tcPr>
          <w:p>
            <w:pPr>
              <w:spacing w:after="0"/>
              <w:rPr>
                <w:sz w:val="1"/>
                <w:szCs w:val="1"/>
                <w:color w:val="auto"/>
              </w:rPr>
            </w:pPr>
          </w:p>
        </w:tc>
      </w:tr>
      <w:tr>
        <w:trPr>
          <w:trHeight w:val="159"/>
        </w:trPr>
        <w:tc>
          <w:tcPr>
            <w:tcW w:w="8560" w:type="dxa"/>
            <w:vAlign w:val="bottom"/>
            <w:gridSpan w:val="2"/>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Receivables from broker-dealers and clearing organizations ($85,909 and $328,934 at fair value, as of March 31, 2026 and</w:t>
            </w:r>
          </w:p>
        </w:tc>
        <w:tc>
          <w:tcPr>
            <w:tcW w:w="2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3,811,176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1,896,405</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 31, 2025, respectively)</w:t>
            </w: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Trading assets, at fair value:</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Financial instruments owned</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9,604,518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7,343,032</w:t>
            </w:r>
          </w:p>
        </w:tc>
        <w:tc>
          <w:tcPr>
            <w:tcW w:w="0" w:type="dxa"/>
            <w:vAlign w:val="bottom"/>
          </w:tcPr>
          <w:p>
            <w:pPr>
              <w:spacing w:after="0"/>
              <w:rPr>
                <w:sz w:val="1"/>
                <w:szCs w:val="1"/>
                <w:color w:val="auto"/>
              </w:rPr>
            </w:pPr>
          </w:p>
        </w:tc>
      </w:tr>
      <w:tr>
        <w:trPr>
          <w:trHeight w:val="208"/>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Financial instruments owned and pledged</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3,398,669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3,208,525</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Receivables from customers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297,628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161,561</w:t>
            </w:r>
          </w:p>
        </w:tc>
        <w:tc>
          <w:tcPr>
            <w:tcW w:w="0" w:type="dxa"/>
            <w:vAlign w:val="bottom"/>
          </w:tcPr>
          <w:p>
            <w:pPr>
              <w:spacing w:after="0"/>
              <w:rPr>
                <w:sz w:val="1"/>
                <w:szCs w:val="1"/>
                <w:color w:val="auto"/>
              </w:rPr>
            </w:pPr>
          </w:p>
        </w:tc>
      </w:tr>
      <w:tr>
        <w:trPr>
          <w:trHeight w:val="157"/>
        </w:trPr>
        <w:tc>
          <w:tcPr>
            <w:tcW w:w="85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w w:val="99"/>
              </w:rPr>
              <w:t>Property, equipment and capitalized software (net of accumulated depreciation of $451,820 and $437,002 as of March 31, 2026 and</w:t>
            </w:r>
          </w:p>
        </w:tc>
        <w:tc>
          <w:tcPr>
            <w:tcW w:w="2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103,616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96,378</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December 31, 2025, respectively)</w:t>
            </w: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213,707</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1,148,926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1,148,926</w:t>
            </w:r>
          </w:p>
        </w:tc>
        <w:tc>
          <w:tcPr>
            <w:tcW w:w="0" w:type="dxa"/>
            <w:vAlign w:val="bottom"/>
          </w:tcPr>
          <w:p>
            <w:pPr>
              <w:spacing w:after="0"/>
              <w:rPr>
                <w:sz w:val="1"/>
                <w:szCs w:val="1"/>
                <w:color w:val="auto"/>
              </w:rPr>
            </w:pPr>
          </w:p>
        </w:tc>
      </w:tr>
      <w:tr>
        <w:trPr>
          <w:trHeight w:val="159"/>
        </w:trPr>
        <w:tc>
          <w:tcPr>
            <w:tcW w:w="8560" w:type="dxa"/>
            <w:vAlign w:val="bottom"/>
            <w:gridSpan w:val="2"/>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Intangibles (net of accumulated amortization of $487,375 and $475,592 as of March 31, 2026 and December 31, 2025,</w:t>
            </w:r>
          </w:p>
        </w:tc>
        <w:tc>
          <w:tcPr>
            <w:tcW w:w="2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143,148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154,931</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Deferred tax assets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92,422</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($298,391 and $242,121, at fair value, as of March 31, 2026 and December 31, 2025, respectively)</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590,146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528,341</w:t>
            </w:r>
          </w:p>
        </w:tc>
        <w:tc>
          <w:tcPr>
            <w:tcW w:w="0" w:type="dxa"/>
            <w:vAlign w:val="bottom"/>
          </w:tcPr>
          <w:p>
            <w:pPr>
              <w:spacing w:after="0"/>
              <w:rPr>
                <w:sz w:val="1"/>
                <w:szCs w:val="1"/>
                <w:color w:val="auto"/>
              </w:rPr>
            </w:pPr>
          </w:p>
        </w:tc>
      </w:tr>
      <w:tr>
        <w:trPr>
          <w:trHeight w:val="204"/>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25,115,260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20,150,736</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Short-term borrowings</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154,973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12,382</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 loaned</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3,723,360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3,477,831</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Securities sold under agreements to repurchase</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2,214,540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1,405,639</w:t>
            </w:r>
          </w:p>
        </w:tc>
        <w:tc>
          <w:tcPr>
            <w:tcW w:w="0" w:type="dxa"/>
            <w:vAlign w:val="bottom"/>
          </w:tcPr>
          <w:p>
            <w:pPr>
              <w:spacing w:after="0"/>
              <w:rPr>
                <w:sz w:val="1"/>
                <w:szCs w:val="1"/>
                <w:color w:val="auto"/>
              </w:rPr>
            </w:pPr>
          </w:p>
        </w:tc>
      </w:tr>
      <w:tr>
        <w:trPr>
          <w:trHeight w:val="159"/>
        </w:trPr>
        <w:tc>
          <w:tcPr>
            <w:tcW w:w="8560" w:type="dxa"/>
            <w:vAlign w:val="bottom"/>
            <w:gridSpan w:val="2"/>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Payables to broker-dealers and clearing organizations ($245,868 and $181,272, at fair value, as of March 31, 2026 and December</w:t>
            </w:r>
          </w:p>
        </w:tc>
        <w:tc>
          <w:tcPr>
            <w:tcW w:w="2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1,401,039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998,276</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31, 2025, respectively)</w:t>
            </w: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Payables to customers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43,103</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Trading liabilities, at fair value:</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Financial instruments sold, not yet purchased</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12,347,691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9,105,263</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receivable agreement obligations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181,855</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568,457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652,352</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261,169</w:t>
            </w:r>
          </w:p>
        </w:tc>
        <w:tc>
          <w:tcPr>
            <w:tcW w:w="0" w:type="dxa"/>
            <w:vAlign w:val="bottom"/>
          </w:tcPr>
          <w:p>
            <w:pPr>
              <w:spacing w:after="0"/>
              <w:rPr>
                <w:sz w:val="1"/>
                <w:szCs w:val="1"/>
                <w:color w:val="auto"/>
              </w:rPr>
            </w:pPr>
          </w:p>
        </w:tc>
      </w:tr>
      <w:tr>
        <w:trPr>
          <w:trHeight w:val="208"/>
        </w:trPr>
        <w:tc>
          <w:tcPr>
            <w:tcW w:w="85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Long-term borrowings</w:t>
            </w: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2,025,112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2,039,463</w:t>
            </w:r>
          </w:p>
        </w:tc>
        <w:tc>
          <w:tcPr>
            <w:tcW w:w="0" w:type="dxa"/>
            <w:vAlign w:val="bottom"/>
          </w:tcPr>
          <w:p>
            <w:pPr>
              <w:spacing w:after="0"/>
              <w:rPr>
                <w:sz w:val="1"/>
                <w:szCs w:val="1"/>
                <w:color w:val="auto"/>
              </w:rPr>
            </w:pPr>
          </w:p>
        </w:tc>
      </w:tr>
      <w:tr>
        <w:trPr>
          <w:trHeight w:val="204"/>
        </w:trPr>
        <w:tc>
          <w:tcPr>
            <w:tcW w:w="8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22,918,726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18,177,333</w:t>
            </w:r>
          </w:p>
        </w:tc>
        <w:tc>
          <w:tcPr>
            <w:tcW w:w="0" w:type="dxa"/>
            <w:vAlign w:val="bottom"/>
          </w:tcPr>
          <w:p>
            <w:pPr>
              <w:spacing w:after="0"/>
              <w:rPr>
                <w:sz w:val="1"/>
                <w:szCs w:val="1"/>
                <w:color w:val="auto"/>
              </w:rPr>
            </w:pPr>
          </w:p>
        </w:tc>
      </w:tr>
      <w:tr>
        <w:trPr>
          <w:trHeight w:val="157"/>
        </w:trPr>
        <w:tc>
          <w:tcPr>
            <w:tcW w:w="8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16)</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Virtu Financial Inc. Stockholders' equity</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85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rPr>
              <w:t>Class A common stock (par value $0.00001), Authorized — 1,000,000,000 and 1,000,000,000 shares, Issued — 142,979,907 and</w:t>
            </w:r>
          </w:p>
        </w:tc>
        <w:tc>
          <w:tcPr>
            <w:tcW w:w="20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140,877,669 shares, Outstanding — 87,022,169 and 84,919,931 shares at March 31, 2026 and December 31, 2025, respectively</w:t>
            </w:r>
          </w:p>
        </w:tc>
        <w:tc>
          <w:tcPr>
            <w:tcW w:w="2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560" w:type="dxa"/>
            <w:vAlign w:val="bottom"/>
            <w:gridSpan w:val="2"/>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w w:val="99"/>
              </w:rPr>
              <w:t>Class B common stock (par value $0.00001), Authorized — 175,000,000 and 175,000,000 shares, Issued and Outstanding — 0 and</w:t>
            </w:r>
          </w:p>
        </w:tc>
        <w:tc>
          <w:tcPr>
            <w:tcW w:w="20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0 shares at March 31, 2026 and December 31, 2025, respectively</w:t>
            </w:r>
          </w:p>
        </w:tc>
        <w:tc>
          <w:tcPr>
            <w:tcW w:w="20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85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color w:val="auto"/>
              </w:rPr>
              <w:t>Class C common stock (par value $0.00001), Authorized — 90,000,000 and 90,000,000 shares, Issued and Outstanding —</w:t>
            </w:r>
          </w:p>
        </w:tc>
        <w:tc>
          <w:tcPr>
            <w:tcW w:w="200" w:type="dxa"/>
            <w:vAlign w:val="bottom"/>
          </w:tcPr>
          <w:p>
            <w:pPr>
              <w:spacing w:after="0"/>
              <w:rPr>
                <w:sz w:val="13"/>
                <w:szCs w:val="13"/>
                <w:color w:val="auto"/>
              </w:rPr>
            </w:pP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7,970,185 and 7,970,185 shares at March 31, 2026 and December 31, 2025, respectively</w:t>
            </w: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8560" w:type="dxa"/>
            <w:vAlign w:val="bottom"/>
            <w:gridSpan w:val="2"/>
            <w:shd w:val="clear" w:color="auto" w:fill="CCEEFF"/>
          </w:tcPr>
          <w:p>
            <w:pPr>
              <w:ind w:left="140"/>
              <w:spacing w:after="0" w:line="159" w:lineRule="exact"/>
              <w:rPr>
                <w:sz w:val="20"/>
                <w:szCs w:val="20"/>
                <w:color w:val="auto"/>
              </w:rPr>
            </w:pPr>
            <w:r>
              <w:rPr>
                <w:rFonts w:ascii="Times New Roman" w:cs="Times New Roman" w:eastAsia="Times New Roman" w:hAnsi="Times New Roman"/>
                <w:sz w:val="16"/>
                <w:szCs w:val="16"/>
                <w:color w:val="auto"/>
              </w:rPr>
              <w:t>Class D common stock (par value $0.00001), Authorized — 175,000,000 and 175,000,000 shares, Issued and Outstanding —</w:t>
            </w:r>
          </w:p>
        </w:tc>
        <w:tc>
          <w:tcPr>
            <w:tcW w:w="20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0"/>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60,091,740 and 60,091,740 shares at March 31, 2026 and December 31, 2025, respectively</w:t>
            </w:r>
          </w:p>
        </w:tc>
        <w:tc>
          <w:tcPr>
            <w:tcW w:w="2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Treasury stock, at cost, 55,957,738 and 55,957,738 shares at March 31, 2026 and December 31, 2025, respectively</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(1,475,666)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(1,475,666)</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1,591,921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1,541,684</w:t>
            </w:r>
          </w:p>
        </w:tc>
        <w:tc>
          <w:tcPr>
            <w:tcW w:w="0" w:type="dxa"/>
            <w:vAlign w:val="bottom"/>
          </w:tcPr>
          <w:p>
            <w:pPr>
              <w:spacing w:after="0"/>
              <w:rPr>
                <w:sz w:val="1"/>
                <w:szCs w:val="1"/>
                <w:color w:val="auto"/>
              </w:rPr>
            </w:pPr>
          </w:p>
        </w:tc>
      </w:tr>
      <w:tr>
        <w:trPr>
          <w:trHeight w:val="208"/>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1,623,693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1,519,270</w:t>
            </w:r>
          </w:p>
        </w:tc>
        <w:tc>
          <w:tcPr>
            <w:tcW w:w="0" w:type="dxa"/>
            <w:vAlign w:val="bottom"/>
          </w:tcPr>
          <w:p>
            <w:pPr>
              <w:spacing w:after="0"/>
              <w:rPr>
                <w:sz w:val="1"/>
                <w:szCs w:val="1"/>
                <w:color w:val="auto"/>
              </w:rPr>
            </w:pPr>
          </w:p>
        </w:tc>
      </w:tr>
      <w:tr>
        <w:trPr>
          <w:trHeight w:val="211"/>
        </w:trPr>
        <w:tc>
          <w:tcPr>
            <w:tcW w:w="8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w:t>
            </w:r>
          </w:p>
        </w:tc>
        <w:tc>
          <w:tcPr>
            <w:tcW w:w="0" w:type="dxa"/>
            <w:vAlign w:val="bottom"/>
          </w:tcPr>
          <w:p>
            <w:pPr>
              <w:spacing w:after="0"/>
              <w:rPr>
                <w:sz w:val="1"/>
                <w:szCs w:val="1"/>
                <w:color w:val="auto"/>
              </w:rPr>
            </w:pPr>
          </w:p>
        </w:tc>
      </w:tr>
      <w:tr>
        <w:trPr>
          <w:trHeight w:val="199"/>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Virtu Financial Inc. stockholders' equity</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1,734,975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1,582,279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Financial Condition (Unaudited)</w:t>
      </w: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8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 thousands, except share data)</w:t>
            </w:r>
          </w:p>
        </w:tc>
        <w:tc>
          <w:tcPr>
            <w:tcW w:w="20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0" w:type="dxa"/>
            <w:vAlign w:val="bottom"/>
          </w:tcPr>
          <w:p>
            <w:pPr>
              <w:spacing w:after="0"/>
              <w:rPr>
                <w:sz w:val="16"/>
                <w:szCs w:val="16"/>
                <w:color w:val="auto"/>
              </w:rPr>
            </w:pP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9"/>
        </w:trPr>
        <w:tc>
          <w:tcPr>
            <w:tcW w:w="85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3"/>
        </w:trPr>
        <w:tc>
          <w:tcPr>
            <w:tcW w:w="848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461,559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391,124</w:t>
            </w:r>
          </w:p>
        </w:tc>
        <w:tc>
          <w:tcPr>
            <w:tcW w:w="0" w:type="dxa"/>
            <w:vAlign w:val="bottom"/>
          </w:tcPr>
          <w:p>
            <w:pPr>
              <w:spacing w:after="0"/>
              <w:rPr>
                <w:sz w:val="1"/>
                <w:szCs w:val="1"/>
                <w:color w:val="auto"/>
              </w:rPr>
            </w:pPr>
          </w:p>
        </w:tc>
      </w:tr>
      <w:tr>
        <w:trPr>
          <w:trHeight w:val="201"/>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2,196,534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1,973,403</w:t>
            </w:r>
          </w:p>
        </w:tc>
        <w:tc>
          <w:tcPr>
            <w:tcW w:w="0" w:type="dxa"/>
            <w:vAlign w:val="bottom"/>
          </w:tcPr>
          <w:p>
            <w:pPr>
              <w:spacing w:after="0"/>
              <w:rPr>
                <w:sz w:val="1"/>
                <w:szCs w:val="1"/>
                <w:color w:val="auto"/>
              </w:rPr>
            </w:pPr>
          </w:p>
        </w:tc>
      </w:tr>
      <w:tr>
        <w:trPr>
          <w:trHeight w:val="211"/>
        </w:trPr>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25,115,260</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20,150,736</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(Unaudited)</w:t>
      </w:r>
    </w:p>
    <w:p>
      <w:pPr>
        <w:spacing w:after="0" w:line="317" w:lineRule="exact"/>
        <w:rPr>
          <w:sz w:val="20"/>
          <w:szCs w:val="20"/>
          <w:color w:val="auto"/>
        </w:rPr>
      </w:pPr>
    </w:p>
    <w:tbl>
      <w:tblPr>
        <w:tblLayout w:type="fixed"/>
        <w:tblInd w:w="144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4"/>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60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03"/>
        </w:trPr>
        <w:tc>
          <w:tcPr>
            <w:tcW w:w="59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Trading income,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789,146</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589,983</w:t>
            </w: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and dividends income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109,053</w:t>
            </w:r>
          </w:p>
        </w:tc>
        <w:tc>
          <w:tcPr>
            <w:tcW w:w="0" w:type="dxa"/>
            <w:vAlign w:val="bottom"/>
          </w:tcPr>
          <w:p>
            <w:pPr>
              <w:spacing w:after="0"/>
              <w:rPr>
                <w:sz w:val="1"/>
                <w:szCs w:val="1"/>
                <w:color w:val="auto"/>
              </w:rPr>
            </w:pPr>
          </w:p>
        </w:tc>
      </w:tr>
      <w:tr>
        <w:trPr>
          <w:trHeight w:val="208"/>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Commissions, net and technology services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186,625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151,307</w:t>
            </w: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(12,474)</w:t>
            </w:r>
          </w:p>
        </w:tc>
        <w:tc>
          <w:tcPr>
            <w:tcW w:w="0" w:type="dxa"/>
            <w:vAlign w:val="bottom"/>
          </w:tcPr>
          <w:p>
            <w:pPr>
              <w:spacing w:after="0"/>
              <w:rPr>
                <w:sz w:val="1"/>
                <w:szCs w:val="1"/>
                <w:color w:val="auto"/>
              </w:rPr>
            </w:pPr>
          </w:p>
        </w:tc>
      </w:tr>
      <w:tr>
        <w:trPr>
          <w:trHeight w:val="201"/>
        </w:trPr>
        <w:tc>
          <w:tcPr>
            <w:tcW w:w="608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1,095,327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837,869</w:t>
            </w:r>
          </w:p>
        </w:tc>
        <w:tc>
          <w:tcPr>
            <w:tcW w:w="0" w:type="dxa"/>
            <w:vAlign w:val="bottom"/>
          </w:tcPr>
          <w:p>
            <w:pPr>
              <w:spacing w:after="0"/>
              <w:rPr>
                <w:sz w:val="1"/>
                <w:szCs w:val="1"/>
                <w:color w:val="auto"/>
              </w:rPr>
            </w:pPr>
          </w:p>
        </w:tc>
      </w:tr>
      <w:tr>
        <w:trPr>
          <w:trHeight w:val="211"/>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Brokerage, exchange, clearance fees and payments for order flow, net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221,875</w:t>
            </w:r>
          </w:p>
        </w:tc>
        <w:tc>
          <w:tcPr>
            <w:tcW w:w="0" w:type="dxa"/>
            <w:vAlign w:val="bottom"/>
          </w:tcPr>
          <w:p>
            <w:pPr>
              <w:spacing w:after="0"/>
              <w:rPr>
                <w:sz w:val="1"/>
                <w:szCs w:val="1"/>
                <w:color w:val="auto"/>
              </w:rPr>
            </w:pPr>
          </w:p>
        </w:tc>
      </w:tr>
      <w:tr>
        <w:trPr>
          <w:trHeight w:val="208"/>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Communication and data processing</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59,803</w:t>
            </w: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Employee compensation and payroll taxes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119,356</w:t>
            </w:r>
          </w:p>
        </w:tc>
        <w:tc>
          <w:tcPr>
            <w:tcW w:w="0" w:type="dxa"/>
            <w:vAlign w:val="bottom"/>
          </w:tcPr>
          <w:p>
            <w:pPr>
              <w:spacing w:after="0"/>
              <w:rPr>
                <w:sz w:val="1"/>
                <w:szCs w:val="1"/>
                <w:color w:val="auto"/>
              </w:rPr>
            </w:pPr>
          </w:p>
        </w:tc>
      </w:tr>
      <w:tr>
        <w:trPr>
          <w:trHeight w:val="208"/>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Interest and dividends expense</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131,328</w:t>
            </w: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Operations and administrative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29,073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22,136</w:t>
            </w:r>
          </w:p>
        </w:tc>
        <w:tc>
          <w:tcPr>
            <w:tcW w:w="0" w:type="dxa"/>
            <w:vAlign w:val="bottom"/>
          </w:tcPr>
          <w:p>
            <w:pPr>
              <w:spacing w:after="0"/>
              <w:rPr>
                <w:sz w:val="1"/>
                <w:szCs w:val="1"/>
                <w:color w:val="auto"/>
              </w:rPr>
            </w:pPr>
          </w:p>
        </w:tc>
      </w:tr>
      <w:tr>
        <w:trPr>
          <w:trHeight w:val="208"/>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15,932</w:t>
            </w: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Amortization of purchased intangibles and acquired capitalized software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11,783</w:t>
            </w:r>
          </w:p>
        </w:tc>
        <w:tc>
          <w:tcPr>
            <w:tcW w:w="0" w:type="dxa"/>
            <w:vAlign w:val="bottom"/>
          </w:tcPr>
          <w:p>
            <w:pPr>
              <w:spacing w:after="0"/>
              <w:rPr>
                <w:sz w:val="1"/>
                <w:szCs w:val="1"/>
                <w:color w:val="auto"/>
              </w:rPr>
            </w:pPr>
          </w:p>
        </w:tc>
      </w:tr>
      <w:tr>
        <w:trPr>
          <w:trHeight w:val="208"/>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Termination of office leases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Debt issue cost related to debt refinancing, prepayment and commitment fees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1,681</w:t>
            </w:r>
          </w:p>
        </w:tc>
        <w:tc>
          <w:tcPr>
            <w:tcW w:w="0" w:type="dxa"/>
            <w:vAlign w:val="bottom"/>
          </w:tcPr>
          <w:p>
            <w:pPr>
              <w:spacing w:after="0"/>
              <w:rPr>
                <w:sz w:val="1"/>
                <w:szCs w:val="1"/>
                <w:color w:val="auto"/>
              </w:rPr>
            </w:pPr>
          </w:p>
        </w:tc>
      </w:tr>
      <w:tr>
        <w:trPr>
          <w:trHeight w:val="208"/>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Transaction advisory fees and expenses</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Financing interest expense on long-term borrowings</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34,845</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29,891</w:t>
            </w:r>
          </w:p>
        </w:tc>
        <w:tc>
          <w:tcPr>
            <w:tcW w:w="0" w:type="dxa"/>
            <w:vAlign w:val="bottom"/>
          </w:tcPr>
          <w:p>
            <w:pPr>
              <w:spacing w:after="0"/>
              <w:rPr>
                <w:sz w:val="1"/>
                <w:szCs w:val="1"/>
                <w:color w:val="auto"/>
              </w:rPr>
            </w:pPr>
          </w:p>
        </w:tc>
      </w:tr>
      <w:tr>
        <w:trPr>
          <w:trHeight w:val="201"/>
        </w:trPr>
        <w:tc>
          <w:tcPr>
            <w:tcW w:w="60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685,755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614,133</w:t>
            </w:r>
          </w:p>
        </w:tc>
        <w:tc>
          <w:tcPr>
            <w:tcW w:w="0" w:type="dxa"/>
            <w:vAlign w:val="bottom"/>
          </w:tcPr>
          <w:p>
            <w:pPr>
              <w:spacing w:after="0"/>
              <w:rPr>
                <w:sz w:val="1"/>
                <w:szCs w:val="1"/>
                <w:color w:val="auto"/>
              </w:rPr>
            </w:pPr>
          </w:p>
        </w:tc>
      </w:tr>
      <w:tr>
        <w:trPr>
          <w:trHeight w:val="204"/>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Income before income taxes and noncontrolling interest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223,736</w:t>
            </w:r>
          </w:p>
        </w:tc>
        <w:tc>
          <w:tcPr>
            <w:tcW w:w="0" w:type="dxa"/>
            <w:vAlign w:val="bottom"/>
          </w:tcPr>
          <w:p>
            <w:pPr>
              <w:spacing w:after="0"/>
              <w:rPr>
                <w:sz w:val="1"/>
                <w:szCs w:val="1"/>
                <w:color w:val="auto"/>
              </w:rPr>
            </w:pPr>
          </w:p>
        </w:tc>
      </w:tr>
      <w:tr>
        <w:trPr>
          <w:trHeight w:val="208"/>
        </w:trPr>
        <w:tc>
          <w:tcPr>
            <w:tcW w:w="60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34,101</w:t>
            </w:r>
          </w:p>
        </w:tc>
        <w:tc>
          <w:tcPr>
            <w:tcW w:w="0" w:type="dxa"/>
            <w:vAlign w:val="bottom"/>
          </w:tcPr>
          <w:p>
            <w:pPr>
              <w:spacing w:after="0"/>
              <w:rPr>
                <w:sz w:val="1"/>
                <w:szCs w:val="1"/>
                <w:color w:val="auto"/>
              </w:rPr>
            </w:pPr>
          </w:p>
        </w:tc>
      </w:tr>
      <w:tr>
        <w:trPr>
          <w:trHeight w:val="204"/>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346,596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189,635</w:t>
            </w:r>
          </w:p>
        </w:tc>
        <w:tc>
          <w:tcPr>
            <w:tcW w:w="0" w:type="dxa"/>
            <w:vAlign w:val="bottom"/>
          </w:tcPr>
          <w:p>
            <w:pPr>
              <w:spacing w:after="0"/>
              <w:rPr>
                <w:sz w:val="1"/>
                <w:szCs w:val="1"/>
                <w:color w:val="auto"/>
              </w:rPr>
            </w:pPr>
          </w:p>
        </w:tc>
      </w:tr>
      <w:tr>
        <w:trPr>
          <w:trHeight w:val="208"/>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Noncontrolling interest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(89,954)</w:t>
            </w:r>
          </w:p>
        </w:tc>
        <w:tc>
          <w:tcPr>
            <w:tcW w:w="0" w:type="dxa"/>
            <w:vAlign w:val="bottom"/>
          </w:tcPr>
          <w:p>
            <w:pPr>
              <w:spacing w:after="0"/>
              <w:rPr>
                <w:sz w:val="1"/>
                <w:szCs w:val="1"/>
                <w:color w:val="auto"/>
              </w:rPr>
            </w:pPr>
          </w:p>
        </w:tc>
      </w:tr>
      <w:tr>
        <w:trPr>
          <w:trHeight w:val="211"/>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available for common stockholders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182,309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99,681</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08"/>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1"/>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86,093,727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85,681,015</w:t>
            </w:r>
          </w:p>
        </w:tc>
        <w:tc>
          <w:tcPr>
            <w:tcW w:w="0" w:type="dxa"/>
            <w:vAlign w:val="bottom"/>
          </w:tcPr>
          <w:p>
            <w:pPr>
              <w:spacing w:after="0"/>
              <w:rPr>
                <w:sz w:val="1"/>
                <w:szCs w:val="1"/>
                <w:color w:val="auto"/>
              </w:rPr>
            </w:pPr>
          </w:p>
        </w:tc>
      </w:tr>
      <w:tr>
        <w:trPr>
          <w:trHeight w:val="208"/>
        </w:trPr>
        <w:tc>
          <w:tcPr>
            <w:tcW w:w="60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86,093,727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86,047,558</w:t>
            </w:r>
          </w:p>
        </w:tc>
        <w:tc>
          <w:tcPr>
            <w:tcW w:w="0" w:type="dxa"/>
            <w:vAlign w:val="bottom"/>
          </w:tcPr>
          <w:p>
            <w:pPr>
              <w:spacing w:after="0"/>
              <w:rPr>
                <w:sz w:val="1"/>
                <w:szCs w:val="1"/>
                <w:color w:val="auto"/>
              </w:rPr>
            </w:pPr>
          </w:p>
        </w:tc>
      </w:tr>
      <w:tr>
        <w:trPr>
          <w:trHeight w:val="211"/>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346,596</w:t>
            </w:r>
          </w:p>
        </w:tc>
        <w:tc>
          <w:tcPr>
            <w:tcW w:w="100" w:type="dxa"/>
            <w:vAlign w:val="bottom"/>
          </w:tcPr>
          <w:p>
            <w:pPr>
              <w:spacing w:after="0"/>
              <w:rPr>
                <w:sz w:val="18"/>
                <w:szCs w:val="18"/>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189,635</w:t>
            </w: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Foreign exchange translation adjustment, net of taxes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4,740</w:t>
            </w:r>
          </w:p>
        </w:tc>
        <w:tc>
          <w:tcPr>
            <w:tcW w:w="0" w:type="dxa"/>
            <w:vAlign w:val="bottom"/>
          </w:tcPr>
          <w:p>
            <w:pPr>
              <w:spacing w:after="0"/>
              <w:rPr>
                <w:sz w:val="1"/>
                <w:szCs w:val="1"/>
                <w:color w:val="auto"/>
              </w:rPr>
            </w:pPr>
          </w:p>
        </w:tc>
      </w:tr>
      <w:tr>
        <w:trPr>
          <w:trHeight w:val="211"/>
        </w:trPr>
        <w:tc>
          <w:tcPr>
            <w:tcW w:w="6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change in unrealized cash flow hedges gain (loss), net of taxes</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0" w:type="dxa"/>
            <w:vAlign w:val="bottom"/>
          </w:tcPr>
          <w:p>
            <w:pPr>
              <w:spacing w:after="0"/>
              <w:rPr>
                <w:sz w:val="1"/>
                <w:szCs w:val="1"/>
                <w:color w:val="auto"/>
              </w:rPr>
            </w:pPr>
          </w:p>
        </w:tc>
      </w:tr>
      <w:tr>
        <w:trPr>
          <w:trHeight w:val="201"/>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income</w:t>
            </w: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343,176</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192,265</w:t>
            </w:r>
          </w:p>
        </w:tc>
        <w:tc>
          <w:tcPr>
            <w:tcW w:w="0" w:type="dxa"/>
            <w:vAlign w:val="bottom"/>
          </w:tcPr>
          <w:p>
            <w:pPr>
              <w:spacing w:after="0"/>
              <w:rPr>
                <w:sz w:val="1"/>
                <w:szCs w:val="1"/>
                <w:color w:val="auto"/>
              </w:rPr>
            </w:pPr>
          </w:p>
        </w:tc>
      </w:tr>
      <w:tr>
        <w:trPr>
          <w:trHeight w:val="210"/>
        </w:trPr>
        <w:tc>
          <w:tcPr>
            <w:tcW w:w="6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(162,831)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(91,075)</w:t>
            </w:r>
          </w:p>
        </w:tc>
        <w:tc>
          <w:tcPr>
            <w:tcW w:w="0" w:type="dxa"/>
            <w:vAlign w:val="bottom"/>
          </w:tcPr>
          <w:p>
            <w:pPr>
              <w:spacing w:after="0"/>
              <w:rPr>
                <w:sz w:val="1"/>
                <w:szCs w:val="1"/>
                <w:color w:val="auto"/>
              </w:rPr>
            </w:pPr>
          </w:p>
        </w:tc>
      </w:tr>
      <w:tr>
        <w:trPr>
          <w:trHeight w:val="204"/>
        </w:trPr>
        <w:tc>
          <w:tcPr>
            <w:tcW w:w="6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Comprehensive income attributable to common stockholders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180,345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101,190</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 w:name="page7"/>
    <w:bookmarkEnd w:id="6"/>
    <w:p>
      <w:pPr>
        <w:ind w:left="2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Changes in Equity (Unaudited)</w:t>
      </w:r>
    </w:p>
    <w:p>
      <w:pPr>
        <w:spacing w:after="0" w:line="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7"/>
          <w:szCs w:val="17"/>
          <w:b w:val="1"/>
          <w:bCs w:val="1"/>
          <w:color w:val="auto"/>
        </w:rPr>
        <w:t>Three Months Ended March 31, 2026 and 2025</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60" w:type="dxa"/>
            <w:vAlign w:val="bottom"/>
            <w:gridSpan w:val="5"/>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220" w:type="dxa"/>
            <w:vAlign w:val="bottom"/>
            <w:gridSpan w:val="5"/>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126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Class D Common Stock</w:t>
            </w:r>
          </w:p>
        </w:tc>
        <w:tc>
          <w:tcPr>
            <w:tcW w:w="13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80" w:type="dxa"/>
            <w:vAlign w:val="bottom"/>
          </w:tcPr>
          <w:p>
            <w:pPr>
              <w:spacing w:after="0"/>
              <w:rPr>
                <w:sz w:val="9"/>
                <w:szCs w:val="9"/>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Total Virtu</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220" w:type="dxa"/>
            <w:vAlign w:val="bottom"/>
            <w:gridSpan w:val="5"/>
            <w:vMerge w:val="continue"/>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 except</w:t>
            </w: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Earnings</w:t>
            </w:r>
          </w:p>
        </w:tc>
        <w:tc>
          <w:tcPr>
            <w:tcW w:w="80" w:type="dxa"/>
            <w:vAlign w:val="bottom"/>
          </w:tcPr>
          <w:p>
            <w:pPr>
              <w:spacing w:after="0"/>
              <w:rPr>
                <w:sz w:val="6"/>
                <w:szCs w:val="6"/>
                <w:color w:val="auto"/>
              </w:rPr>
            </w:pPr>
          </w:p>
        </w:tc>
        <w:tc>
          <w:tcPr>
            <w:tcW w:w="740" w:type="dxa"/>
            <w:vAlign w:val="bottom"/>
            <w:gridSpan w:val="2"/>
          </w:tcPr>
          <w:p>
            <w:pPr>
              <w:jc w:val="center"/>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Other</w:t>
            </w:r>
          </w:p>
        </w:tc>
        <w:tc>
          <w:tcPr>
            <w:tcW w:w="740" w:type="dxa"/>
            <w:vAlign w:val="bottom"/>
            <w:gridSpan w:val="3"/>
          </w:tcPr>
          <w:p>
            <w:pPr>
              <w:ind w:left="20"/>
              <w:spacing w:after="0" w:line="72" w:lineRule="exact"/>
              <w:rPr>
                <w:sz w:val="20"/>
                <w:szCs w:val="20"/>
                <w:color w:val="auto"/>
              </w:rPr>
            </w:pPr>
            <w:r>
              <w:rPr>
                <w:rFonts w:ascii="Times New Roman" w:cs="Times New Roman" w:eastAsia="Times New Roman" w:hAnsi="Times New Roman"/>
                <w:sz w:val="8"/>
                <w:szCs w:val="8"/>
                <w:b w:val="1"/>
                <w:bCs w:val="1"/>
                <w:color w:val="auto"/>
              </w:rPr>
              <w:t>Financial Inc.</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100" w:type="dxa"/>
            <w:vAlign w:val="bottom"/>
          </w:tcPr>
          <w:p>
            <w:pPr>
              <w:spacing w:after="0"/>
              <w:rPr>
                <w:sz w:val="6"/>
                <w:szCs w:val="6"/>
                <w:color w:val="auto"/>
              </w:rPr>
            </w:pPr>
          </w:p>
        </w:tc>
        <w:tc>
          <w:tcPr>
            <w:tcW w:w="500" w:type="dxa"/>
            <w:vAlign w:val="bottom"/>
            <w:vMerge w:val="restart"/>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5"/>
        </w:trPr>
        <w:tc>
          <w:tcPr>
            <w:tcW w:w="1600" w:type="dxa"/>
            <w:vAlign w:val="bottom"/>
            <w:vMerge w:val="continue"/>
          </w:tcPr>
          <w:p>
            <w:pPr>
              <w:spacing w:after="0"/>
              <w:rPr>
                <w:sz w:val="9"/>
                <w:szCs w:val="9"/>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100" w:type="dxa"/>
            <w:vAlign w:val="bottom"/>
          </w:tcPr>
          <w:p>
            <w:pPr>
              <w:spacing w:after="0"/>
              <w:rPr>
                <w:sz w:val="9"/>
                <w:szCs w:val="9"/>
                <w:color w:val="auto"/>
              </w:rPr>
            </w:pPr>
          </w:p>
        </w:tc>
        <w:tc>
          <w:tcPr>
            <w:tcW w:w="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2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share and interest data)</w:t>
            </w:r>
          </w:p>
        </w:tc>
        <w:tc>
          <w:tcPr>
            <w:tcW w:w="66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8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8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4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3"/>
                <w:szCs w:val="13"/>
                <w:color w:val="auto"/>
              </w:rPr>
            </w:pPr>
          </w:p>
        </w:tc>
        <w:tc>
          <w:tcPr>
            <w:tcW w:w="500" w:type="dxa"/>
            <w:vAlign w:val="bottom"/>
          </w:tcPr>
          <w:p>
            <w:pPr>
              <w:jc w:val="center"/>
              <w:ind w:right="68"/>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57"/>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December 31, 2025</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140,877,669</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7,970,185</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(55,957,738)</w:t>
            </w: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(1,475,666)</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1,541,684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1,519,270</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(3,011)</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1,582,279</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391,124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1,973,403</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3,514,983</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50,237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50,237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50,237</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(1,412,745)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(55,792)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(55,792)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(55,792)</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182,309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182,309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164,287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346,596</w:t>
            </w: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Foreign exchange translation</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(1,964)</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(1,964)</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(1,456)</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(3,420)</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Dividends ($0.24 per share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common stock and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participating Restricted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Restricted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Awards) and distributions from</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Virtu Financial to</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(22,094)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(22,094)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(92,396)</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(114,490)</w:t>
            </w:r>
          </w:p>
        </w:tc>
        <w:tc>
          <w:tcPr>
            <w:tcW w:w="0" w:type="dxa"/>
            <w:vAlign w:val="bottom"/>
          </w:tcPr>
          <w:p>
            <w:pPr>
              <w:spacing w:after="0"/>
              <w:rPr>
                <w:sz w:val="1"/>
                <w:szCs w:val="1"/>
                <w:color w:val="auto"/>
              </w:rPr>
            </w:pPr>
          </w:p>
        </w:tc>
      </w:tr>
      <w:tr>
        <w:trPr>
          <w:trHeight w:val="150"/>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noncontrolling interest</w:t>
            </w: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March 31, 2026</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142,979,907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7,970,185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(55,957,738)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(1,475,666)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1,591,921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1,623,693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(4,975)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1,734,975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461,559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2,196,534</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3"/>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60" w:type="dxa"/>
            <w:vAlign w:val="bottom"/>
            <w:gridSpan w:val="5"/>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Class A Common Stock</w:t>
            </w:r>
          </w:p>
        </w:tc>
        <w:tc>
          <w:tcPr>
            <w:tcW w:w="1220" w:type="dxa"/>
            <w:vAlign w:val="bottom"/>
            <w:gridSpan w:val="5"/>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Class C Common Stock</w:t>
            </w:r>
          </w:p>
        </w:tc>
        <w:tc>
          <w:tcPr>
            <w:tcW w:w="126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Class D Common Stock</w:t>
            </w:r>
          </w:p>
        </w:tc>
        <w:tc>
          <w:tcPr>
            <w:tcW w:w="1340" w:type="dxa"/>
            <w:vAlign w:val="bottom"/>
            <w:gridSpan w:val="4"/>
            <w:vMerge w:val="restart"/>
          </w:tcPr>
          <w:p>
            <w:pPr>
              <w:ind w:left="300"/>
              <w:spacing w:after="0"/>
              <w:rPr>
                <w:sz w:val="20"/>
                <w:szCs w:val="20"/>
                <w:color w:val="auto"/>
              </w:rPr>
            </w:pPr>
            <w:r>
              <w:rPr>
                <w:rFonts w:ascii="Times New Roman" w:cs="Times New Roman" w:eastAsia="Times New Roman" w:hAnsi="Times New Roman"/>
                <w:sz w:val="10"/>
                <w:szCs w:val="10"/>
                <w:b w:val="1"/>
                <w:bCs w:val="1"/>
                <w:color w:val="auto"/>
              </w:rPr>
              <w:t>Treasury Stock</w:t>
            </w:r>
          </w:p>
        </w:tc>
        <w:tc>
          <w:tcPr>
            <w:tcW w:w="100" w:type="dxa"/>
            <w:vAlign w:val="bottom"/>
          </w:tcPr>
          <w:p>
            <w:pPr>
              <w:spacing w:after="0"/>
              <w:rPr>
                <w:sz w:val="9"/>
                <w:szCs w:val="9"/>
                <w:color w:val="auto"/>
              </w:rPr>
            </w:pPr>
          </w:p>
        </w:tc>
        <w:tc>
          <w:tcPr>
            <w:tcW w:w="580" w:type="dxa"/>
            <w:vAlign w:val="bottom"/>
            <w:gridSpan w:val="2"/>
          </w:tcPr>
          <w:p>
            <w:pPr>
              <w:jc w:val="center"/>
              <w:ind w:right="180"/>
              <w:spacing w:after="0" w:line="10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00" w:type="dxa"/>
            <w:vAlign w:val="bottom"/>
          </w:tcPr>
          <w:p>
            <w:pPr>
              <w:spacing w:after="0"/>
              <w:rPr>
                <w:sz w:val="9"/>
                <w:szCs w:val="9"/>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80" w:type="dxa"/>
            <w:vAlign w:val="bottom"/>
          </w:tcPr>
          <w:p>
            <w:pPr>
              <w:spacing w:after="0"/>
              <w:rPr>
                <w:sz w:val="9"/>
                <w:szCs w:val="9"/>
                <w:color w:val="auto"/>
              </w:rPr>
            </w:pP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80" w:type="dxa"/>
            <w:vAlign w:val="bottom"/>
          </w:tcPr>
          <w:p>
            <w:pPr>
              <w:spacing w:after="0"/>
              <w:rPr>
                <w:sz w:val="9"/>
                <w:szCs w:val="9"/>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Total Virtu</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220" w:type="dxa"/>
            <w:vAlign w:val="bottom"/>
            <w:gridSpan w:val="5"/>
            <w:vMerge w:val="continue"/>
          </w:tcPr>
          <w:p>
            <w:pPr>
              <w:spacing w:after="0"/>
              <w:rPr>
                <w:sz w:val="9"/>
                <w:szCs w:val="9"/>
                <w:color w:val="auto"/>
              </w:rPr>
            </w:pPr>
          </w:p>
        </w:tc>
        <w:tc>
          <w:tcPr>
            <w:tcW w:w="1260" w:type="dxa"/>
            <w:vAlign w:val="bottom"/>
            <w:gridSpan w:val="5"/>
            <w:vMerge w:val="continue"/>
          </w:tcPr>
          <w:p>
            <w:pPr>
              <w:spacing w:after="0"/>
              <w:rPr>
                <w:sz w:val="9"/>
                <w:szCs w:val="9"/>
                <w:color w:val="auto"/>
              </w:rPr>
            </w:pPr>
          </w:p>
        </w:tc>
        <w:tc>
          <w:tcPr>
            <w:tcW w:w="13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center"/>
              <w:ind w:right="160"/>
              <w:spacing w:after="0" w:line="105" w:lineRule="exact"/>
              <w:rPr>
                <w:sz w:val="20"/>
                <w:szCs w:val="20"/>
                <w:color w:val="auto"/>
              </w:rPr>
            </w:pPr>
            <w:r>
              <w:rPr>
                <w:rFonts w:ascii="Times New Roman" w:cs="Times New Roman" w:eastAsia="Times New Roman" w:hAnsi="Times New Roman"/>
                <w:sz w:val="10"/>
                <w:szCs w:val="10"/>
                <w:b w:val="1"/>
                <w:bCs w:val="1"/>
                <w:color w:val="auto"/>
              </w:rPr>
              <w:t>Capital</w:t>
            </w:r>
          </w:p>
        </w:tc>
        <w:tc>
          <w:tcPr>
            <w:tcW w:w="100" w:type="dxa"/>
            <w:vAlign w:val="bottom"/>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6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(in thousands, except</w:t>
            </w: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center"/>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Earnings</w:t>
            </w:r>
          </w:p>
        </w:tc>
        <w:tc>
          <w:tcPr>
            <w:tcW w:w="80" w:type="dxa"/>
            <w:vAlign w:val="bottom"/>
          </w:tcPr>
          <w:p>
            <w:pPr>
              <w:spacing w:after="0"/>
              <w:rPr>
                <w:sz w:val="6"/>
                <w:szCs w:val="6"/>
                <w:color w:val="auto"/>
              </w:rPr>
            </w:pPr>
          </w:p>
        </w:tc>
        <w:tc>
          <w:tcPr>
            <w:tcW w:w="740" w:type="dxa"/>
            <w:vAlign w:val="bottom"/>
            <w:gridSpan w:val="2"/>
          </w:tcPr>
          <w:p>
            <w:pPr>
              <w:jc w:val="center"/>
              <w:ind w:right="160"/>
              <w:spacing w:after="0" w:line="72" w:lineRule="exact"/>
              <w:rPr>
                <w:sz w:val="20"/>
                <w:szCs w:val="20"/>
                <w:color w:val="auto"/>
              </w:rPr>
            </w:pPr>
            <w:r>
              <w:rPr>
                <w:rFonts w:ascii="Times New Roman" w:cs="Times New Roman" w:eastAsia="Times New Roman" w:hAnsi="Times New Roman"/>
                <w:sz w:val="8"/>
                <w:szCs w:val="8"/>
                <w:b w:val="1"/>
                <w:bCs w:val="1"/>
                <w:color w:val="auto"/>
              </w:rPr>
              <w:t>Other</w:t>
            </w:r>
          </w:p>
        </w:tc>
        <w:tc>
          <w:tcPr>
            <w:tcW w:w="740" w:type="dxa"/>
            <w:vAlign w:val="bottom"/>
            <w:gridSpan w:val="3"/>
          </w:tcPr>
          <w:p>
            <w:pPr>
              <w:ind w:left="20"/>
              <w:spacing w:after="0" w:line="72" w:lineRule="exact"/>
              <w:rPr>
                <w:sz w:val="20"/>
                <w:szCs w:val="20"/>
                <w:color w:val="auto"/>
              </w:rPr>
            </w:pPr>
            <w:r>
              <w:rPr>
                <w:rFonts w:ascii="Times New Roman" w:cs="Times New Roman" w:eastAsia="Times New Roman" w:hAnsi="Times New Roman"/>
                <w:sz w:val="8"/>
                <w:szCs w:val="8"/>
                <w:b w:val="1"/>
                <w:bCs w:val="1"/>
                <w:color w:val="auto"/>
              </w:rPr>
              <w:t>Financial Inc.</w:t>
            </w: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Noncontrolling</w:t>
            </w:r>
          </w:p>
        </w:tc>
        <w:tc>
          <w:tcPr>
            <w:tcW w:w="100" w:type="dxa"/>
            <w:vAlign w:val="bottom"/>
          </w:tcPr>
          <w:p>
            <w:pPr>
              <w:spacing w:after="0"/>
              <w:rPr>
                <w:sz w:val="6"/>
                <w:szCs w:val="6"/>
                <w:color w:val="auto"/>
              </w:rPr>
            </w:pPr>
          </w:p>
        </w:tc>
        <w:tc>
          <w:tcPr>
            <w:tcW w:w="500" w:type="dxa"/>
            <w:vAlign w:val="bottom"/>
            <w:vMerge w:val="restart"/>
          </w:tcPr>
          <w:p>
            <w:pPr>
              <w:jc w:val="center"/>
              <w:ind w:right="48"/>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5"/>
        </w:trPr>
        <w:tc>
          <w:tcPr>
            <w:tcW w:w="1600" w:type="dxa"/>
            <w:vAlign w:val="bottom"/>
            <w:vMerge w:val="continue"/>
          </w:tcPr>
          <w:p>
            <w:pPr>
              <w:spacing w:after="0"/>
              <w:rPr>
                <w:sz w:val="9"/>
                <w:szCs w:val="9"/>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gridSpan w:val="3"/>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100" w:type="dxa"/>
            <w:vAlign w:val="bottom"/>
          </w:tcPr>
          <w:p>
            <w:pPr>
              <w:spacing w:after="0"/>
              <w:rPr>
                <w:sz w:val="9"/>
                <w:szCs w:val="9"/>
                <w:color w:val="auto"/>
              </w:rPr>
            </w:pPr>
          </w:p>
        </w:tc>
        <w:tc>
          <w:tcPr>
            <w:tcW w:w="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Amounts</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82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740" w:type="dxa"/>
            <w:vAlign w:val="bottom"/>
            <w:gridSpan w:val="3"/>
          </w:tcPr>
          <w:p>
            <w:pPr>
              <w:ind w:left="20"/>
              <w:spacing w:after="0" w:line="10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160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share and interest data)</w:t>
            </w:r>
          </w:p>
        </w:tc>
        <w:tc>
          <w:tcPr>
            <w:tcW w:w="66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80" w:type="dxa"/>
            <w:vAlign w:val="bottom"/>
          </w:tcPr>
          <w:p>
            <w:pPr>
              <w:spacing w:after="0"/>
              <w:rPr>
                <w:sz w:val="13"/>
                <w:szCs w:val="13"/>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Income (loss)</w:t>
            </w:r>
          </w:p>
        </w:tc>
        <w:tc>
          <w:tcPr>
            <w:tcW w:w="80" w:type="dxa"/>
            <w:vAlign w:val="bottom"/>
          </w:tcPr>
          <w:p>
            <w:pPr>
              <w:spacing w:after="0"/>
              <w:rPr>
                <w:sz w:val="13"/>
                <w:szCs w:val="13"/>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14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0"/>
                <w:szCs w:val="10"/>
                <w:b w:val="1"/>
                <w:bCs w:val="1"/>
                <w:color w:val="auto"/>
              </w:rPr>
              <w:t>Interest</w:t>
            </w:r>
          </w:p>
        </w:tc>
        <w:tc>
          <w:tcPr>
            <w:tcW w:w="100" w:type="dxa"/>
            <w:vAlign w:val="bottom"/>
          </w:tcPr>
          <w:p>
            <w:pPr>
              <w:spacing w:after="0"/>
              <w:rPr>
                <w:sz w:val="13"/>
                <w:szCs w:val="13"/>
                <w:color w:val="auto"/>
              </w:rPr>
            </w:pPr>
          </w:p>
        </w:tc>
        <w:tc>
          <w:tcPr>
            <w:tcW w:w="500" w:type="dxa"/>
            <w:vAlign w:val="bottom"/>
          </w:tcPr>
          <w:p>
            <w:pPr>
              <w:jc w:val="center"/>
              <w:ind w:right="68"/>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57"/>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December 31, 2024</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137,479,751</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8,561,970</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(52,503,426)</w:t>
            </w:r>
          </w:p>
        </w:tc>
        <w:tc>
          <w:tcPr>
            <w:tcW w:w="8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(1,339,913)</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1,432,240</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1,168,908</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(7,063)</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1,254,174</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233,203</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1,487,377</w:t>
            </w: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Cumulative-effect adjustment</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due to the adoption of ASU</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21,800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21,800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21,800</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2023-08, net of tax</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Share based compensation</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2,650,096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42,028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42,028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42,028</w:t>
            </w: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Repurchase of Class C common</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(16,265)</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(645)</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(645)</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(645)</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stock</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Treasury stock purchases</w:t>
            </w:r>
          </w:p>
        </w:tc>
        <w:tc>
          <w:tcPr>
            <w:tcW w:w="5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(1,018,757)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(1,321,211)</w:t>
            </w: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(47,982)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(40,779)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(88,761)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(88,761)</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Stock options exercised</w:t>
            </w: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2"/>
                <w:szCs w:val="12"/>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2,280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2,280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2"/>
                <w:szCs w:val="12"/>
                <w:color w:val="auto"/>
              </w:rPr>
            </w:pPr>
          </w:p>
        </w:tc>
        <w:tc>
          <w:tcPr>
            <w:tcW w:w="50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rPr>
              <w:t>2,280</w:t>
            </w: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income</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99,681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99,681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89,954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189,635</w:t>
            </w: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Foreign exchange translation</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2,720</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2,720</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2,020</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4,740</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adjustment</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Net change in unrealized cash</w:t>
            </w: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(1,211)</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(1,211)</w:t>
            </w: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(899)</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(2,110)</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flow hedges gains</w:t>
            </w: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Dividends ($0.24 per share of</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Class A common stock and</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participating Restricted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Restricted Stock</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Awards) and distributions from</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Virtu Financial to</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(22,164)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(22,164)</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(72,524)</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(94,688)</w:t>
            </w:r>
          </w:p>
        </w:tc>
        <w:tc>
          <w:tcPr>
            <w:tcW w:w="0" w:type="dxa"/>
            <w:vAlign w:val="bottom"/>
          </w:tcPr>
          <w:p>
            <w:pPr>
              <w:spacing w:after="0"/>
              <w:rPr>
                <w:sz w:val="1"/>
                <w:szCs w:val="1"/>
                <w:color w:val="auto"/>
              </w:rPr>
            </w:pPr>
          </w:p>
        </w:tc>
      </w:tr>
      <w:tr>
        <w:trPr>
          <w:trHeight w:val="147"/>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noncontrolling interest</w:t>
            </w: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Issuance of common stock in</w:t>
            </w: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shd w:val="clear" w:color="auto" w:fill="CCEEFF"/>
          </w:tcPr>
          <w:p>
            <w:pPr>
              <w:ind w:left="140"/>
              <w:spacing w:after="0" w:line="105" w:lineRule="exact"/>
              <w:rPr>
                <w:sz w:val="20"/>
                <w:szCs w:val="20"/>
                <w:color w:val="auto"/>
              </w:rPr>
            </w:pPr>
            <w:r>
              <w:rPr>
                <w:rFonts w:ascii="Times New Roman" w:cs="Times New Roman" w:eastAsia="Times New Roman" w:hAnsi="Times New Roman"/>
                <w:sz w:val="10"/>
                <w:szCs w:val="10"/>
                <w:color w:val="auto"/>
              </w:rPr>
              <w:t>connection with employee</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350,858</w:t>
            </w:r>
          </w:p>
        </w:tc>
        <w:tc>
          <w:tcPr>
            <w:tcW w:w="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9"/>
                <w:szCs w:val="9"/>
                <w:color w:val="auto"/>
              </w:rPr>
            </w:pPr>
          </w:p>
        </w:tc>
        <w:tc>
          <w:tcPr>
            <w:tcW w:w="3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7"/>
        </w:trPr>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exchanges</w:t>
            </w:r>
          </w:p>
        </w:tc>
        <w:tc>
          <w:tcPr>
            <w:tcW w:w="5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2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gridSpan w:val="2"/>
            <w:vMerge w:val="continue"/>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Repurchase of Virtu Financial</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Units and corresponding</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number of Class C common</w:t>
            </w: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600" w:type="dxa"/>
            <w:vAlign w:val="bottom"/>
          </w:tcPr>
          <w:p>
            <w:pPr>
              <w:ind w:left="140"/>
              <w:spacing w:after="0" w:line="105" w:lineRule="exact"/>
              <w:rPr>
                <w:sz w:val="20"/>
                <w:szCs w:val="20"/>
                <w:color w:val="auto"/>
              </w:rPr>
            </w:pPr>
            <w:r>
              <w:rPr>
                <w:rFonts w:ascii="Times New Roman" w:cs="Times New Roman" w:eastAsia="Times New Roman" w:hAnsi="Times New Roman"/>
                <w:sz w:val="10"/>
                <w:szCs w:val="10"/>
                <w:color w:val="auto"/>
              </w:rPr>
              <w:t>stock in connection with</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(350,858)</w:t>
            </w: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3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6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500" w:type="dxa"/>
            <w:vAlign w:val="bottom"/>
            <w:vMerge w:val="restart"/>
          </w:tcPr>
          <w:p>
            <w:pPr>
              <w:jc w:val="right"/>
              <w:ind w:right="8"/>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50"/>
        </w:trPr>
        <w:tc>
          <w:tcPr>
            <w:tcW w:w="160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employee exchanges</w:t>
            </w: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Balance at March 31, 2025</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139,581,948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8,194,847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60,091,740</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(53,824,637)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 (1,387,895)</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1,475,903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1,227,446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(5,554)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1,309,902</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251,754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5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rPr>
              <w:t>1,561,656</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74295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420" w:top="121" w:right="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(Unaudited)</w:t>
      </w:r>
    </w:p>
    <w:p>
      <w:pPr>
        <w:spacing w:after="0" w:line="344"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6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346,596</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189,635</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(used in) operating activities: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15,932</w:t>
            </w:r>
          </w:p>
        </w:tc>
        <w:tc>
          <w:tcPr>
            <w:tcW w:w="0" w:type="dxa"/>
            <w:vAlign w:val="bottom"/>
          </w:tcPr>
          <w:p>
            <w:pPr>
              <w:spacing w:after="0"/>
              <w:rPr>
                <w:sz w:val="1"/>
                <w:szCs w:val="1"/>
                <w:color w:val="auto"/>
              </w:rPr>
            </w:pPr>
          </w:p>
        </w:tc>
      </w:tr>
      <w:tr>
        <w:trPr>
          <w:trHeight w:val="189"/>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11,783</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Debt issue cost related to debt refinancing and prepayment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Amortization of debt issuance costs and deferred financing fees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Share-based compensation</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34,459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21,888</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taxes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6,095</w:t>
            </w:r>
          </w:p>
        </w:tc>
        <w:tc>
          <w:tcPr>
            <w:tcW w:w="0" w:type="dxa"/>
            <w:vAlign w:val="bottom"/>
          </w:tcPr>
          <w:p>
            <w:pPr>
              <w:spacing w:after="0"/>
              <w:rPr>
                <w:sz w:val="1"/>
                <w:szCs w:val="1"/>
                <w:color w:val="auto"/>
              </w:rPr>
            </w:pPr>
          </w:p>
        </w:tc>
      </w:tr>
      <w:tr>
        <w:trPr>
          <w:trHeight w:val="189"/>
        </w:trPr>
        <w:tc>
          <w:tcPr>
            <w:tcW w:w="708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6,499</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Securities borrowed</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135,833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(485,876)</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(655,302)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(169,149)</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(1,914,771)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(756,950)</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Trading assets, at fair value</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(2,451,630)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(918,329)</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(136,067)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(39,578)</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11,816</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(70,252)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26,898</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Securities loaned</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245,529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395,147</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808,901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189,627</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Payables to broker-dealers and clearing organizations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402,763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(143,428)</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Payables to customers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26,498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20,620</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3,242,428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1,675,885</w:t>
            </w:r>
          </w:p>
        </w:tc>
        <w:tc>
          <w:tcPr>
            <w:tcW w:w="0" w:type="dxa"/>
            <w:vAlign w:val="bottom"/>
          </w:tcPr>
          <w:p>
            <w:pPr>
              <w:spacing w:after="0"/>
              <w:rPr>
                <w:sz w:val="1"/>
                <w:szCs w:val="1"/>
                <w:color w:val="auto"/>
              </w:rPr>
            </w:pPr>
          </w:p>
        </w:tc>
      </w:tr>
      <w:tr>
        <w:trPr>
          <w:trHeight w:val="189"/>
        </w:trPr>
        <w:tc>
          <w:tcPr>
            <w:tcW w:w="70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(13,669)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(13,511)</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(60,119)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(31,647)</w:t>
            </w:r>
          </w:p>
        </w:tc>
        <w:tc>
          <w:tcPr>
            <w:tcW w:w="0" w:type="dxa"/>
            <w:vAlign w:val="bottom"/>
          </w:tcPr>
          <w:p>
            <w:pPr>
              <w:spacing w:after="0"/>
              <w:rPr>
                <w:sz w:val="1"/>
                <w:szCs w:val="1"/>
                <w:color w:val="auto"/>
              </w:rPr>
            </w:pPr>
          </w:p>
        </w:tc>
      </w:tr>
      <w:tr>
        <w:trPr>
          <w:trHeight w:val="183"/>
        </w:trPr>
        <w:tc>
          <w:tcPr>
            <w:tcW w:w="70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14,964</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Development of capitalized software</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(26,041)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(23,926)</w:t>
            </w: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Acquisition of property and equipment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(5,732)</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0" w:type="dxa"/>
            <w:vAlign w:val="bottom"/>
          </w:tcPr>
          <w:p>
            <w:pPr>
              <w:spacing w:after="0"/>
              <w:rPr>
                <w:sz w:val="1"/>
                <w:szCs w:val="1"/>
                <w:color w:val="auto"/>
              </w:rPr>
            </w:pPr>
          </w:p>
        </w:tc>
      </w:tr>
      <w:tr>
        <w:trPr>
          <w:trHeight w:val="183"/>
        </w:trPr>
        <w:tc>
          <w:tcPr>
            <w:tcW w:w="70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(36,075)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(31,008)</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to stockholders and distributions from Virtu Financial to noncontrolling interest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(114,490)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(94,688)</w:t>
            </w: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Repurchase of Class C common stock</w:t>
            </w:r>
          </w:p>
        </w:tc>
        <w:tc>
          <w:tcPr>
            <w:tcW w:w="2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(55,792)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(88,927)</w:t>
            </w: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Stock options exercised</w:t>
            </w:r>
          </w:p>
        </w:tc>
        <w:tc>
          <w:tcPr>
            <w:tcW w:w="2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2,280</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Short-term borrowings, net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144,538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77,685</w:t>
            </w: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Proceeds from long-term borrowings</w:t>
            </w:r>
          </w:p>
        </w:tc>
        <w:tc>
          <w:tcPr>
            <w:tcW w:w="2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1,245,000</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 of long-term borrowings</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(1,245,000)</w:t>
            </w: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Payment of tax receivable agreement obligations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(15,402)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(20,773)</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issuance costs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(5,684)</w:t>
            </w:r>
          </w:p>
        </w:tc>
        <w:tc>
          <w:tcPr>
            <w:tcW w:w="0" w:type="dxa"/>
            <w:vAlign w:val="bottom"/>
          </w:tcPr>
          <w:p>
            <w:pPr>
              <w:spacing w:after="0"/>
              <w:rPr>
                <w:sz w:val="1"/>
                <w:szCs w:val="1"/>
                <w:color w:val="auto"/>
              </w:rPr>
            </w:pPr>
          </w:p>
        </w:tc>
      </w:tr>
      <w:tr>
        <w:trPr>
          <w:trHeight w:val="183"/>
        </w:trPr>
        <w:tc>
          <w:tcPr>
            <w:tcW w:w="708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(56,596)</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(131,673)</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(96,240)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(142,977)</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or segregated cash, 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1,126,441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913,991</w:t>
            </w:r>
          </w:p>
        </w:tc>
        <w:tc>
          <w:tcPr>
            <w:tcW w:w="0" w:type="dxa"/>
            <w:vAlign w:val="bottom"/>
          </w:tcPr>
          <w:p>
            <w:pPr>
              <w:spacing w:after="0"/>
              <w:rPr>
                <w:sz w:val="1"/>
                <w:szCs w:val="1"/>
                <w:color w:val="auto"/>
              </w:rPr>
            </w:pPr>
          </w:p>
        </w:tc>
      </w:tr>
      <w:tr>
        <w:trPr>
          <w:trHeight w:val="183"/>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or segregated cash, end of period</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1,030,201</w:t>
            </w:r>
          </w:p>
        </w:tc>
        <w:tc>
          <w:tcPr>
            <w:tcW w:w="100" w:type="dxa"/>
            <w:vAlign w:val="bottom"/>
          </w:tcPr>
          <w:p>
            <w:pPr>
              <w:spacing w:after="0"/>
              <w:rPr>
                <w:sz w:val="15"/>
                <w:szCs w:val="15"/>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771,014</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Supplementary disclosure of cash flow information</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interest</w:t>
            </w: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165,042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20"/>
          </w:cols>
          <w:pgMar w:left="320" w:top="121" w:right="11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2"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1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(Unaudited)</w:t>
      </w:r>
    </w:p>
    <w:p>
      <w:pPr>
        <w:spacing w:after="0" w:line="344"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6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080" w:type="dxa"/>
            <w:vAlign w:val="bottom"/>
            <w:gridSpan w:val="2"/>
            <w:vMerge w:val="continue"/>
          </w:tcPr>
          <w:p>
            <w:pPr>
              <w:spacing w:after="0"/>
              <w:rPr>
                <w:sz w:val="15"/>
                <w:szCs w:val="15"/>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698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Cash paid for taxes</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11,947</w:t>
            </w:r>
          </w:p>
        </w:tc>
        <w:tc>
          <w:tcPr>
            <w:tcW w:w="100" w:type="dxa"/>
            <w:vAlign w:val="bottom"/>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11,918</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7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Share-based and accrued incentive compensation to developers relating to capitalized software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12,778</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5,746</w:t>
            </w: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Non-cash financing activities</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0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Repurchase of Class C common stock</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w:t>
            </w:r>
          </w:p>
        </w:tc>
        <w:tc>
          <w:tcPr>
            <w:tcW w:w="0" w:type="dxa"/>
            <w:vAlign w:val="bottom"/>
          </w:tcPr>
          <w:p>
            <w:pPr>
              <w:spacing w:after="0"/>
              <w:rPr>
                <w:sz w:val="1"/>
                <w:szCs w:val="1"/>
                <w:color w:val="auto"/>
              </w:rPr>
            </w:pPr>
          </w:p>
        </w:tc>
      </w:tr>
      <w:tr>
        <w:trPr>
          <w:trHeight w:val="204"/>
        </w:trPr>
        <w:tc>
          <w:tcPr>
            <w:tcW w:w="7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 of treasury stock</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420"/>
          </w:cols>
          <w:pgMar w:left="320" w:top="121" w:right="115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Virtu Financial, Inc. and Subsidiaries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the Condensed Consolidated Financial Statements (Unaudited)</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(dollars in thousands, except shares and per share amounts, unless otherwise noted)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Basis of Presentation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Organization</w:t>
      </w:r>
    </w:p>
    <w:p>
      <w:pPr>
        <w:spacing w:after="0" w:line="254" w:lineRule="exact"/>
        <w:rPr>
          <w:sz w:val="20"/>
          <w:szCs w:val="20"/>
          <w:color w:val="auto"/>
        </w:rPr>
      </w:pPr>
    </w:p>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March 31, 2026, VFI owned approximately 57.4% of the membership interests of Virtu Financial. VFI is the sole managing member of Virtu Financial and operates and controls all of the businesses and affairs of Virtu Financial and its subsidiaries (the “Group”).</w:t>
      </w:r>
    </w:p>
    <w:p>
      <w:pPr>
        <w:spacing w:after="0" w:line="194" w:lineRule="exact"/>
        <w:rPr>
          <w:sz w:val="20"/>
          <w:szCs w:val="20"/>
          <w:color w:val="auto"/>
        </w:rPr>
      </w:pPr>
    </w:p>
    <w:p>
      <w:pPr>
        <w:ind w:right="120" w:firstLine="629"/>
        <w:spacing w:after="0" w:line="262" w:lineRule="auto"/>
        <w:rPr>
          <w:sz w:val="20"/>
          <w:szCs w:val="20"/>
          <w:color w:val="auto"/>
        </w:rPr>
      </w:pPr>
      <w:r>
        <w:rPr>
          <w:rFonts w:ascii="Times New Roman" w:cs="Times New Roman" w:eastAsia="Times New Roman" w:hAnsi="Times New Roman"/>
          <w:sz w:val="17"/>
          <w:szCs w:val="17"/>
          <w:color w:val="auto"/>
        </w:rPr>
        <w:t>The Company is a leading financial firm that leverages cutting edge technology to deliver liquidity to the global markets and innovative, transparent trading solutions to its clients. The Company provides deep liquidity in over 50,000 financial instruments, on over 150 venues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Exchange-Traded Funds (“ETFs”), options, foreign exchange, futures, fixed income, cryptocurrencies, and other commodities. The Company’s integrated, multi-asset analytics platform provides a range of pre- and post-trade services, data products and compliance tools that its clients rely upon to invest, trade and manage risk across global markets.</w:t>
      </w:r>
    </w:p>
    <w:p>
      <w:pPr>
        <w:spacing w:after="0" w:line="205" w:lineRule="exact"/>
        <w:rPr>
          <w:sz w:val="20"/>
          <w:szCs w:val="20"/>
          <w:color w:val="auto"/>
        </w:rPr>
      </w:pPr>
    </w:p>
    <w:p>
      <w:pPr>
        <w:ind w:right="160" w:firstLine="629"/>
        <w:spacing w:after="0" w:line="270" w:lineRule="auto"/>
        <w:rPr>
          <w:sz w:val="20"/>
          <w:szCs w:val="20"/>
          <w:color w:val="auto"/>
        </w:rPr>
      </w:pPr>
      <w:r>
        <w:rPr>
          <w:rFonts w:ascii="Times New Roman" w:cs="Times New Roman" w:eastAsia="Times New Roman" w:hAnsi="Times New Roman"/>
          <w:sz w:val="17"/>
          <w:szCs w:val="17"/>
          <w:color w:val="auto"/>
        </w:rPr>
        <w:t>The Company has completed two significant acquisitions that have expanded and complemented Virtu Financial's original electronic trading and market making business. On July 20, 2017, the Company completed the all-cash acquisition of KCG Holdings, Inc. (“KCG”) (the “Acquisition of KCG”). On March 1, 2019 (the “ITG Closing Date”), the Company completed the acquisition of Investment Technology Group, Inc. and its subsidiaries (“ITG”) in an all-cash transaction (the “ITG Acquisition”).</w:t>
      </w:r>
    </w:p>
    <w:p>
      <w:pPr>
        <w:spacing w:after="0" w:line="194" w:lineRule="exact"/>
        <w:rPr>
          <w:sz w:val="20"/>
          <w:szCs w:val="20"/>
          <w:color w:val="auto"/>
        </w:rPr>
      </w:pPr>
    </w:p>
    <w:p>
      <w:pPr>
        <w:ind w:right="180" w:firstLine="629"/>
        <w:spacing w:after="0" w:line="262" w:lineRule="auto"/>
        <w:rPr>
          <w:sz w:val="20"/>
          <w:szCs w:val="20"/>
          <w:color w:val="auto"/>
        </w:rPr>
      </w:pPr>
      <w:r>
        <w:rPr>
          <w:rFonts w:ascii="Times New Roman" w:cs="Times New Roman" w:eastAsia="Times New Roman" w:hAnsi="Times New Roman"/>
          <w:sz w:val="17"/>
          <w:szCs w:val="17"/>
          <w:color w:val="auto"/>
        </w:rPr>
        <w:t>Virtu Financial’s principal United States (“U.S.”) subsidiary is Virtu Americas LLC (“VAL”), which is a U.S. broker-dealer. Other principal U.S. subsidiaries include Virtu Financial Global Markets LLC, a U.S. trading entity focused on futures and currencies; Virtu ITG Analytics LLC, a provider of pre-and post-trade analysis, fair value, and trade optimization services; and Virtu ITG Platforms LLC, a provider of workflow technology solutions and network connectivity services. Principal foreign subsidiaries include Virtu Financial Ireland Limited (“VFIL”) and Virtu Europe Trading Limited (“VETL”), each formed in Ireland; Virtu ITG UK Limited (“VIUK”), formed in the United Kingdom; Virtu Canada Corp (f/k/a Virtu ITG Canada Corp.),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spacing w:after="0" w:line="205" w:lineRule="exact"/>
        <w:rPr>
          <w:sz w:val="20"/>
          <w:szCs w:val="20"/>
          <w:color w:val="auto"/>
        </w:rPr>
      </w:pPr>
    </w:p>
    <w:p>
      <w:pPr>
        <w:ind w:right="280" w:firstLine="629"/>
        <w:spacing w:after="0" w:line="296" w:lineRule="auto"/>
        <w:rPr>
          <w:sz w:val="20"/>
          <w:szCs w:val="20"/>
          <w:color w:val="auto"/>
        </w:rPr>
      </w:pPr>
      <w:r>
        <w:rPr>
          <w:rFonts w:ascii="Times New Roman" w:cs="Times New Roman" w:eastAsia="Times New Roman" w:hAnsi="Times New Roman"/>
          <w:sz w:val="17"/>
          <w:szCs w:val="17"/>
          <w:color w:val="auto"/>
        </w:rPr>
        <w:t>The Company has two operating segments: (i) Market Making and (ii) Execution Services; and one non-operating segment: Corporate. See Note 22 “Geographic Information and Business Segments” for a further discussion of the Company’s segments.</w:t>
      </w:r>
    </w:p>
    <w:p>
      <w:pPr>
        <w:spacing w:after="0" w:line="17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On April 19, 2024, the Company entered into a Unit Purchase Agreement with MarketAxess Holdings Inc. (“MarketAxess”) to sell a 49% interest in the multi-asset request-for-quote communication platform joint venture (“JV”), RFQ-hub Holdings LLC (“RFQ-hub Holdings,” or collectively with its wholly owned or controlled subsidiaries, “RFQ-hub”). The sale was completed on May 9, 2025. Upon the closing of the sale, the Company retains a minority interest of approximately 2% in RFQ-hub. The Company ceased to control, and deconsolidated, RFQ-hub at such time. See Note 3 “Sale of RFQ-hub” for further details.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Consolidation and Form of Presentation</w:t>
      </w:r>
    </w:p>
    <w:p>
      <w:pPr>
        <w:spacing w:after="0" w:line="254" w:lineRule="exact"/>
        <w:rPr>
          <w:sz w:val="20"/>
          <w:szCs w:val="20"/>
          <w:color w:val="auto"/>
        </w:rPr>
      </w:pPr>
    </w:p>
    <w:p>
      <w:pPr>
        <w:ind w:right="60" w:firstLine="629"/>
        <w:spacing w:after="0" w:line="268" w:lineRule="auto"/>
        <w:rPr>
          <w:sz w:val="20"/>
          <w:szCs w:val="20"/>
          <w:color w:val="auto"/>
        </w:rPr>
      </w:pPr>
      <w:r>
        <w:rPr>
          <w:rFonts w:ascii="Times New Roman" w:cs="Times New Roman" w:eastAsia="Times New Roman" w:hAnsi="Times New Roman"/>
          <w:sz w:val="17"/>
          <w:szCs w:val="17"/>
          <w:color w:val="auto"/>
        </w:rPr>
        <w:t>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10" w:name="page11"/>
    <w:bookmarkEnd w:id="10"/>
    <w:p>
      <w:pPr>
        <w:ind w:right="20"/>
        <w:spacing w:after="0" w:line="267" w:lineRule="auto"/>
        <w:rPr>
          <w:sz w:val="20"/>
          <w:szCs w:val="20"/>
          <w:color w:val="auto"/>
        </w:rPr>
      </w:pPr>
      <w:r>
        <w:rPr>
          <w:rFonts w:ascii="Times New Roman" w:cs="Times New Roman" w:eastAsia="Times New Roman" w:hAnsi="Times New Roman"/>
          <w:sz w:val="17"/>
          <w:szCs w:val="17"/>
          <w:color w:val="auto"/>
        </w:rPr>
        <w:t>of the results for the periods presented. Certain information and footnote disclosures normally included in financial statements prepared in accordance with U.S. GAAP have been condensed or omitted in accordance with SEC rules and regulations. The Condensed Consolidated Financial Statements of the Company include its equity interests in Virtu Financial and its subsidiaries. As sole managing member of Virtu Financial, the Company exerts control over the Group’s operations. The Company consolidates Virtu Financial and its subsidiaries’ financial statements and records the interests in Virtu Financial that the Company does not own as noncontrolling interests. All intercompany accounts and transactions have been eliminated in consolidation.</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34" w:lineRule="exact"/>
        <w:rPr>
          <w:sz w:val="20"/>
          <w:szCs w:val="20"/>
          <w:color w:val="auto"/>
        </w:rPr>
      </w:pPr>
    </w:p>
    <w:p>
      <w:pPr>
        <w:ind w:right="800" w:firstLine="629"/>
        <w:spacing w:after="0" w:line="274" w:lineRule="auto"/>
        <w:rPr>
          <w:sz w:val="20"/>
          <w:szCs w:val="20"/>
          <w:color w:val="auto"/>
        </w:rPr>
      </w:pPr>
      <w:r>
        <w:rPr>
          <w:rFonts w:ascii="Times New Roman" w:cs="Times New Roman" w:eastAsia="Times New Roman" w:hAnsi="Times New Roman"/>
          <w:sz w:val="17"/>
          <w:szCs w:val="17"/>
          <w:color w:val="auto"/>
        </w:rPr>
        <w:t>For a detailed discussion of the Company's significant accounting policies, see Note 2 “Summary of Significant Accounting Policies” in our consolidated financial statements included in Part II, Item 8 of our Annual Report on Form 10-K for the year ended December 31,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Accounting Pronouncements Not Yet Adopted as of March 31, 2026</w:t>
      </w:r>
    </w:p>
    <w:p>
      <w:pPr>
        <w:spacing w:after="0" w:line="248" w:lineRule="exact"/>
        <w:rPr>
          <w:sz w:val="20"/>
          <w:szCs w:val="20"/>
          <w:color w:val="auto"/>
        </w:rPr>
      </w:pPr>
    </w:p>
    <w:p>
      <w:pPr>
        <w:ind w:right="40" w:firstLine="62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Statement—Reporting Comprehensive Income—Expense Disaggregation Disclosures </w:t>
      </w:r>
      <w:r>
        <w:rPr>
          <w:rFonts w:ascii="Times New Roman" w:cs="Times New Roman" w:eastAsia="Times New Roman" w:hAnsi="Times New Roman"/>
          <w:sz w:val="17"/>
          <w:szCs w:val="17"/>
          <w:color w:val="auto"/>
        </w:rPr>
        <w:t>- In November 2024 and January 2025, the FASB</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issued ASU 2024-03 and ASU 2025-01, </w:t>
      </w:r>
      <w:r>
        <w:rPr>
          <w:rFonts w:ascii="Times New Roman" w:cs="Times New Roman" w:eastAsia="Times New Roman" w:hAnsi="Times New Roman"/>
          <w:sz w:val="17"/>
          <w:szCs w:val="17"/>
          <w:i w:val="1"/>
          <w:iCs w:val="1"/>
          <w:color w:val="auto"/>
        </w:rPr>
        <w:t>Income Statement—Reporting Comprehensive Income—Expense Disaggregation Disclosures (Subtopic 220-40).</w:t>
      </w:r>
      <w:r>
        <w:rPr>
          <w:rFonts w:ascii="Times New Roman" w:cs="Times New Roman" w:eastAsia="Times New Roman" w:hAnsi="Times New Roman"/>
          <w:sz w:val="17"/>
          <w:szCs w:val="17"/>
          <w:color w:val="auto"/>
        </w:rPr>
        <w:t xml:space="preserve"> These ASUs require disclosure of disaggregated information of Income Statement expense captions that include certain costs, such as employee compensation, depreciation, and intangible asset amortization. They also require disclosure of the total amounts of selling expenses, along with an entity's definition of selling expenses. The amendments are effective for annual reporting periods beginning after December 15, 2026 and interim periods within annual reporting periods beginning after December 15, 2027. The Company is currently evaluating the impact of these ASUs, but does not expect them to have a material impact on its Condensed Consolidated Financial Statements and related disclosures.</w:t>
      </w:r>
    </w:p>
    <w:p>
      <w:pPr>
        <w:spacing w:after="0" w:line="198"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Business Combinations and Consolidation </w:t>
      </w:r>
      <w:r>
        <w:rPr>
          <w:rFonts w:ascii="Times New Roman" w:cs="Times New Roman" w:eastAsia="Times New Roman" w:hAnsi="Times New Roman"/>
          <w:sz w:val="17"/>
          <w:szCs w:val="17"/>
          <w:color w:val="auto"/>
        </w:rPr>
        <w:t>- In May 2025, the FASB issued ASU 2025-03,</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Business Combinations (Topic 805) and Consolidation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(Topic 810)</w:t>
      </w:r>
      <w:r>
        <w:rPr>
          <w:rFonts w:ascii="Times New Roman" w:cs="Times New Roman" w:eastAsia="Times New Roman" w:hAnsi="Times New Roman"/>
          <w:sz w:val="17"/>
          <w:szCs w:val="17"/>
          <w:color w:val="auto"/>
        </w:rPr>
        <w:t>. This ASU clarifies the requirement for identifying the accounting acquirer in a business combination involving a Variable Interest Entity (“VIE”).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This ASU is effective for annual reporting periods beginning after December 15, 2026, and interim periods within those annual reporting periods. The Company is currently evaluating the impact of this ASU but does not expect it to have a material impact on its Condensed Consolidated Financial Statements and related disclosures.</w:t>
      </w:r>
    </w:p>
    <w:p>
      <w:pPr>
        <w:spacing w:after="0" w:line="200" w:lineRule="exact"/>
        <w:rPr>
          <w:sz w:val="20"/>
          <w:szCs w:val="20"/>
          <w:color w:val="auto"/>
        </w:rPr>
      </w:pPr>
    </w:p>
    <w:p>
      <w:pPr>
        <w:spacing w:after="0" w:line="204" w:lineRule="exact"/>
        <w:rPr>
          <w:sz w:val="20"/>
          <w:szCs w:val="20"/>
          <w:color w:val="auto"/>
        </w:rPr>
      </w:pPr>
    </w:p>
    <w:p>
      <w:pPr>
        <w:ind w:right="60" w:firstLine="62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Intangibles—Goodwill and Other—Internal-Use Software </w:t>
      </w:r>
      <w:r>
        <w:rPr>
          <w:rFonts w:ascii="Times New Roman" w:cs="Times New Roman" w:eastAsia="Times New Roman" w:hAnsi="Times New Roman"/>
          <w:sz w:val="17"/>
          <w:szCs w:val="17"/>
          <w:color w:val="auto"/>
        </w:rPr>
        <w:t>- In September 2025, the FASB issued ASU 2025-06,</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Intangibles—Goodwill and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Internal-Use Software (Subtopic 350-40)</w:t>
      </w:r>
      <w:r>
        <w:rPr>
          <w:rFonts w:ascii="Times New Roman" w:cs="Times New Roman" w:eastAsia="Times New Roman" w:hAnsi="Times New Roman"/>
          <w:sz w:val="17"/>
          <w:szCs w:val="17"/>
          <w:color w:val="auto"/>
        </w:rPr>
        <w:t>. This ASU updates the capitalization criteria for internal-use software cost by removing references to software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development project stages. This ASU is effective for annual reporting periods beginning after December 15, 2027, and interim periods within those annual reporting periods. The Company is currently evaluating the impact of this ASU but does not expect it to have a material impact on its Condensed Consolidated Financial Statements and related disclosures.</w:t>
      </w:r>
    </w:p>
    <w:p>
      <w:pPr>
        <w:spacing w:after="0" w:line="192" w:lineRule="exact"/>
        <w:rPr>
          <w:sz w:val="20"/>
          <w:szCs w:val="20"/>
          <w:color w:val="auto"/>
        </w:rPr>
      </w:pPr>
    </w:p>
    <w:p>
      <w:pPr>
        <w:ind w:right="80" w:firstLine="62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Derivatives and Hedging </w:t>
      </w:r>
      <w:r>
        <w:rPr>
          <w:rFonts w:ascii="Times New Roman" w:cs="Times New Roman" w:eastAsia="Times New Roman" w:hAnsi="Times New Roman"/>
          <w:sz w:val="17"/>
          <w:szCs w:val="17"/>
          <w:color w:val="auto"/>
        </w:rPr>
        <w:t>- In November 2025, the FASB issued ASU 2025-09,</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Derivatives and Hedging (Topic 815)</w:t>
      </w:r>
      <w:r>
        <w:rPr>
          <w:rFonts w:ascii="Times New Roman" w:cs="Times New Roman" w:eastAsia="Times New Roman" w:hAnsi="Times New Roman"/>
          <w:sz w:val="17"/>
          <w:szCs w:val="17"/>
          <w:color w:val="auto"/>
        </w:rPr>
        <w:t>. This ASU incorporates targeted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improvements to the hedge accounting guidance intended to better align financial reporting with the economics of an entity’s risk management activities. This ASU is effective for annual reporting periods beginning after December 15, 2026, and interim periods within those annual reporting periods. The Company is currently evaluating the impact of this ASU but does not expect it to have a material impact on the Company’s Condensed Consolidated Financial Statements and related disclosures.</w:t>
      </w:r>
    </w:p>
    <w:p>
      <w:pPr>
        <w:spacing w:after="0" w:line="192" w:lineRule="exact"/>
        <w:rPr>
          <w:sz w:val="20"/>
          <w:szCs w:val="20"/>
          <w:color w:val="auto"/>
        </w:rPr>
      </w:pPr>
    </w:p>
    <w:p>
      <w:pPr>
        <w:ind w:right="2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Interim Reporting </w:t>
      </w:r>
      <w:r>
        <w:rPr>
          <w:rFonts w:ascii="Times New Roman" w:cs="Times New Roman" w:eastAsia="Times New Roman" w:hAnsi="Times New Roman"/>
          <w:sz w:val="17"/>
          <w:szCs w:val="17"/>
          <w:color w:val="auto"/>
        </w:rPr>
        <w:t>- In December 2025, the FASB issued ASU 2025-11,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Interim Reporting (Topic 270)</w:t>
      </w:r>
      <w:r>
        <w:rPr>
          <w:rFonts w:ascii="Times New Roman" w:cs="Times New Roman" w:eastAsia="Times New Roman" w:hAnsi="Times New Roman"/>
          <w:sz w:val="17"/>
          <w:szCs w:val="17"/>
          <w:color w:val="auto"/>
        </w:rPr>
        <w:t>. This ASU provides clarity and enhances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navigability of existing interim disclosures required by U.S. GAAP. This ASU is effective for interim reporting periods beginning after December 15, 2027. The Company is currently evaluating the impact of this ASU but does not expect it to have a material impact on the Company’s Condensed Consolidated Financial Statements and related disclosures.</w:t>
      </w:r>
    </w:p>
    <w:p>
      <w:pPr>
        <w:spacing w:after="0" w:line="188" w:lineRule="exact"/>
        <w:rPr>
          <w:sz w:val="20"/>
          <w:szCs w:val="20"/>
          <w:color w:val="auto"/>
        </w:rPr>
      </w:pPr>
    </w:p>
    <w:p>
      <w:pPr>
        <w:ind w:right="2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Codification Improvements </w:t>
      </w:r>
      <w:r>
        <w:rPr>
          <w:rFonts w:ascii="Times New Roman" w:cs="Times New Roman" w:eastAsia="Times New Roman" w:hAnsi="Times New Roman"/>
          <w:sz w:val="17"/>
          <w:szCs w:val="17"/>
          <w:color w:val="auto"/>
        </w:rPr>
        <w:t>- In December 2025, the FASB issued ASU 2025-12,</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Codification Improvements (Evergreen)</w:t>
      </w:r>
      <w:r>
        <w:rPr>
          <w:rFonts w:ascii="Times New Roman" w:cs="Times New Roman" w:eastAsia="Times New Roman" w:hAnsi="Times New Roman"/>
          <w:sz w:val="17"/>
          <w:szCs w:val="17"/>
          <w:color w:val="auto"/>
        </w:rPr>
        <w:t>. This ASU improves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ASC for a broad range of Topics through technical corrections, clarifications, and other minor enhancements. This ASU is effective for annual reporting periods beginning after December 15, 2026, and interim periods within those annual reporting periods. The Company is currently evaluating the impact of this ASU but does not expect it to have a material impact on the Company’s Condensed Consolidated Financial Statements and related disclosures.</w:t>
      </w:r>
    </w:p>
    <w:p>
      <w:pPr>
        <w:spacing w:after="0" w:line="200" w:lineRule="exact"/>
        <w:rPr>
          <w:sz w:val="20"/>
          <w:szCs w:val="20"/>
          <w:color w:val="auto"/>
        </w:rPr>
      </w:pP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3. Sale of RFQ-hub</w:t>
      </w:r>
    </w:p>
    <w:p>
      <w:pPr>
        <w:spacing w:after="0" w:line="213" w:lineRule="exact"/>
        <w:rPr>
          <w:sz w:val="20"/>
          <w:szCs w:val="20"/>
          <w:color w:val="auto"/>
        </w:rPr>
      </w:pPr>
    </w:p>
    <w:p>
      <w:pPr>
        <w:ind w:right="420" w:firstLine="629"/>
        <w:spacing w:after="0" w:line="219" w:lineRule="exact"/>
        <w:rPr>
          <w:sz w:val="20"/>
          <w:szCs w:val="20"/>
          <w:color w:val="auto"/>
        </w:rPr>
      </w:pPr>
      <w:r>
        <w:rPr>
          <w:rFonts w:ascii="Times New Roman" w:cs="Times New Roman" w:eastAsia="Times New Roman" w:hAnsi="Times New Roman"/>
          <w:sz w:val="17"/>
          <w:szCs w:val="17"/>
          <w:color w:val="auto"/>
        </w:rPr>
        <w:t>RFQ</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hub is a multi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asset platform for global listed and over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the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counter (“OTC”) financial instruments. It connects buy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side trading desks and portfolio managers with a large network of sell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side market makers in Europe, North America and the APAC region, allowing these trading desks to place requests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for</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quotes (“RFQ”) in negotiated equities, futures, options, swaps, convertible bonds, structured products and commodities. In May 2022, the Company formed a consortium of strategic partners and investors to own and support the growth of the RFQ-hub business. Through a series of related transactions at that time in 2022, we sold a substantial minority interest in the business to multiple strategic partners and maintained a majority ownership interest.</w:t>
      </w:r>
    </w:p>
    <w:p>
      <w:pPr>
        <w:spacing w:after="0" w:line="222" w:lineRule="exact"/>
        <w:rPr>
          <w:sz w:val="20"/>
          <w:szCs w:val="20"/>
          <w:color w:val="auto"/>
        </w:rPr>
      </w:pPr>
    </w:p>
    <w:p>
      <w:pPr>
        <w:ind w:right="100" w:firstLine="629"/>
        <w:spacing w:after="0" w:line="276" w:lineRule="auto"/>
        <w:rPr>
          <w:sz w:val="20"/>
          <w:szCs w:val="20"/>
          <w:color w:val="auto"/>
        </w:rPr>
      </w:pPr>
      <w:r>
        <w:rPr>
          <w:rFonts w:ascii="Times New Roman" w:cs="Times New Roman" w:eastAsia="Times New Roman" w:hAnsi="Times New Roman"/>
          <w:sz w:val="17"/>
          <w:szCs w:val="17"/>
          <w:color w:val="auto"/>
        </w:rPr>
        <w:t>On April 19, 2024, the Company entered into a Unit Purchase Agreement with MarketAxess Holdings Inc. (“MarketAxess”) pursuant to which the Company has agreed to sell a 49% interest in the multi-asset request-for-quote communication platform JV, RFQ-hub Holdings LLC (“RFQ-hub Holdings,” or collectively with its wholly owned or controlled subsidiaries, “RFQ-hub”, which includes RFQ-hub Americas LLC, or “RAL”).</w:t>
      </w:r>
    </w:p>
    <w:p>
      <w:pPr>
        <w:spacing w:after="0" w:line="190"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On May 9, 2025, the Company completed the sale of a 49% interest in RFQ-hub to MarketAxess for total gross proceeds of $37.9 million in cash. Upon the closing of the sale, the Company retains a minority interest of approximately 2% in RFQ-hub. The Company deconsolidated RFQ-hub and recognized a gain on sale of $67.0 million, which was recorded in Other, net on the Condensed Consolidated Statements of Comprehensive Income.</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 summary of the gain on sale and deconsolidation of RFQ-hub is as follows:</w:t>
      </w:r>
    </w:p>
    <w:p>
      <w:pPr>
        <w:spacing w:after="0" w:line="47" w:lineRule="exact"/>
        <w:rPr>
          <w:sz w:val="20"/>
          <w:szCs w:val="20"/>
          <w:color w:val="auto"/>
        </w:rPr>
      </w:pPr>
    </w:p>
    <w:tbl>
      <w:tblPr>
        <w:tblLayout w:type="fixed"/>
        <w:tblInd w:w="2140" w:type="dxa"/>
        <w:tblCellMar>
          <w:top w:w="0" w:type="dxa"/>
          <w:left w:w="0" w:type="dxa"/>
          <w:bottom w:w="0" w:type="dxa"/>
          <w:right w:w="0" w:type="dxa"/>
        </w:tblCellMar>
      </w:tblPr>
      <w:tr>
        <w:trPr>
          <w:trHeight w:val="184"/>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May 9, 2025</w:t>
            </w:r>
          </w:p>
        </w:tc>
      </w:tr>
      <w:tr>
        <w:trPr>
          <w:trHeight w:val="23"/>
        </w:trPr>
        <w:tc>
          <w:tcPr>
            <w:tcW w:w="5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sale proceeds received</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37,932</w:t>
            </w:r>
          </w:p>
        </w:tc>
      </w:tr>
      <w:tr>
        <w:trPr>
          <w:trHeight w:val="18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Retained noncontrolling investments</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w:t>
            </w:r>
          </w:p>
        </w:tc>
      </w:tr>
      <w:tr>
        <w:trPr>
          <w:trHeight w:val="204"/>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Carrying value of noncontrolling interest deconsolidated</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35,608</w:t>
            </w:r>
          </w:p>
        </w:tc>
      </w:tr>
      <w:tr>
        <w:trPr>
          <w:trHeight w:val="189"/>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Carrying value of RFQ-hub’s net assets:</w:t>
            </w: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04"/>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1,554</w:t>
            </w:r>
          </w:p>
        </w:tc>
      </w:tr>
      <w:tr>
        <w:trPr>
          <w:trHeight w:val="189"/>
        </w:trPr>
        <w:tc>
          <w:tcPr>
            <w:tcW w:w="5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r>
      <w:tr>
        <w:trPr>
          <w:trHeight w:val="204"/>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r>
      <w:tr>
        <w:trPr>
          <w:trHeight w:val="189"/>
        </w:trPr>
        <w:tc>
          <w:tcPr>
            <w:tcW w:w="58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Intangibles (net)</w:t>
            </w: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3,043</w:t>
            </w:r>
          </w:p>
        </w:tc>
      </w:tr>
      <w:tr>
        <w:trPr>
          <w:trHeight w:val="204"/>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3,939</w:t>
            </w:r>
          </w:p>
        </w:tc>
      </w:tr>
      <w:tr>
        <w:trPr>
          <w:trHeight w:val="190"/>
        </w:trPr>
        <w:tc>
          <w:tcPr>
            <w:tcW w:w="58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Liabilities</w:t>
            </w: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(1,684)</w:t>
            </w:r>
          </w:p>
        </w:tc>
      </w:tr>
      <w:tr>
        <w:trPr>
          <w:trHeight w:val="19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Total carrying value of RFQ-hub’s net assets</w:t>
            </w: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8,100</w:t>
            </w:r>
          </w:p>
        </w:tc>
      </w:tr>
      <w:tr>
        <w:trPr>
          <w:trHeight w:val="196"/>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sale of RFQ-hub</w:t>
            </w:r>
          </w:p>
        </w:tc>
        <w:tc>
          <w:tcPr>
            <w:tcW w:w="2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66,988</w:t>
            </w:r>
          </w:p>
        </w:tc>
      </w:tr>
      <w:tr>
        <w:trPr>
          <w:trHeight w:val="20"/>
        </w:trPr>
        <w:tc>
          <w:tcPr>
            <w:tcW w:w="5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Earnings per Share</w:t>
      </w:r>
    </w:p>
    <w:p>
      <w:pPr>
        <w:spacing w:after="0" w:line="252" w:lineRule="exact"/>
        <w:rPr>
          <w:sz w:val="20"/>
          <w:szCs w:val="20"/>
          <w:color w:val="auto"/>
        </w:rPr>
      </w:pPr>
    </w:p>
    <w:p>
      <w:pPr>
        <w:ind w:right="660" w:firstLine="629"/>
        <w:spacing w:after="0" w:line="277" w:lineRule="auto"/>
        <w:rPr>
          <w:sz w:val="20"/>
          <w:szCs w:val="20"/>
          <w:color w:val="auto"/>
        </w:rPr>
      </w:pPr>
      <w:r>
        <w:rPr>
          <w:rFonts w:ascii="Times New Roman" w:cs="Times New Roman" w:eastAsia="Times New Roman" w:hAnsi="Times New Roman"/>
          <w:sz w:val="17"/>
          <w:szCs w:val="17"/>
          <w:color w:val="auto"/>
        </w:rPr>
        <w:t>The below table contains a reconciliation of Net income before income taxes and noncontrolling interest to Net income available for common stockholders:</w:t>
      </w:r>
    </w:p>
    <w:p>
      <w:pPr>
        <w:spacing w:after="0" w:line="1" w:lineRule="exact"/>
        <w:rPr>
          <w:sz w:val="20"/>
          <w:szCs w:val="20"/>
          <w:color w:val="auto"/>
        </w:rPr>
      </w:pPr>
    </w:p>
    <w:tbl>
      <w:tblPr>
        <w:tblLayout w:type="fixed"/>
        <w:tblInd w:w="136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5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409,572</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223,736</w:t>
            </w:r>
          </w:p>
        </w:tc>
        <w:tc>
          <w:tcPr>
            <w:tcW w:w="0" w:type="dxa"/>
            <w:vAlign w:val="bottom"/>
          </w:tcPr>
          <w:p>
            <w:pPr>
              <w:spacing w:after="0"/>
              <w:rPr>
                <w:sz w:val="1"/>
                <w:szCs w:val="1"/>
                <w:color w:val="auto"/>
              </w:rPr>
            </w:pPr>
          </w:p>
        </w:tc>
      </w:tr>
      <w:tr>
        <w:trPr>
          <w:trHeight w:val="190"/>
        </w:trPr>
        <w:tc>
          <w:tcPr>
            <w:tcW w:w="6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62,976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34,101</w:t>
            </w:r>
          </w:p>
        </w:tc>
        <w:tc>
          <w:tcPr>
            <w:tcW w:w="0" w:type="dxa"/>
            <w:vAlign w:val="bottom"/>
          </w:tcPr>
          <w:p>
            <w:pPr>
              <w:spacing w:after="0"/>
              <w:rPr>
                <w:sz w:val="1"/>
                <w:szCs w:val="1"/>
                <w:color w:val="auto"/>
              </w:rPr>
            </w:pPr>
          </w:p>
        </w:tc>
      </w:tr>
      <w:tr>
        <w:trPr>
          <w:trHeight w:val="196"/>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346,596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189,635</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(164,287)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(89,954)</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available for common stockholders</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182,309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99,681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1206" w:right="379" w:bottom="1440" w:gutter="0" w:footer="0" w:header="0"/>
        </w:sectPr>
      </w:pPr>
    </w:p>
    <w:bookmarkStart w:id="12" w:name="page13"/>
    <w:bookmarkEnd w:id="12"/>
    <w:p>
      <w:pPr>
        <w:ind w:left="640"/>
        <w:spacing w:after="0"/>
        <w:rPr>
          <w:sz w:val="20"/>
          <w:szCs w:val="20"/>
          <w:color w:val="auto"/>
        </w:rPr>
      </w:pPr>
      <w:r>
        <w:rPr>
          <w:rFonts w:ascii="Times New Roman" w:cs="Times New Roman" w:eastAsia="Times New Roman" w:hAnsi="Times New Roman"/>
          <w:sz w:val="17"/>
          <w:szCs w:val="17"/>
          <w:color w:val="auto"/>
        </w:rPr>
        <w:t>The calculation of basic and diluted earnings per share is presented below:</w:t>
      </w:r>
    </w:p>
    <w:p>
      <w:pPr>
        <w:spacing w:after="0" w:line="47"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share or per share data)</w:t>
            </w: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5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income available for common stockholders</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182,309</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99,681</w:t>
            </w:r>
          </w:p>
        </w:tc>
        <w:tc>
          <w:tcPr>
            <w:tcW w:w="0" w:type="dxa"/>
            <w:vAlign w:val="bottom"/>
          </w:tcPr>
          <w:p>
            <w:pPr>
              <w:spacing w:after="0"/>
              <w:rPr>
                <w:sz w:val="1"/>
                <w:szCs w:val="1"/>
                <w:color w:val="auto"/>
              </w:rPr>
            </w:pPr>
          </w:p>
        </w:tc>
      </w:tr>
      <w:tr>
        <w:trPr>
          <w:trHeight w:val="204"/>
        </w:trPr>
        <w:tc>
          <w:tcPr>
            <w:tcW w:w="6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Dividends and undistributed earnings allocated to participating securities</w:t>
            </w: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(10,599)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(6,369)</w:t>
            </w:r>
          </w:p>
        </w:tc>
        <w:tc>
          <w:tcPr>
            <w:tcW w:w="0" w:type="dxa"/>
            <w:vAlign w:val="bottom"/>
          </w:tcPr>
          <w:p>
            <w:pPr>
              <w:spacing w:after="0"/>
              <w:rPr>
                <w:sz w:val="1"/>
                <w:szCs w:val="1"/>
                <w:color w:val="auto"/>
              </w:rPr>
            </w:pPr>
          </w:p>
        </w:tc>
      </w:tr>
      <w:tr>
        <w:trPr>
          <w:trHeight w:val="115"/>
        </w:trPr>
        <w:tc>
          <w:tcPr>
            <w:tcW w:w="608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3"/>
                <w:szCs w:val="13"/>
                <w:color w:val="auto"/>
              </w:rPr>
              <w:t>Net income available for common stockholders, net of dividends and undistributed earnings allocated to</w:t>
            </w:r>
          </w:p>
        </w:tc>
        <w:tc>
          <w:tcPr>
            <w:tcW w:w="200" w:type="dxa"/>
            <w:vAlign w:val="bottom"/>
          </w:tcPr>
          <w:p>
            <w:pPr>
              <w:spacing w:after="0"/>
              <w:rPr>
                <w:sz w:val="9"/>
                <w:szCs w:val="9"/>
                <w:color w:val="auto"/>
              </w:rPr>
            </w:pPr>
          </w:p>
        </w:tc>
        <w:tc>
          <w:tcPr>
            <w:tcW w:w="102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171,710</w:t>
            </w: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93,312</w:t>
            </w:r>
          </w:p>
        </w:tc>
        <w:tc>
          <w:tcPr>
            <w:tcW w:w="0" w:type="dxa"/>
            <w:vAlign w:val="bottom"/>
          </w:tcPr>
          <w:p>
            <w:pPr>
              <w:spacing w:after="0"/>
              <w:rPr>
                <w:sz w:val="1"/>
                <w:szCs w:val="1"/>
                <w:color w:val="auto"/>
              </w:rPr>
            </w:pPr>
          </w:p>
        </w:tc>
      </w:tr>
      <w:tr>
        <w:trPr>
          <w:trHeight w:val="188"/>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participating securities</w:t>
            </w: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shares of common stock outstanding:</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Class A</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86,093,727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85,681,015</w:t>
            </w:r>
          </w:p>
        </w:tc>
        <w:tc>
          <w:tcPr>
            <w:tcW w:w="0" w:type="dxa"/>
            <w:vAlign w:val="bottom"/>
          </w:tcPr>
          <w:p>
            <w:pPr>
              <w:spacing w:after="0"/>
              <w:rPr>
                <w:sz w:val="1"/>
                <w:szCs w:val="1"/>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tbl>
      <w:tblPr>
        <w:tblLayout w:type="fixed"/>
        <w:tblInd w:w="1360" w:type="dxa"/>
        <w:tblCellMar>
          <w:top w:w="0" w:type="dxa"/>
          <w:left w:w="0" w:type="dxa"/>
          <w:bottom w:w="0" w:type="dxa"/>
          <w:right w:w="0" w:type="dxa"/>
        </w:tblCellMar>
      </w:tblPr>
      <w:tr>
        <w:trPr>
          <w:trHeight w:val="184"/>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8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6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share or per share data)</w:t>
            </w: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0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59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60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color w:val="auto"/>
              </w:rPr>
              <w:t>Net income available for common stockholders, net of dividends and undistributed earnings allocated to</w:t>
            </w:r>
          </w:p>
        </w:tc>
        <w:tc>
          <w:tcPr>
            <w:tcW w:w="1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171,710</w:t>
            </w:r>
          </w:p>
        </w:tc>
        <w:tc>
          <w:tcPr>
            <w:tcW w:w="100" w:type="dxa"/>
            <w:vAlign w:val="bottom"/>
          </w:tcPr>
          <w:p>
            <w:pPr>
              <w:spacing w:after="0"/>
              <w:rPr>
                <w:sz w:val="11"/>
                <w:szCs w:val="11"/>
                <w:color w:val="auto"/>
              </w:rPr>
            </w:pPr>
          </w:p>
        </w:tc>
        <w:tc>
          <w:tcPr>
            <w:tcW w:w="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93,312</w:t>
            </w:r>
          </w:p>
        </w:tc>
        <w:tc>
          <w:tcPr>
            <w:tcW w:w="0" w:type="dxa"/>
            <w:vAlign w:val="bottom"/>
          </w:tcPr>
          <w:p>
            <w:pPr>
              <w:spacing w:after="0"/>
              <w:rPr>
                <w:sz w:val="1"/>
                <w:szCs w:val="1"/>
                <w:color w:val="auto"/>
              </w:rPr>
            </w:pPr>
          </w:p>
        </w:tc>
      </w:tr>
      <w:tr>
        <w:trPr>
          <w:trHeight w:val="18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participating securities</w:t>
            </w:r>
          </w:p>
        </w:tc>
        <w:tc>
          <w:tcPr>
            <w:tcW w:w="1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Weighted average shares of common stock outstanding:</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Class A</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Issued and outstanding</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86,093,727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85,681,015</w:t>
            </w:r>
          </w:p>
        </w:tc>
        <w:tc>
          <w:tcPr>
            <w:tcW w:w="0" w:type="dxa"/>
            <w:vAlign w:val="bottom"/>
          </w:tcPr>
          <w:p>
            <w:pPr>
              <w:spacing w:after="0"/>
              <w:rPr>
                <w:sz w:val="1"/>
                <w:szCs w:val="1"/>
                <w:color w:val="auto"/>
              </w:rPr>
            </w:pPr>
          </w:p>
        </w:tc>
      </w:tr>
      <w:tr>
        <w:trPr>
          <w:trHeight w:val="197"/>
        </w:trPr>
        <w:tc>
          <w:tcPr>
            <w:tcW w:w="6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Issuable pursuant to Second Amended and Restated 2015 Management Incentive Plan</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366,543</w:t>
            </w: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86,093,727</w:t>
            </w: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86,047,558</w:t>
            </w:r>
          </w:p>
        </w:tc>
        <w:tc>
          <w:tcPr>
            <w:tcW w:w="0" w:type="dxa"/>
            <w:vAlign w:val="bottom"/>
          </w:tcPr>
          <w:p>
            <w:pPr>
              <w:spacing w:after="0"/>
              <w:rPr>
                <w:sz w:val="1"/>
                <w:szCs w:val="1"/>
                <w:color w:val="auto"/>
              </w:rPr>
            </w:pPr>
          </w:p>
        </w:tc>
      </w:tr>
      <w:tr>
        <w:trPr>
          <w:trHeight w:val="217"/>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0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Diluted earnings per share</w:t>
            </w: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6"/>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Tax Receivable Agreements</w:t>
      </w:r>
    </w:p>
    <w:p>
      <w:pPr>
        <w:spacing w:after="0" w:line="252" w:lineRule="exact"/>
        <w:rPr>
          <w:sz w:val="20"/>
          <w:szCs w:val="20"/>
          <w:color w:val="auto"/>
        </w:rPr>
      </w:pPr>
    </w:p>
    <w:p>
      <w:pPr>
        <w:ind w:right="700" w:firstLine="629"/>
        <w:spacing w:after="0" w:line="296" w:lineRule="auto"/>
        <w:rPr>
          <w:sz w:val="20"/>
          <w:szCs w:val="20"/>
          <w:color w:val="auto"/>
        </w:rPr>
      </w:pPr>
      <w:r>
        <w:rPr>
          <w:rFonts w:ascii="Times New Roman" w:cs="Times New Roman" w:eastAsia="Times New Roman" w:hAnsi="Times New Roman"/>
          <w:sz w:val="17"/>
          <w:szCs w:val="17"/>
          <w:color w:val="auto"/>
        </w:rPr>
        <w:t>For a detailed discussion of the Company’s tax receivable agreements, see Note 5 “Tax Receivable Agreements” in our consolidated financial statements included in Part II, Item 8 of our Annual Report on Form 10-K for the year ended December 31, 2025.</w:t>
      </w:r>
    </w:p>
    <w:p>
      <w:pPr>
        <w:spacing w:after="0" w:line="173"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For the purposes of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spacing w:after="0" w:line="198" w:lineRule="exact"/>
        <w:rPr>
          <w:sz w:val="20"/>
          <w:szCs w:val="20"/>
          <w:color w:val="auto"/>
        </w:rPr>
      </w:pPr>
    </w:p>
    <w:p>
      <w:pPr>
        <w:ind w:right="360" w:firstLine="629"/>
        <w:spacing w:after="0" w:line="296" w:lineRule="auto"/>
        <w:rPr>
          <w:sz w:val="20"/>
          <w:szCs w:val="20"/>
          <w:color w:val="auto"/>
        </w:rPr>
      </w:pPr>
      <w:r>
        <w:rPr>
          <w:rFonts w:ascii="Times New Roman" w:cs="Times New Roman" w:eastAsia="Times New Roman" w:hAnsi="Times New Roman"/>
          <w:sz w:val="17"/>
          <w:szCs w:val="17"/>
          <w:color w:val="auto"/>
        </w:rPr>
        <w:t>The Company made payments totaling $150.2 million from February 2017 through March 2026 with respect to its TRA obligation. Tax receivable payments are expected to range from approximately $0.3 million to $22.5 million per year over the next 15 years.</w:t>
      </w:r>
    </w:p>
    <w:p>
      <w:pPr>
        <w:spacing w:after="0" w:line="173"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At March 31, 2026 and December 31, 2025, the Company’s remaining deferred tax assets that relate to the matters described above were approximately $85.8 million and $91.4 million, respectively, and the Company’s liabilities over the next 15 years pursuant to the tax receivable agreements were approximately $166.5 million and $181.9 million for March 31, 2026 and December 31, 2025, respectively. The amounts recorded as of March 31, 2026 and December 31, 2025 are based on best estimates available at the respective dates and may be subject to change after the filing of the Company’s U.S. federal and state income tax returns for the years in which tax savings were realized.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6. Goodwill and Intangible Assets</w:t>
      </w:r>
    </w:p>
    <w:p>
      <w:pPr>
        <w:spacing w:after="0" w:line="252" w:lineRule="exact"/>
        <w:rPr>
          <w:sz w:val="20"/>
          <w:szCs w:val="20"/>
          <w:color w:val="auto"/>
        </w:rPr>
      </w:pPr>
    </w:p>
    <w:p>
      <w:pPr>
        <w:jc w:val="both"/>
        <w:ind w:right="140" w:firstLine="629"/>
        <w:spacing w:after="0" w:line="276" w:lineRule="auto"/>
        <w:rPr>
          <w:sz w:val="20"/>
          <w:szCs w:val="20"/>
          <w:color w:val="auto"/>
        </w:rPr>
      </w:pPr>
      <w:r>
        <w:rPr>
          <w:rFonts w:ascii="Times New Roman" w:cs="Times New Roman" w:eastAsia="Times New Roman" w:hAnsi="Times New Roman"/>
          <w:sz w:val="17"/>
          <w:szCs w:val="17"/>
          <w:color w:val="auto"/>
        </w:rPr>
        <w:t>The Company has two operating segments: (i) Market Making; and (ii) Execution Services; and one non-operating segment: Corporate. As of March 31, 2026 and December 31, 2025, the Company’s total amount of goodwill recorded was $1,148.9 million. No goodwill impairment was recognized during the three months ended March 31, 2026 and 2025.</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details of goodwill by segment as of March 31, 2026 and December 31, 2025:</w:t>
      </w:r>
    </w:p>
    <w:p>
      <w:pPr>
        <w:spacing w:after="0" w:line="47"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5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5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5"/>
        </w:trPr>
        <w:tc>
          <w:tcPr>
            <w:tcW w:w="5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period-end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755,292</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393,634</w:t>
            </w:r>
          </w:p>
        </w:tc>
        <w:tc>
          <w:tcPr>
            <w:tcW w:w="1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1,148,926</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2" w:lineRule="exact"/>
        <w:rPr>
          <w:sz w:val="20"/>
          <w:szCs w:val="20"/>
          <w:color w:val="auto"/>
        </w:rPr>
      </w:pPr>
    </w:p>
    <w:p>
      <w:pPr>
        <w:ind w:right="460" w:firstLine="629"/>
        <w:spacing w:after="0" w:line="296" w:lineRule="auto"/>
        <w:rPr>
          <w:sz w:val="20"/>
          <w:szCs w:val="20"/>
          <w:color w:val="auto"/>
        </w:rPr>
      </w:pPr>
      <w:r>
        <w:rPr>
          <w:rFonts w:ascii="Times New Roman" w:cs="Times New Roman" w:eastAsia="Times New Roman" w:hAnsi="Times New Roman"/>
          <w:sz w:val="17"/>
          <w:szCs w:val="17"/>
          <w:color w:val="auto"/>
        </w:rPr>
        <w:t>As of March 31, 2026 and December 31, 2025, the Company’s total amount of intangible assets recorded was $143.1 million and $154.9 million, respectively. Acquired intangible assets consisted of the following as of March 31, 2026 and December 31, 2025:</w:t>
      </w:r>
    </w:p>
    <w:p>
      <w:pPr>
        <w:spacing w:after="0" w:line="75"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0"/>
                <w:szCs w:val="10"/>
                <w:color w:val="auto"/>
              </w:rPr>
            </w:pPr>
          </w:p>
        </w:tc>
        <w:tc>
          <w:tcPr>
            <w:tcW w:w="12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0"/>
                <w:szCs w:val="10"/>
                <w:color w:val="auto"/>
              </w:rPr>
            </w:pPr>
          </w:p>
        </w:tc>
        <w:tc>
          <w:tcPr>
            <w:tcW w:w="1260" w:type="dxa"/>
            <w:vAlign w:val="bottom"/>
            <w:gridSpan w:val="2"/>
          </w:tcPr>
          <w:p>
            <w:pPr>
              <w:jc w:val="center"/>
              <w:ind w:right="30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1080" w:type="dxa"/>
            <w:vAlign w:val="bottom"/>
          </w:tcPr>
          <w:p>
            <w:pPr>
              <w:jc w:val="right"/>
              <w:ind w:right="150"/>
              <w:spacing w:after="0" w:line="126"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60" w:type="dxa"/>
            <w:vAlign w:val="bottom"/>
          </w:tcPr>
          <w:p>
            <w:pPr>
              <w:spacing w:after="0"/>
              <w:rPr>
                <w:sz w:val="16"/>
                <w:szCs w:val="16"/>
                <w:color w:val="auto"/>
              </w:rPr>
            </w:pPr>
          </w:p>
        </w:tc>
        <w:tc>
          <w:tcPr>
            <w:tcW w:w="108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479,130</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(340,185)</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138,945</w:t>
            </w: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10</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12</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center"/>
              <w:ind w:left="210"/>
              <w:spacing w:after="0"/>
              <w:rPr>
                <w:sz w:val="20"/>
                <w:szCs w:val="20"/>
                <w:color w:val="auto"/>
              </w:rPr>
            </w:pPr>
            <w:r>
              <w:rPr>
                <w:rFonts w:ascii="Times New Roman" w:cs="Times New Roman" w:eastAsia="Times New Roman" w:hAnsi="Times New Roman"/>
                <w:sz w:val="14"/>
                <w:szCs w:val="14"/>
                <w:color w:val="auto"/>
                <w:w w:val="85"/>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Favorable occupancy leases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5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color w:val="auto"/>
                <w:w w:val="85"/>
              </w:rPr>
              <w:t>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15</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memberships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ETF issuer relationships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ETF buyer relationships</w:t>
            </w: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630,523</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(487,375)</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143,148</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tbl>
      <w:tblPr>
        <w:tblLayout w:type="fixed"/>
        <w:tblInd w:w="26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0"/>
                <w:szCs w:val="10"/>
                <w:color w:val="auto"/>
              </w:rPr>
            </w:pPr>
          </w:p>
        </w:tc>
        <w:tc>
          <w:tcPr>
            <w:tcW w:w="1280" w:type="dxa"/>
            <w:vAlign w:val="bottom"/>
            <w:gridSpan w:val="2"/>
          </w:tcPr>
          <w:p>
            <w:pPr>
              <w:jc w:val="center"/>
              <w:ind w:right="260"/>
              <w:spacing w:after="0" w:line="126"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60" w:type="dxa"/>
            <w:vAlign w:val="bottom"/>
          </w:tcPr>
          <w:p>
            <w:pPr>
              <w:spacing w:after="0"/>
              <w:rPr>
                <w:sz w:val="10"/>
                <w:szCs w:val="10"/>
                <w:color w:val="auto"/>
              </w:rPr>
            </w:pPr>
          </w:p>
        </w:tc>
        <w:tc>
          <w:tcPr>
            <w:tcW w:w="124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0"/>
                <w:szCs w:val="10"/>
                <w:color w:val="auto"/>
              </w:rPr>
            </w:pPr>
          </w:p>
        </w:tc>
        <w:tc>
          <w:tcPr>
            <w:tcW w:w="1080" w:type="dxa"/>
            <w:vAlign w:val="bottom"/>
          </w:tcPr>
          <w:p>
            <w:pPr>
              <w:jc w:val="right"/>
              <w:ind w:right="150"/>
              <w:spacing w:after="0" w:line="126"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rPr>
              <w:t>Useful Lives</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9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479,130</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(328,411)</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150,719</w:t>
            </w:r>
          </w:p>
        </w:tc>
        <w:tc>
          <w:tcPr>
            <w:tcW w:w="1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center"/>
              <w:ind w:left="70"/>
              <w:spacing w:after="0"/>
              <w:rPr>
                <w:sz w:val="20"/>
                <w:szCs w:val="20"/>
                <w:color w:val="auto"/>
              </w:rPr>
            </w:pPr>
            <w:r>
              <w:rPr>
                <w:rFonts w:ascii="Times New Roman" w:cs="Times New Roman" w:eastAsia="Times New Roman" w:hAnsi="Times New Roman"/>
                <w:sz w:val="14"/>
                <w:szCs w:val="14"/>
                <w:color w:val="auto"/>
                <w:w w:val="99"/>
              </w:rPr>
              <w:t>10</w:t>
            </w: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Borders>
              <w:top w:val="single" w:sz="8" w:color="auto"/>
            </w:tcBorders>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12</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Technology</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(136,000)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center"/>
              <w:ind w:left="210"/>
              <w:spacing w:after="0"/>
              <w:rPr>
                <w:sz w:val="20"/>
                <w:szCs w:val="20"/>
                <w:color w:val="auto"/>
              </w:rPr>
            </w:pPr>
            <w:r>
              <w:rPr>
                <w:rFonts w:ascii="Times New Roman" w:cs="Times New Roman" w:eastAsia="Times New Roman" w:hAnsi="Times New Roman"/>
                <w:sz w:val="14"/>
                <w:szCs w:val="14"/>
                <w:color w:val="auto"/>
                <w:w w:val="85"/>
              </w:rPr>
              <w:t>1</w:t>
            </w: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tcPr>
          <w:p>
            <w:pPr>
              <w:jc w:val="center"/>
              <w:ind w:right="70"/>
              <w:spacing w:after="0"/>
              <w:rPr>
                <w:sz w:val="20"/>
                <w:szCs w:val="20"/>
                <w:color w:val="auto"/>
              </w:rPr>
            </w:pPr>
            <w:r>
              <w:rPr>
                <w:rFonts w:ascii="Times New Roman" w:cs="Times New Roman" w:eastAsia="Times New Roman" w:hAnsi="Times New Roman"/>
                <w:sz w:val="14"/>
                <w:szCs w:val="14"/>
                <w:color w:val="auto"/>
                <w:w w:val="85"/>
              </w:rPr>
              <w:t>6</w:t>
            </w: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Favorable occupancy leases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54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4"/>
                <w:szCs w:val="14"/>
                <w:color w:val="auto"/>
                <w:w w:val="85"/>
              </w:rPr>
              <w:t>3</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1"/>
              </w:rPr>
              <w:t>to</w:t>
            </w:r>
          </w:p>
        </w:tc>
        <w:tc>
          <w:tcPr>
            <w:tcW w:w="40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4"/>
                <w:szCs w:val="14"/>
                <w:color w:val="auto"/>
                <w:w w:val="99"/>
              </w:rPr>
              <w:t>15</w:t>
            </w: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Exchange memberships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Indefinite</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name</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3</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ETF issuer relationships</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ETF buyer relationships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630,523</w:t>
            </w:r>
          </w:p>
        </w:tc>
        <w:tc>
          <w:tcPr>
            <w:tcW w:w="160" w:type="dxa"/>
            <w:vAlign w:val="bottom"/>
          </w:tcPr>
          <w:p>
            <w:pPr>
              <w:spacing w:after="0"/>
              <w:rPr>
                <w:sz w:val="16"/>
                <w:szCs w:val="16"/>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(475,592)</w:t>
            </w:r>
          </w:p>
        </w:tc>
        <w:tc>
          <w:tcPr>
            <w:tcW w:w="140" w:type="dxa"/>
            <w:vAlign w:val="bottom"/>
          </w:tcPr>
          <w:p>
            <w:pPr>
              <w:spacing w:after="0"/>
              <w:rPr>
                <w:sz w:val="16"/>
                <w:szCs w:val="16"/>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154,931</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Amortization expense relating to finite-lived intangible assets was approximately $11.8 million and $11.8 million for the three months ended March 31, 2026 and 2025, respectively. This is included in Amortization of purchased intangibles and acquired capitalized software in the accompanying Condensed Consolidated Statements of Comprehensive Income.</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expects to record amortization expense as follows over the next five subsequent years:</w:t>
      </w:r>
    </w:p>
    <w:p>
      <w:pPr>
        <w:spacing w:after="0" w:line="47" w:lineRule="exact"/>
        <w:rPr>
          <w:sz w:val="20"/>
          <w:szCs w:val="20"/>
          <w:color w:val="auto"/>
        </w:rPr>
      </w:pPr>
    </w:p>
    <w:tbl>
      <w:tblPr>
        <w:tblLayout w:type="fixed"/>
        <w:tblInd w:w="3420" w:type="dxa"/>
        <w:tblCellMar>
          <w:top w:w="0" w:type="dxa"/>
          <w:left w:w="0" w:type="dxa"/>
          <w:bottom w:w="0" w:type="dxa"/>
          <w:right w:w="0" w:type="dxa"/>
        </w:tblCellMar>
      </w:tblPr>
      <w:tr>
        <w:trPr>
          <w:trHeight w:val="184"/>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
        </w:trPr>
        <w:tc>
          <w:tcPr>
            <w:tcW w:w="17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6"/>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2026</w:t>
            </w:r>
          </w:p>
        </w:tc>
        <w:tc>
          <w:tcPr>
            <w:tcW w:w="162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35,349</w:t>
            </w: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6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47,132</w:t>
            </w:r>
          </w:p>
        </w:tc>
      </w:tr>
      <w:tr>
        <w:trPr>
          <w:trHeight w:val="20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6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47,132</w:t>
            </w:r>
          </w:p>
        </w:tc>
      </w:tr>
      <w:tr>
        <w:trPr>
          <w:trHeight w:val="189"/>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6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9,466</w:t>
            </w:r>
          </w:p>
        </w:tc>
      </w:tr>
      <w:tr>
        <w:trPr>
          <w:trHeight w:val="204"/>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6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82"/>
        </w:trPr>
        <w:tc>
          <w:tcPr>
            <w:tcW w:w="1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2031</w:t>
            </w:r>
          </w:p>
        </w:tc>
        <w:tc>
          <w:tcPr>
            <w:tcW w:w="16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color w:val="auto"/>
        </w:rPr>
        <w:t>7. Receivables from/Payables to Broker-Dealers and Clearing Organizations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is a summary of receivables from and payables to brokers-dealers and clearing organizations at March 31, 2026 and December 31, 2025:</w:t>
      </w:r>
    </w:p>
    <w:p>
      <w:pPr>
        <w:spacing w:after="0" w:line="257"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6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Due from prime brokers</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1,601,842</w:t>
            </w:r>
          </w:p>
        </w:tc>
        <w:tc>
          <w:tcPr>
            <w:tcW w:w="100" w:type="dxa"/>
            <w:vAlign w:val="bottom"/>
          </w:tcPr>
          <w:p>
            <w:pPr>
              <w:spacing w:after="0"/>
              <w:rPr>
                <w:sz w:val="16"/>
                <w:szCs w:val="16"/>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902,859</w:t>
            </w:r>
          </w:p>
        </w:tc>
      </w:tr>
      <w:tr>
        <w:trPr>
          <w:trHeight w:val="204"/>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 with clearing organizations</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363,967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253,010</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equity with futures commission merchants</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371,063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455,105</w:t>
            </w:r>
          </w:p>
        </w:tc>
      </w:tr>
      <w:tr>
        <w:trPr>
          <w:trHeight w:val="204"/>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Unsettled trades with clearing organizations</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1,051,821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28,354</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failed to deliver</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380,773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220,326</w:t>
            </w:r>
          </w:p>
        </w:tc>
      </w:tr>
      <w:tr>
        <w:trPr>
          <w:trHeight w:val="197"/>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and fees</w:t>
            </w:r>
          </w:p>
        </w:tc>
        <w:tc>
          <w:tcPr>
            <w:tcW w:w="2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41,710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36,751</w:t>
            </w:r>
          </w:p>
        </w:tc>
      </w:tr>
      <w:tr>
        <w:trPr>
          <w:trHeight w:val="196"/>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receivables from broker-dealers and clearing organizations</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3,811,176</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1,896,405</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76"/>
        </w:trPr>
        <w:tc>
          <w:tcPr>
            <w:tcW w:w="6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90"/>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03"/>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to prime brokers</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1,182,736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612,679</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equity with futures commission merchants (1)</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(7,178)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(4,278)</w:t>
            </w:r>
          </w:p>
        </w:tc>
      </w:tr>
      <w:tr>
        <w:trPr>
          <w:trHeight w:val="204"/>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Unsettled trades with clearing organizations</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238,872</w:t>
            </w:r>
          </w:p>
        </w:tc>
      </w:tr>
      <w:tr>
        <w:trPr>
          <w:trHeight w:val="189"/>
        </w:trPr>
        <w:tc>
          <w:tcPr>
            <w:tcW w:w="70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failed to receive</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211,240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145,548</w:t>
            </w:r>
          </w:p>
        </w:tc>
      </w:tr>
      <w:tr>
        <w:trPr>
          <w:trHeight w:val="197"/>
        </w:trPr>
        <w:tc>
          <w:tcPr>
            <w:tcW w:w="7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Commissions and fees</w:t>
            </w:r>
          </w:p>
        </w:tc>
        <w:tc>
          <w:tcPr>
            <w:tcW w:w="2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5,455</w:t>
            </w:r>
          </w:p>
        </w:tc>
      </w:tr>
      <w:tr>
        <w:trPr>
          <w:trHeight w:val="196"/>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payables to broker-dealers and clearing organizations</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1,401,039</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998,276</w:t>
            </w:r>
          </w:p>
        </w:tc>
      </w:tr>
      <w:tr>
        <w:trPr>
          <w:trHeight w:val="20"/>
        </w:trPr>
        <w:tc>
          <w:tcPr>
            <w:tcW w:w="6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82" w:lineRule="exact"/>
        <w:rPr>
          <w:sz w:val="20"/>
          <w:szCs w:val="20"/>
          <w:color w:val="auto"/>
        </w:rPr>
      </w:pPr>
    </w:p>
    <w:p>
      <w:pPr>
        <w:ind w:left="320" w:right="200" w:hanging="315"/>
        <w:spacing w:after="0" w:line="295" w:lineRule="auto"/>
        <w:tabs>
          <w:tab w:leader="none" w:pos="27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presents its balances, including outstanding principal balances on all broker credit facilities, on a net-by-counterparty basis within receivables from and payables to broker-dealers and clearing organizations when the criteria for offsetting are met</w:t>
      </w:r>
      <w:r>
        <w:rPr>
          <w:rFonts w:ascii="Times New Roman" w:cs="Times New Roman" w:eastAsia="Times New Roman" w:hAnsi="Times New Roman"/>
          <w:sz w:val="17"/>
          <w:szCs w:val="17"/>
          <w:color w:val="auto"/>
        </w:rPr>
        <w:t>.</w:t>
      </w:r>
    </w:p>
    <w:p>
      <w:pPr>
        <w:spacing w:after="0" w:line="182"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Included as a deduction from “Due from prime brokers” and “Net equity with futures commission merchants” is the outstanding principal balance on all of the Company’s prime brokerage credit facilities (described in Note 9 “Borrowings”) of approximately $398.5 million and $203.8 million as of March 31, 2026 and December 31, 2025,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Collateralized Transactions</w:t>
      </w:r>
    </w:p>
    <w:p>
      <w:pPr>
        <w:spacing w:after="0" w:line="252" w:lineRule="exact"/>
        <w:rPr>
          <w:sz w:val="20"/>
          <w:szCs w:val="20"/>
          <w:color w:val="auto"/>
        </w:rPr>
      </w:pPr>
    </w:p>
    <w:p>
      <w:pPr>
        <w:ind w:right="180" w:firstLine="629"/>
        <w:spacing w:after="0" w:line="276" w:lineRule="auto"/>
        <w:rPr>
          <w:sz w:val="20"/>
          <w:szCs w:val="20"/>
          <w:color w:val="auto"/>
        </w:rPr>
      </w:pPr>
      <w:r>
        <w:rPr>
          <w:rFonts w:ascii="Times New Roman" w:cs="Times New Roman" w:eastAsia="Times New Roman" w:hAnsi="Times New Roman"/>
          <w:sz w:val="17"/>
          <w:szCs w:val="17"/>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March 31, 2026 and December 31, 2025, substantially all of the securities received as collateral have been repledged.</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fair value of the collateralized transactions at March 31, 2026 and December 31, 2025 are summarized as follows:</w:t>
      </w:r>
    </w:p>
    <w:p>
      <w:pPr>
        <w:spacing w:after="0" w:line="47"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Securities received as collateral:</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89"/>
        </w:trPr>
        <w:tc>
          <w:tcPr>
            <w:tcW w:w="75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Securities borrowed</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3,044,456</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3,083,612</w:t>
            </w:r>
          </w:p>
        </w:tc>
      </w:tr>
      <w:tr>
        <w:trPr>
          <w:trHeight w:val="197"/>
        </w:trPr>
        <w:tc>
          <w:tcPr>
            <w:tcW w:w="7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1,644,231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988,274</w:t>
            </w:r>
          </w:p>
        </w:tc>
      </w:tr>
      <w:tr>
        <w:trPr>
          <w:trHeight w:val="190"/>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4,688,687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4,071,886</w:t>
            </w:r>
          </w:p>
        </w:tc>
      </w:tr>
      <w:tr>
        <w:trPr>
          <w:trHeight w:val="26"/>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86" w:lineRule="exact"/>
        <w:rPr>
          <w:sz w:val="20"/>
          <w:szCs w:val="20"/>
          <w:color w:val="auto"/>
        </w:rPr>
      </w:pPr>
    </w:p>
    <w:p>
      <w:pPr>
        <w:ind w:right="560" w:firstLine="629"/>
        <w:spacing w:after="0" w:line="296" w:lineRule="auto"/>
        <w:rPr>
          <w:sz w:val="20"/>
          <w:szCs w:val="20"/>
          <w:color w:val="auto"/>
        </w:rPr>
      </w:pPr>
      <w:r>
        <w:rPr>
          <w:rFonts w:ascii="Times New Roman" w:cs="Times New Roman" w:eastAsia="Times New Roman" w:hAnsi="Times New Roman"/>
          <w:sz w:val="17"/>
          <w:szCs w:val="17"/>
          <w:color w:val="auto"/>
        </w:rPr>
        <w:t>In the normal course of business, the Company pledges qualified securities with clearing organizations to satisfy daily margin and clearing fund requirements.</w:t>
      </w:r>
    </w:p>
    <w:p>
      <w:pPr>
        <w:spacing w:after="0" w:line="173"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Financial instruments owned and pledged, where the counterparty has the right to repledge, at March 31, 2026 and December 31, 2025 consisted of the following:</w:t>
      </w:r>
    </w:p>
    <w:p>
      <w:pPr>
        <w:spacing w:after="0" w:line="206"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7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80" w:type="dxa"/>
            <w:vAlign w:val="bottom"/>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Equities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3,388,665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3,200,345</w:t>
            </w:r>
          </w:p>
        </w:tc>
      </w:tr>
      <w:tr>
        <w:trPr>
          <w:trHeight w:val="190"/>
        </w:trPr>
        <w:tc>
          <w:tcPr>
            <w:tcW w:w="7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Exchange traded notes</w:t>
            </w: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8,180</w:t>
            </w:r>
          </w:p>
        </w:tc>
      </w:tr>
      <w:tr>
        <w:trPr>
          <w:trHeight w:val="215"/>
        </w:trPr>
        <w:tc>
          <w:tcPr>
            <w:tcW w:w="7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3,398,669</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3,208,525</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9. Borrowings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Borrowings, net</w:t>
      </w:r>
    </w:p>
    <w:p>
      <w:pPr>
        <w:spacing w:after="0" w:line="254" w:lineRule="exact"/>
        <w:rPr>
          <w:sz w:val="20"/>
          <w:szCs w:val="20"/>
          <w:color w:val="auto"/>
        </w:rPr>
      </w:pPr>
    </w:p>
    <w:p>
      <w:pPr>
        <w:ind w:right="40" w:firstLine="629"/>
        <w:spacing w:after="0" w:line="277" w:lineRule="auto"/>
        <w:rPr>
          <w:sz w:val="20"/>
          <w:szCs w:val="20"/>
          <w:color w:val="auto"/>
        </w:rPr>
      </w:pPr>
      <w:r>
        <w:rPr>
          <w:rFonts w:ascii="Times New Roman" w:cs="Times New Roman" w:eastAsia="Times New Roman" w:hAnsi="Times New Roman"/>
          <w:sz w:val="17"/>
          <w:szCs w:val="17"/>
          <w:color w:val="auto"/>
        </w:rPr>
        <w:t>The following summarizes the Company’s short-term borrowing balances outstanding, net of related debt issuance costs, with each described in further detail below.</w:t>
      </w:r>
    </w:p>
    <w:p>
      <w:pPr>
        <w:spacing w:after="0" w:line="1"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0"/>
                <w:szCs w:val="10"/>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Borrowing Outstanding</w:t>
            </w:r>
          </w:p>
        </w:tc>
        <w:tc>
          <w:tcPr>
            <w:tcW w:w="80" w:type="dxa"/>
            <w:vAlign w:val="bottom"/>
          </w:tcPr>
          <w:p>
            <w:pPr>
              <w:spacing w:after="0"/>
              <w:rPr>
                <w:sz w:val="10"/>
                <w:szCs w:val="10"/>
                <w:color w:val="auto"/>
              </w:rPr>
            </w:pPr>
          </w:p>
        </w:tc>
        <w:tc>
          <w:tcPr>
            <w:tcW w:w="1620" w:type="dxa"/>
            <w:vAlign w:val="bottom"/>
            <w:gridSpan w:val="2"/>
          </w:tcPr>
          <w:p>
            <w:pPr>
              <w:jc w:val="center"/>
              <w:ind w:right="180"/>
              <w:spacing w:after="0" w:line="126" w:lineRule="exact"/>
              <w:rPr>
                <w:sz w:val="20"/>
                <w:szCs w:val="20"/>
                <w:color w:val="auto"/>
              </w:rPr>
            </w:pPr>
            <w:r>
              <w:rPr>
                <w:rFonts w:ascii="Times New Roman" w:cs="Times New Roman" w:eastAsia="Times New Roman" w:hAnsi="Times New Roman"/>
                <w:sz w:val="14"/>
                <w:szCs w:val="14"/>
                <w:b w:val="1"/>
                <w:bCs w:val="1"/>
                <w:color w:val="auto"/>
                <w:w w:val="99"/>
              </w:rPr>
              <w:t>Deferred Debt Issuance</w:t>
            </w:r>
          </w:p>
        </w:tc>
        <w:tc>
          <w:tcPr>
            <w:tcW w:w="80" w:type="dxa"/>
            <w:vAlign w:val="bottom"/>
          </w:tcPr>
          <w:p>
            <w:pPr>
              <w:spacing w:after="0"/>
              <w:rPr>
                <w:sz w:val="10"/>
                <w:szCs w:val="10"/>
                <w:color w:val="auto"/>
              </w:rPr>
            </w:pPr>
          </w:p>
        </w:tc>
        <w:tc>
          <w:tcPr>
            <w:tcW w:w="1560" w:type="dxa"/>
            <w:vAlign w:val="bottom"/>
          </w:tcPr>
          <w:p>
            <w:pPr>
              <w:jc w:val="right"/>
              <w:ind w:right="50"/>
              <w:spacing w:after="0" w:line="126" w:lineRule="exact"/>
              <w:rPr>
                <w:sz w:val="20"/>
                <w:szCs w:val="20"/>
                <w:color w:val="auto"/>
              </w:rPr>
            </w:pPr>
            <w:r>
              <w:rPr>
                <w:rFonts w:ascii="Times New Roman" w:cs="Times New Roman" w:eastAsia="Times New Roman" w:hAnsi="Times New Roman"/>
                <w:sz w:val="14"/>
                <w:szCs w:val="14"/>
                <w:b w:val="1"/>
                <w:bCs w:val="1"/>
                <w:color w:val="auto"/>
                <w:w w:val="98"/>
              </w:rPr>
              <w:t>Short-term Borrowings,</w:t>
            </w:r>
          </w:p>
        </w:tc>
        <w:tc>
          <w:tcPr>
            <w:tcW w:w="0" w:type="dxa"/>
            <w:vAlign w:val="bottom"/>
          </w:tcPr>
          <w:p>
            <w:pPr>
              <w:spacing w:after="0"/>
              <w:rPr>
                <w:sz w:val="1"/>
                <w:szCs w:val="1"/>
                <w:color w:val="auto"/>
              </w:rPr>
            </w:pPr>
          </w:p>
        </w:tc>
      </w:tr>
      <w:tr>
        <w:trPr>
          <w:trHeight w:val="190"/>
        </w:trPr>
        <w:tc>
          <w:tcPr>
            <w:tcW w:w="4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80" w:type="dxa"/>
            <w:vAlign w:val="bottom"/>
          </w:tcPr>
          <w:p>
            <w:pPr>
              <w:spacing w:after="0"/>
              <w:rPr>
                <w:sz w:val="16"/>
                <w:szCs w:val="16"/>
                <w:color w:val="auto"/>
              </w:rPr>
            </w:pPr>
          </w:p>
        </w:tc>
        <w:tc>
          <w:tcPr>
            <w:tcW w:w="1560" w:type="dxa"/>
            <w:vAlign w:val="bottom"/>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Broker-dealer credit facilities</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148,053</w:t>
            </w:r>
          </w:p>
        </w:tc>
        <w:tc>
          <w:tcPr>
            <w:tcW w:w="0" w:type="dxa"/>
            <w:vAlign w:val="bottom"/>
          </w:tcPr>
          <w:p>
            <w:pPr>
              <w:spacing w:after="0"/>
              <w:rPr>
                <w:sz w:val="1"/>
                <w:szCs w:val="1"/>
                <w:color w:val="auto"/>
              </w:rPr>
            </w:pPr>
          </w:p>
        </w:tc>
      </w:tr>
      <w:tr>
        <w:trPr>
          <w:trHeight w:val="19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Short-term bank loans</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6,920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6,920</w:t>
            </w:r>
          </w:p>
        </w:tc>
        <w:tc>
          <w:tcPr>
            <w:tcW w:w="0" w:type="dxa"/>
            <w:vAlign w:val="bottom"/>
          </w:tcPr>
          <w:p>
            <w:pPr>
              <w:spacing w:after="0"/>
              <w:rPr>
                <w:sz w:val="1"/>
                <w:szCs w:val="1"/>
                <w:color w:val="auto"/>
              </w:rPr>
            </w:pPr>
          </w:p>
        </w:tc>
      </w:tr>
      <w:tr>
        <w:trPr>
          <w:trHeight w:val="215"/>
        </w:trPr>
        <w:tc>
          <w:tcPr>
            <w:tcW w:w="44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154,973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0"/>
                <w:szCs w:val="10"/>
                <w:color w:val="auto"/>
              </w:rPr>
            </w:pPr>
          </w:p>
        </w:tc>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Borrowing Outstanding</w:t>
            </w:r>
          </w:p>
        </w:tc>
        <w:tc>
          <w:tcPr>
            <w:tcW w:w="80" w:type="dxa"/>
            <w:vAlign w:val="bottom"/>
          </w:tcPr>
          <w:p>
            <w:pPr>
              <w:spacing w:after="0"/>
              <w:rPr>
                <w:sz w:val="10"/>
                <w:szCs w:val="10"/>
                <w:color w:val="auto"/>
              </w:rPr>
            </w:pPr>
          </w:p>
        </w:tc>
        <w:tc>
          <w:tcPr>
            <w:tcW w:w="1620" w:type="dxa"/>
            <w:vAlign w:val="bottom"/>
            <w:gridSpan w:val="2"/>
          </w:tcPr>
          <w:p>
            <w:pPr>
              <w:jc w:val="center"/>
              <w:ind w:right="180"/>
              <w:spacing w:after="0" w:line="124" w:lineRule="exact"/>
              <w:rPr>
                <w:sz w:val="20"/>
                <w:szCs w:val="20"/>
                <w:color w:val="auto"/>
              </w:rPr>
            </w:pPr>
            <w:r>
              <w:rPr>
                <w:rFonts w:ascii="Times New Roman" w:cs="Times New Roman" w:eastAsia="Times New Roman" w:hAnsi="Times New Roman"/>
                <w:sz w:val="14"/>
                <w:szCs w:val="14"/>
                <w:b w:val="1"/>
                <w:bCs w:val="1"/>
                <w:color w:val="auto"/>
                <w:w w:val="99"/>
              </w:rPr>
              <w:t>Deferred Debt Issuance</w:t>
            </w:r>
          </w:p>
        </w:tc>
        <w:tc>
          <w:tcPr>
            <w:tcW w:w="80" w:type="dxa"/>
            <w:vAlign w:val="bottom"/>
          </w:tcPr>
          <w:p>
            <w:pPr>
              <w:spacing w:after="0"/>
              <w:rPr>
                <w:sz w:val="10"/>
                <w:szCs w:val="10"/>
                <w:color w:val="auto"/>
              </w:rPr>
            </w:pPr>
          </w:p>
        </w:tc>
        <w:tc>
          <w:tcPr>
            <w:tcW w:w="1560" w:type="dxa"/>
            <w:vAlign w:val="bottom"/>
          </w:tcPr>
          <w:p>
            <w:pPr>
              <w:jc w:val="right"/>
              <w:ind w:right="50"/>
              <w:spacing w:after="0" w:line="124" w:lineRule="exact"/>
              <w:rPr>
                <w:sz w:val="20"/>
                <w:szCs w:val="20"/>
                <w:color w:val="auto"/>
              </w:rPr>
            </w:pPr>
            <w:r>
              <w:rPr>
                <w:rFonts w:ascii="Times New Roman" w:cs="Times New Roman" w:eastAsia="Times New Roman" w:hAnsi="Times New Roman"/>
                <w:sz w:val="14"/>
                <w:szCs w:val="14"/>
                <w:b w:val="1"/>
                <w:bCs w:val="1"/>
                <w:color w:val="auto"/>
                <w:w w:val="98"/>
              </w:rPr>
              <w:t>Short-term Borrowings,</w:t>
            </w:r>
          </w:p>
        </w:tc>
        <w:tc>
          <w:tcPr>
            <w:tcW w:w="0" w:type="dxa"/>
            <w:vAlign w:val="bottom"/>
          </w:tcPr>
          <w:p>
            <w:pPr>
              <w:spacing w:after="0"/>
              <w:rPr>
                <w:sz w:val="1"/>
                <w:szCs w:val="1"/>
                <w:color w:val="auto"/>
              </w:rPr>
            </w:pPr>
          </w:p>
        </w:tc>
      </w:tr>
      <w:tr>
        <w:trPr>
          <w:trHeight w:val="190"/>
        </w:trPr>
        <w:tc>
          <w:tcPr>
            <w:tcW w:w="4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Cost</w:t>
            </w:r>
          </w:p>
        </w:tc>
        <w:tc>
          <w:tcPr>
            <w:tcW w:w="80" w:type="dxa"/>
            <w:vAlign w:val="bottom"/>
          </w:tcPr>
          <w:p>
            <w:pPr>
              <w:spacing w:after="0"/>
              <w:rPr>
                <w:sz w:val="16"/>
                <w:szCs w:val="16"/>
                <w:color w:val="auto"/>
              </w:rPr>
            </w:pPr>
          </w:p>
        </w:tc>
        <w:tc>
          <w:tcPr>
            <w:tcW w:w="1560" w:type="dxa"/>
            <w:vAlign w:val="bottom"/>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6"/>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Broker-dealer credit facilities</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9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Short-term bank loans</w:t>
            </w:r>
          </w:p>
        </w:tc>
        <w:tc>
          <w:tcPr>
            <w:tcW w:w="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gridSpan w:val="2"/>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2,382</w:t>
            </w:r>
          </w:p>
        </w:tc>
        <w:tc>
          <w:tcPr>
            <w:tcW w:w="0" w:type="dxa"/>
            <w:vAlign w:val="bottom"/>
          </w:tcPr>
          <w:p>
            <w:pPr>
              <w:spacing w:after="0"/>
              <w:rPr>
                <w:sz w:val="1"/>
                <w:szCs w:val="1"/>
                <w:color w:val="auto"/>
              </w:rPr>
            </w:pPr>
          </w:p>
        </w:tc>
      </w:tr>
      <w:tr>
        <w:trPr>
          <w:trHeight w:val="215"/>
        </w:trPr>
        <w:tc>
          <w:tcPr>
            <w:tcW w:w="44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top w:val="single" w:sz="8" w:color="auto"/>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12,382</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Broker-Dealer Credit Facilities</w:t>
      </w:r>
    </w:p>
    <w:p>
      <w:pPr>
        <w:spacing w:after="0" w:line="252" w:lineRule="exact"/>
        <w:rPr>
          <w:sz w:val="20"/>
          <w:szCs w:val="20"/>
          <w:color w:val="auto"/>
        </w:rPr>
      </w:pPr>
    </w:p>
    <w:p>
      <w:pPr>
        <w:ind w:right="20" w:firstLine="629"/>
        <w:spacing w:after="0" w:line="260" w:lineRule="auto"/>
        <w:rPr>
          <w:sz w:val="20"/>
          <w:szCs w:val="20"/>
          <w:color w:val="auto"/>
        </w:rPr>
      </w:pPr>
      <w:r>
        <w:rPr>
          <w:rFonts w:ascii="Times New Roman" w:cs="Times New Roman" w:eastAsia="Times New Roman" w:hAnsi="Times New Roman"/>
          <w:sz w:val="17"/>
          <w:szCs w:val="17"/>
          <w:color w:val="auto"/>
        </w:rPr>
        <w:t>The Company is a party to two secured credit facilities with a financial institution to finance overnight securities positions purchased as part of its ordinary course U.S. broker-dealer market making activities. One of the facilities (the “Uncommitted Facility”) is provided on an uncommitted basis with an aggregate borrowing limit of $400 million, and is collateralized by VAL’s trading and deposit account maintained at the financial institution. The second credit facility (the “Committed Facility”) with the same financial institution has a borrowing limit of $650 million.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$650 million and bear interest at the adjusted Secured Overnight Financing Rate (“SOFR”) or base rate plus 1.25% per annum. Borrowing Base B Loans are subject to a sublimit of $300 million, which was amended to</w:t>
      </w:r>
    </w:p>
    <w:p>
      <w:pPr>
        <w:spacing w:after="0" w:line="3" w:lineRule="exact"/>
        <w:rPr>
          <w:sz w:val="20"/>
          <w:szCs w:val="20"/>
          <w:color w:val="auto"/>
        </w:rPr>
      </w:pPr>
    </w:p>
    <w:p>
      <w:pPr>
        <w:ind w:right="520"/>
        <w:spacing w:after="0" w:line="274" w:lineRule="auto"/>
        <w:rPr>
          <w:sz w:val="20"/>
          <w:szCs w:val="20"/>
          <w:color w:val="auto"/>
        </w:rPr>
      </w:pPr>
      <w:r>
        <w:rPr>
          <w:rFonts w:ascii="Times New Roman" w:cs="Times New Roman" w:eastAsia="Times New Roman" w:hAnsi="Times New Roman"/>
          <w:sz w:val="17"/>
          <w:szCs w:val="17"/>
          <w:color w:val="auto"/>
        </w:rPr>
        <w:t>$350 million in February 2025, and bear interest at the adjusted SOFR or base rate plus 2.50% per annum. A commitment fee of 0.50% per annum on the average daily unused portion of this facility is payable quarterly in arrears.</w:t>
      </w:r>
    </w:p>
    <w:p>
      <w:pPr>
        <w:spacing w:after="0" w:line="191" w:lineRule="exact"/>
        <w:rPr>
          <w:sz w:val="20"/>
          <w:szCs w:val="20"/>
          <w:color w:val="auto"/>
        </w:rPr>
      </w:pPr>
    </w:p>
    <w:p>
      <w:pPr>
        <w:jc w:val="both"/>
        <w:ind w:right="220" w:firstLine="629"/>
        <w:spacing w:after="0" w:line="296" w:lineRule="auto"/>
        <w:rPr>
          <w:sz w:val="20"/>
          <w:szCs w:val="20"/>
          <w:color w:val="auto"/>
        </w:rPr>
      </w:pPr>
      <w:r>
        <w:rPr>
          <w:rFonts w:ascii="Times New Roman" w:cs="Times New Roman" w:eastAsia="Times New Roman" w:hAnsi="Times New Roman"/>
          <w:sz w:val="17"/>
          <w:szCs w:val="17"/>
          <w:color w:val="auto"/>
        </w:rPr>
        <w:t>Virtu Financial Singapore Pte. Ltd. is a party to a revolving credit facility with a financial institution (the “Overdraft Facility”) to provide a source of short-term financing. The facility has an aggregate borrowing limit of $10 million, and bears interest at the adjusted SOFR or base rate plus 3.5% per annum.</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summarizes the Company’s broker-dealer credit facilities’ carrying values, net of unamortized debt issuance costs, where applicable.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balances are included within Short-term borrowings on the Condensed Consolidated Statements of Financial Condition.</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At March 31, 2026</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100" w:type="dxa"/>
            <w:vAlign w:val="bottom"/>
          </w:tcPr>
          <w:p>
            <w:pPr>
              <w:spacing w:after="0"/>
              <w:rPr>
                <w:sz w:val="10"/>
                <w:szCs w:val="10"/>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Financing Available</w:t>
            </w:r>
          </w:p>
        </w:tc>
        <w:tc>
          <w:tcPr>
            <w:tcW w:w="120" w:type="dxa"/>
            <w:vAlign w:val="bottom"/>
          </w:tcPr>
          <w:p>
            <w:pPr>
              <w:spacing w:after="0"/>
              <w:rPr>
                <w:sz w:val="10"/>
                <w:szCs w:val="10"/>
                <w:color w:val="auto"/>
              </w:rPr>
            </w:pPr>
          </w:p>
        </w:tc>
        <w:tc>
          <w:tcPr>
            <w:tcW w:w="140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9"/>
              </w:rPr>
              <w:t>Borrowing</w:t>
            </w:r>
          </w:p>
        </w:tc>
        <w:tc>
          <w:tcPr>
            <w:tcW w:w="180" w:type="dxa"/>
            <w:vAlign w:val="bottom"/>
          </w:tcPr>
          <w:p>
            <w:pPr>
              <w:spacing w:after="0"/>
              <w:rPr>
                <w:sz w:val="10"/>
                <w:szCs w:val="10"/>
                <w:color w:val="auto"/>
              </w:rPr>
            </w:pPr>
          </w:p>
        </w:tc>
        <w:tc>
          <w:tcPr>
            <w:tcW w:w="1340" w:type="dxa"/>
            <w:vAlign w:val="bottom"/>
            <w:gridSpan w:val="2"/>
          </w:tcPr>
          <w:p>
            <w:pPr>
              <w:jc w:val="center"/>
              <w:ind w:right="280"/>
              <w:spacing w:after="0" w:line="124"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80" w:type="dxa"/>
            <w:vAlign w:val="bottom"/>
          </w:tcPr>
          <w:p>
            <w:pPr>
              <w:jc w:val="right"/>
              <w:ind w:right="290"/>
              <w:spacing w:after="0" w:line="12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70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Issuance Cost</w:t>
            </w:r>
          </w:p>
        </w:tc>
        <w:tc>
          <w:tcPr>
            <w:tcW w:w="160" w:type="dxa"/>
            <w:vAlign w:val="bottom"/>
          </w:tcPr>
          <w:p>
            <w:pPr>
              <w:spacing w:after="0"/>
              <w:rPr>
                <w:sz w:val="16"/>
                <w:szCs w:val="16"/>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196"/>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Uncommitted facility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4.78%</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90,000</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90,000</w:t>
            </w:r>
          </w:p>
        </w:tc>
        <w:tc>
          <w:tcPr>
            <w:tcW w:w="0" w:type="dxa"/>
            <w:vAlign w:val="bottom"/>
          </w:tcPr>
          <w:p>
            <w:pPr>
              <w:spacing w:after="0"/>
              <w:rPr>
                <w:sz w:val="1"/>
                <w:szCs w:val="1"/>
                <w:color w:val="auto"/>
              </w:rPr>
            </w:pPr>
          </w:p>
        </w:tc>
      </w:tr>
      <w:tr>
        <w:trPr>
          <w:trHeight w:val="204"/>
        </w:trPr>
        <w:tc>
          <w:tcPr>
            <w:tcW w:w="3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Committed facility (1)</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48,053</w:t>
            </w:r>
          </w:p>
        </w:tc>
        <w:tc>
          <w:tcPr>
            <w:tcW w:w="0" w:type="dxa"/>
            <w:vAlign w:val="bottom"/>
          </w:tcPr>
          <w:p>
            <w:pPr>
              <w:spacing w:after="0"/>
              <w:rPr>
                <w:sz w:val="1"/>
                <w:szCs w:val="1"/>
                <w:color w:val="auto"/>
              </w:rPr>
            </w:pPr>
          </w:p>
        </w:tc>
      </w:tr>
      <w:tr>
        <w:trPr>
          <w:trHeight w:val="190"/>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Overdraft facility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7.18%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215"/>
        </w:trPr>
        <w:tc>
          <w:tcPr>
            <w:tcW w:w="35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148,053</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color w:val="auto"/>
        </w:rPr>
        <w:t>(1) Interest rate for Borrowing Base A Loan and Borrowing Base B Loan under the Committed Facility was 5.03% and 6.29%, respectively. There was no balance outstanding under Borrowing Base B Loan as of March 31, 2026.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06" w:right="339" w:bottom="1440" w:gutter="0" w:footer="0" w:header="0"/>
        </w:sectPr>
      </w:pPr>
    </w:p>
    <w:bookmarkStart w:id="16" w:name="page17"/>
    <w:bookmarkEnd w:id="16"/>
    <w:tbl>
      <w:tblPr>
        <w:tblLayout w:type="fixed"/>
        <w:tblInd w:w="20" w:type="dxa"/>
        <w:tblCellMar>
          <w:top w:w="0" w:type="dxa"/>
          <w:left w:w="0" w:type="dxa"/>
          <w:bottom w:w="0" w:type="dxa"/>
          <w:right w:w="0" w:type="dxa"/>
        </w:tblCellMar>
      </w:tblPr>
      <w:tr>
        <w:trPr>
          <w:trHeight w:val="184"/>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At December 31, 2025</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Interest Rate</w:t>
            </w:r>
          </w:p>
        </w:tc>
        <w:tc>
          <w:tcPr>
            <w:tcW w:w="100" w:type="dxa"/>
            <w:vAlign w:val="bottom"/>
          </w:tcPr>
          <w:p>
            <w:pPr>
              <w:spacing w:after="0"/>
              <w:rPr>
                <w:sz w:val="10"/>
                <w:szCs w:val="10"/>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Financing Available</w:t>
            </w:r>
          </w:p>
        </w:tc>
        <w:tc>
          <w:tcPr>
            <w:tcW w:w="200" w:type="dxa"/>
            <w:vAlign w:val="bottom"/>
          </w:tcPr>
          <w:p>
            <w:pPr>
              <w:spacing w:after="0"/>
              <w:rPr>
                <w:sz w:val="10"/>
                <w:szCs w:val="10"/>
                <w:color w:val="auto"/>
              </w:rPr>
            </w:pPr>
          </w:p>
        </w:tc>
        <w:tc>
          <w:tcPr>
            <w:tcW w:w="1320" w:type="dxa"/>
            <w:vAlign w:val="bottom"/>
            <w:gridSpan w:val="2"/>
          </w:tcPr>
          <w:p>
            <w:pPr>
              <w:jc w:val="center"/>
              <w:ind w:right="320"/>
              <w:spacing w:after="0" w:line="126" w:lineRule="exact"/>
              <w:rPr>
                <w:sz w:val="20"/>
                <w:szCs w:val="20"/>
                <w:color w:val="auto"/>
              </w:rPr>
            </w:pPr>
            <w:r>
              <w:rPr>
                <w:rFonts w:ascii="Times New Roman" w:cs="Times New Roman" w:eastAsia="Times New Roman" w:hAnsi="Times New Roman"/>
                <w:sz w:val="14"/>
                <w:szCs w:val="14"/>
                <w:b w:val="1"/>
                <w:bCs w:val="1"/>
                <w:color w:val="auto"/>
                <w:w w:val="99"/>
              </w:rPr>
              <w:t>Borrowing</w:t>
            </w:r>
          </w:p>
        </w:tc>
        <w:tc>
          <w:tcPr>
            <w:tcW w:w="180" w:type="dxa"/>
            <w:vAlign w:val="bottom"/>
          </w:tcPr>
          <w:p>
            <w:pPr>
              <w:spacing w:after="0"/>
              <w:rPr>
                <w:sz w:val="10"/>
                <w:szCs w:val="10"/>
                <w:color w:val="auto"/>
              </w:rPr>
            </w:pPr>
          </w:p>
        </w:tc>
        <w:tc>
          <w:tcPr>
            <w:tcW w:w="1340" w:type="dxa"/>
            <w:vAlign w:val="bottom"/>
            <w:gridSpan w:val="2"/>
          </w:tcPr>
          <w:p>
            <w:pPr>
              <w:ind w:left="100"/>
              <w:spacing w:after="0" w:line="126"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80" w:type="dxa"/>
            <w:vAlign w:val="bottom"/>
          </w:tcPr>
          <w:p>
            <w:pPr>
              <w:jc w:val="right"/>
              <w:ind w:right="29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700" w:type="dxa"/>
            <w:vAlign w:val="bottom"/>
            <w:gridSpan w:val="2"/>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18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60" w:type="dxa"/>
            <w:vAlign w:val="bottom"/>
          </w:tcPr>
          <w:p>
            <w:pPr>
              <w:spacing w:after="0"/>
              <w:rPr>
                <w:sz w:val="16"/>
                <w:szCs w:val="16"/>
                <w:color w:val="auto"/>
              </w:rPr>
            </w:pPr>
          </w:p>
        </w:tc>
        <w:tc>
          <w:tcPr>
            <w:tcW w:w="1280" w:type="dxa"/>
            <w:vAlign w:val="bottom"/>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195"/>
        </w:trPr>
        <w:tc>
          <w:tcPr>
            <w:tcW w:w="3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Uncommitted facility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4.81%</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Committed facility (1)</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5.09%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650,000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Overdraft facility</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7.37%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96"/>
        </w:trPr>
        <w:tc>
          <w:tcPr>
            <w:tcW w:w="35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1,060,000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bl>
    <w:p>
      <w:pPr>
        <w:ind w:left="40" w:right="60" w:hanging="5"/>
        <w:spacing w:after="0" w:line="236" w:lineRule="auto"/>
        <w:tabs>
          <w:tab w:leader="none" w:pos="2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$2.5 million of deferred debt issuance costs are included within Other assets on the Consolidated Statements of Financial Condition. Interest rate for Borrowing Base A Loan and Borrowing Base B Loan under the Committed Facility was 5.09% and 6.58%, respectively. There was no balance outstanding under Borrowing Base B Loan as of December 31, 2025.</w:t>
      </w:r>
    </w:p>
    <w:p>
      <w:pPr>
        <w:spacing w:after="0" w:line="352" w:lineRule="exact"/>
        <w:rPr>
          <w:sz w:val="20"/>
          <w:szCs w:val="20"/>
          <w:color w:val="auto"/>
        </w:rPr>
      </w:pPr>
    </w:p>
    <w:p>
      <w:pPr>
        <w:ind w:right="300" w:firstLine="629"/>
        <w:spacing w:after="0" w:line="296" w:lineRule="auto"/>
        <w:rPr>
          <w:sz w:val="20"/>
          <w:szCs w:val="20"/>
          <w:color w:val="auto"/>
        </w:rPr>
      </w:pPr>
      <w:r>
        <w:rPr>
          <w:rFonts w:ascii="Times New Roman" w:cs="Times New Roman" w:eastAsia="Times New Roman" w:hAnsi="Times New Roman"/>
          <w:sz w:val="17"/>
          <w:szCs w:val="17"/>
          <w:color w:val="auto"/>
        </w:rPr>
        <w:t>The following summarizes interest expense for the broker-dealer facilities. Interest expense is included within Interest and dividends expense in the accompanying Condensed Consolidated Statements of Comprehensive Income.</w:t>
      </w:r>
    </w:p>
    <w:p>
      <w:pPr>
        <w:spacing w:after="0" w:line="206" w:lineRule="exact"/>
        <w:rPr>
          <w:sz w:val="20"/>
          <w:szCs w:val="20"/>
          <w:color w:val="auto"/>
        </w:rPr>
      </w:pPr>
    </w:p>
    <w:tbl>
      <w:tblPr>
        <w:tblLayout w:type="fixed"/>
        <w:tblInd w:w="3000" w:type="dxa"/>
        <w:tblCellMar>
          <w:top w:w="0" w:type="dxa"/>
          <w:left w:w="0" w:type="dxa"/>
          <w:bottom w:w="0" w:type="dxa"/>
          <w:right w:w="0" w:type="dxa"/>
        </w:tblCellMar>
      </w:tblPr>
      <w:tr>
        <w:trPr>
          <w:trHeight w:val="184"/>
        </w:trPr>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4"/>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2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4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2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Broker-dealer credit facilities:</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Uncommitted facility</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w:t>
            </w:r>
          </w:p>
        </w:tc>
        <w:tc>
          <w:tcPr>
            <w:tcW w:w="12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1,144</w:t>
            </w:r>
          </w:p>
        </w:tc>
        <w:tc>
          <w:tcPr>
            <w:tcW w:w="0" w:type="dxa"/>
            <w:vAlign w:val="bottom"/>
          </w:tcPr>
          <w:p>
            <w:pPr>
              <w:spacing w:after="0"/>
              <w:rPr>
                <w:sz w:val="1"/>
                <w:szCs w:val="1"/>
                <w:color w:val="auto"/>
              </w:rPr>
            </w:pPr>
          </w:p>
        </w:tc>
      </w:tr>
      <w:tr>
        <w:trPr>
          <w:trHeight w:val="204"/>
        </w:trPr>
        <w:tc>
          <w:tcPr>
            <w:tcW w:w="2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Committed facility</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762</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w:t>
            </w:r>
          </w:p>
        </w:tc>
        <w:tc>
          <w:tcPr>
            <w:tcW w:w="0" w:type="dxa"/>
            <w:vAlign w:val="bottom"/>
          </w:tcPr>
          <w:p>
            <w:pPr>
              <w:spacing w:after="0"/>
              <w:rPr>
                <w:sz w:val="1"/>
                <w:szCs w:val="1"/>
                <w:color w:val="auto"/>
              </w:rPr>
            </w:pPr>
          </w:p>
        </w:tc>
      </w:tr>
      <w:tr>
        <w:trPr>
          <w:trHeight w:val="190"/>
        </w:trPr>
        <w:tc>
          <w:tcPr>
            <w:tcW w:w="24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Overdraft facility</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215"/>
        </w:trPr>
        <w:tc>
          <w:tcPr>
            <w:tcW w:w="23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Short-Term Bank Loans</w:t>
      </w:r>
    </w:p>
    <w:p>
      <w:pPr>
        <w:spacing w:after="0" w:line="252" w:lineRule="exact"/>
        <w:rPr>
          <w:sz w:val="20"/>
          <w:szCs w:val="20"/>
          <w:color w:val="auto"/>
        </w:rPr>
      </w:pPr>
    </w:p>
    <w:p>
      <w:pPr>
        <w:jc w:val="both"/>
        <w:ind w:right="80" w:firstLine="629"/>
        <w:spacing w:after="0" w:line="264" w:lineRule="auto"/>
        <w:rPr>
          <w:sz w:val="20"/>
          <w:szCs w:val="20"/>
          <w:color w:val="auto"/>
        </w:rPr>
      </w:pPr>
      <w:r>
        <w:rPr>
          <w:rFonts w:ascii="Times New Roman" w:cs="Times New Roman" w:eastAsia="Times New Roman" w:hAnsi="Times New Roman"/>
          <w:sz w:val="17"/>
          <w:szCs w:val="17"/>
          <w:color w:val="auto"/>
        </w:rPr>
        <w:t>The Company’s international securities clearance and settlement activities are funded with operating cash or with short-term bank loans in the form of overdraft facilities. At March 31, 2026 and December 31, 2025, there were $6.9 million and $2.4 million, respectively, of short-term bank loans associated with international settlement activities outstanding under these facilities, at a weighted average interest rate of approximately 2.2% and 1.3%, respectively.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short-term bank loan balances are included within Short-term borrowings on the Condensed Consolidated Statements of Financial Condition.</w:t>
      </w:r>
    </w:p>
    <w:p>
      <w:pPr>
        <w:spacing w:after="0" w:line="232" w:lineRule="exact"/>
        <w:rPr>
          <w:sz w:val="20"/>
          <w:szCs w:val="20"/>
          <w:color w:val="auto"/>
        </w:rPr>
      </w:pPr>
    </w:p>
    <w:p>
      <w:pPr>
        <w:ind w:right="320" w:firstLine="629"/>
        <w:spacing w:after="0" w:line="296" w:lineRule="auto"/>
        <w:rPr>
          <w:sz w:val="20"/>
          <w:szCs w:val="20"/>
          <w:color w:val="auto"/>
        </w:rPr>
      </w:pPr>
      <w:r>
        <w:rPr>
          <w:rFonts w:ascii="Times New Roman" w:cs="Times New Roman" w:eastAsia="Times New Roman" w:hAnsi="Times New Roman"/>
          <w:sz w:val="17"/>
          <w:szCs w:val="17"/>
          <w:color w:val="auto"/>
        </w:rPr>
        <w:t>In November 2024, Virtu Financial Singapore Pte. Ltd. entered into an agreement with a financial institution for a short-term bank loan with a total capacity of $50.0 million. At March 31, 2026 and December 31, 2025, there was no balance outstanding under this short-term bank loan.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Prime Brokerage Credit Facilities</w:t>
      </w:r>
    </w:p>
    <w:p>
      <w:pPr>
        <w:spacing w:after="0" w:line="254" w:lineRule="exact"/>
        <w:rPr>
          <w:sz w:val="20"/>
          <w:szCs w:val="20"/>
          <w:color w:val="auto"/>
        </w:rPr>
      </w:pPr>
    </w:p>
    <w:p>
      <w:pPr>
        <w:jc w:val="both"/>
        <w:ind w:right="380" w:firstLine="629"/>
        <w:spacing w:after="0" w:line="276" w:lineRule="auto"/>
        <w:rPr>
          <w:sz w:val="20"/>
          <w:szCs w:val="20"/>
          <w:color w:val="auto"/>
        </w:rPr>
      </w:pPr>
      <w:r>
        <w:rPr>
          <w:rFonts w:ascii="Times New Roman" w:cs="Times New Roman" w:eastAsia="Times New Roman" w:hAnsi="Times New Roman"/>
          <w:sz w:val="17"/>
          <w:szCs w:val="17"/>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8"/>
              </w:rPr>
              <w:t>At March 31, 2026</w:t>
            </w:r>
          </w:p>
        </w:tc>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34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320" w:type="dxa"/>
            <w:vAlign w:val="bottom"/>
          </w:tcPr>
          <w:p>
            <w:pPr>
              <w:spacing w:after="0"/>
              <w:rPr>
                <w:sz w:val="10"/>
                <w:szCs w:val="10"/>
                <w:color w:val="auto"/>
              </w:rPr>
            </w:pPr>
          </w:p>
        </w:tc>
        <w:tc>
          <w:tcPr>
            <w:tcW w:w="2020" w:type="dxa"/>
            <w:vAlign w:val="bottom"/>
            <w:gridSpan w:val="2"/>
          </w:tcPr>
          <w:p>
            <w:pPr>
              <w:jc w:val="center"/>
              <w:ind w:right="420"/>
              <w:spacing w:after="0" w:line="124"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420" w:type="dxa"/>
            <w:vAlign w:val="bottom"/>
          </w:tcPr>
          <w:p>
            <w:pPr>
              <w:spacing w:after="0"/>
              <w:rPr>
                <w:sz w:val="10"/>
                <w:szCs w:val="10"/>
                <w:color w:val="auto"/>
              </w:rPr>
            </w:pPr>
          </w:p>
        </w:tc>
        <w:tc>
          <w:tcPr>
            <w:tcW w:w="1820" w:type="dxa"/>
            <w:vAlign w:val="bottom"/>
          </w:tcPr>
          <w:p>
            <w:pPr>
              <w:jc w:val="right"/>
              <w:ind w:right="730"/>
              <w:spacing w:after="0" w:line="124"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0" w:type="dxa"/>
            <w:vAlign w:val="bottom"/>
          </w:tcPr>
          <w:p>
            <w:pPr>
              <w:spacing w:after="0"/>
              <w:rPr>
                <w:sz w:val="1"/>
                <w:szCs w:val="1"/>
                <w:color w:val="auto"/>
              </w:rPr>
            </w:pPr>
          </w:p>
        </w:tc>
      </w:tr>
      <w:tr>
        <w:trPr>
          <w:trHeight w:val="190"/>
        </w:trPr>
        <w:tc>
          <w:tcPr>
            <w:tcW w:w="4220" w:type="dxa"/>
            <w:vAlign w:val="bottom"/>
            <w:gridSpan w:val="2"/>
            <w:vMerge w:val="continue"/>
          </w:tcPr>
          <w:p>
            <w:pPr>
              <w:spacing w:after="0"/>
              <w:rPr>
                <w:sz w:val="16"/>
                <w:szCs w:val="16"/>
                <w:color w:val="auto"/>
              </w:rPr>
            </w:pPr>
          </w:p>
        </w:tc>
        <w:tc>
          <w:tcPr>
            <w:tcW w:w="2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320" w:type="dxa"/>
            <w:vAlign w:val="bottom"/>
          </w:tcPr>
          <w:p>
            <w:pPr>
              <w:spacing w:after="0"/>
              <w:rPr>
                <w:sz w:val="16"/>
                <w:szCs w:val="16"/>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420" w:type="dxa"/>
            <w:vAlign w:val="bottom"/>
          </w:tcPr>
          <w:p>
            <w:pPr>
              <w:spacing w:after="0"/>
              <w:rPr>
                <w:sz w:val="16"/>
                <w:szCs w:val="16"/>
                <w:color w:val="auto"/>
              </w:rPr>
            </w:pPr>
          </w:p>
        </w:tc>
        <w:tc>
          <w:tcPr>
            <w:tcW w:w="1820" w:type="dxa"/>
            <w:vAlign w:val="bottom"/>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6"/>
        </w:trPr>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Prime Brokerage Credit Facilities:</w:t>
            </w:r>
          </w:p>
        </w:tc>
        <w:tc>
          <w:tcPr>
            <w:tcW w:w="10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5.67%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644,854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398,529</w:t>
            </w: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644,854</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398,529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At December 31, 2025</w:t>
            </w:r>
          </w:p>
        </w:tc>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0"/>
                <w:szCs w:val="10"/>
                <w:color w:val="auto"/>
              </w:rPr>
            </w:pPr>
          </w:p>
        </w:tc>
        <w:tc>
          <w:tcPr>
            <w:tcW w:w="234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260" w:type="dxa"/>
            <w:vAlign w:val="bottom"/>
          </w:tcPr>
          <w:p>
            <w:pPr>
              <w:spacing w:after="0"/>
              <w:rPr>
                <w:sz w:val="10"/>
                <w:szCs w:val="10"/>
                <w:color w:val="auto"/>
              </w:rPr>
            </w:pPr>
          </w:p>
        </w:tc>
        <w:tc>
          <w:tcPr>
            <w:tcW w:w="2080" w:type="dxa"/>
            <w:vAlign w:val="bottom"/>
            <w:gridSpan w:val="2"/>
          </w:tcPr>
          <w:p>
            <w:pPr>
              <w:jc w:val="center"/>
              <w:ind w:right="360"/>
              <w:spacing w:after="0" w:line="126" w:lineRule="exact"/>
              <w:rPr>
                <w:sz w:val="20"/>
                <w:szCs w:val="20"/>
                <w:color w:val="auto"/>
              </w:rPr>
            </w:pPr>
            <w:r>
              <w:rPr>
                <w:rFonts w:ascii="Times New Roman" w:cs="Times New Roman" w:eastAsia="Times New Roman" w:hAnsi="Times New Roman"/>
                <w:sz w:val="14"/>
                <w:szCs w:val="14"/>
                <w:b w:val="1"/>
                <w:bCs w:val="1"/>
                <w:color w:val="auto"/>
              </w:rPr>
              <w:t>Financing</w:t>
            </w:r>
          </w:p>
        </w:tc>
        <w:tc>
          <w:tcPr>
            <w:tcW w:w="420" w:type="dxa"/>
            <w:vAlign w:val="bottom"/>
          </w:tcPr>
          <w:p>
            <w:pPr>
              <w:spacing w:after="0"/>
              <w:rPr>
                <w:sz w:val="10"/>
                <w:szCs w:val="10"/>
                <w:color w:val="auto"/>
              </w:rPr>
            </w:pPr>
          </w:p>
        </w:tc>
        <w:tc>
          <w:tcPr>
            <w:tcW w:w="1820" w:type="dxa"/>
            <w:vAlign w:val="bottom"/>
          </w:tcPr>
          <w:p>
            <w:pPr>
              <w:jc w:val="right"/>
              <w:ind w:right="730"/>
              <w:spacing w:after="0" w:line="126" w:lineRule="exact"/>
              <w:rPr>
                <w:sz w:val="20"/>
                <w:szCs w:val="20"/>
                <w:color w:val="auto"/>
              </w:rPr>
            </w:pPr>
            <w:r>
              <w:rPr>
                <w:rFonts w:ascii="Times New Roman" w:cs="Times New Roman" w:eastAsia="Times New Roman" w:hAnsi="Times New Roman"/>
                <w:sz w:val="14"/>
                <w:szCs w:val="14"/>
                <w:b w:val="1"/>
                <w:bCs w:val="1"/>
                <w:color w:val="auto"/>
              </w:rPr>
              <w:t>Borrowing</w:t>
            </w:r>
          </w:p>
        </w:tc>
        <w:tc>
          <w:tcPr>
            <w:tcW w:w="0" w:type="dxa"/>
            <w:vAlign w:val="bottom"/>
          </w:tcPr>
          <w:p>
            <w:pPr>
              <w:spacing w:after="0"/>
              <w:rPr>
                <w:sz w:val="1"/>
                <w:szCs w:val="1"/>
                <w:color w:val="auto"/>
              </w:rPr>
            </w:pPr>
          </w:p>
        </w:tc>
      </w:tr>
      <w:tr>
        <w:trPr>
          <w:trHeight w:val="190"/>
        </w:trPr>
        <w:tc>
          <w:tcPr>
            <w:tcW w:w="4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Interest Rate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8"/>
              </w:rPr>
              <w:t>Available</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27"/>
        </w:trPr>
        <w:tc>
          <w:tcPr>
            <w:tcW w:w="4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Prime Brokerage Credit Facilities:</w:t>
            </w: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2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9"/>
              </w:rPr>
              <w:t>5.71%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645,622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203,816</w:t>
            </w:r>
          </w:p>
        </w:tc>
        <w:tc>
          <w:tcPr>
            <w:tcW w:w="0" w:type="dxa"/>
            <w:vAlign w:val="bottom"/>
          </w:tcPr>
          <w:p>
            <w:pPr>
              <w:spacing w:after="0"/>
              <w:rPr>
                <w:sz w:val="1"/>
                <w:szCs w:val="1"/>
                <w:color w:val="auto"/>
              </w:rPr>
            </w:pPr>
          </w:p>
        </w:tc>
      </w:tr>
      <w:tr>
        <w:trPr>
          <w:trHeight w:val="235"/>
        </w:trPr>
        <w:tc>
          <w:tcPr>
            <w:tcW w:w="4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645,622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color w:val="auto"/>
                <w:w w:val="85"/>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203,816</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Outstanding borrowings are included with Receivables from/Payables to broker-dealers and clearing organizations within the Condensed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53" w:right="339" w:bottom="1440" w:gutter="0" w:footer="0" w:header="0"/>
        </w:sectPr>
      </w:pPr>
    </w:p>
    <w:bookmarkStart w:id="17" w:name="page18"/>
    <w:bookmarkEnd w:id="17"/>
    <w:p>
      <w:pPr>
        <w:ind w:left="640"/>
        <w:spacing w:after="0"/>
        <w:rPr>
          <w:sz w:val="20"/>
          <w:szCs w:val="20"/>
          <w:color w:val="auto"/>
        </w:rPr>
      </w:pPr>
      <w:r>
        <w:rPr>
          <w:rFonts w:ascii="Times New Roman" w:cs="Times New Roman" w:eastAsia="Times New Roman" w:hAnsi="Times New Roman"/>
          <w:sz w:val="17"/>
          <w:szCs w:val="17"/>
          <w:color w:val="auto"/>
        </w:rPr>
        <w:t>Interest expense in relation to the facilities was $4.1 million and $2.5 million for the three months ended March 31, 2026 and 2025, respectively.</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Borrowings</w:t>
      </w: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summarizes the Company’s long-term borrowings, net of unamortized discount and debt issuance costs, where applicable:</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At March 31, 2026</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40" w:type="dxa"/>
            <w:vAlign w:val="bottom"/>
            <w:gridSpan w:val="2"/>
            <w:vMerge w:val="continue"/>
          </w:tcPr>
          <w:p>
            <w:pPr>
              <w:spacing w:after="0"/>
              <w:rPr>
                <w:sz w:val="10"/>
                <w:szCs w:val="10"/>
                <w:color w:val="auto"/>
              </w:rPr>
            </w:pPr>
          </w:p>
        </w:tc>
        <w:tc>
          <w:tcPr>
            <w:tcW w:w="900" w:type="dxa"/>
            <w:vAlign w:val="bottom"/>
            <w:gridSpan w:val="2"/>
          </w:tcPr>
          <w:p>
            <w:pPr>
              <w:jc w:val="center"/>
              <w:ind w:right="120"/>
              <w:spacing w:after="0" w:line="126"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10"/>
                <w:szCs w:val="10"/>
                <w:color w:val="auto"/>
              </w:rPr>
            </w:pPr>
          </w:p>
        </w:tc>
        <w:tc>
          <w:tcPr>
            <w:tcW w:w="1140" w:type="dxa"/>
            <w:vAlign w:val="bottom"/>
            <w:gridSpan w:val="2"/>
          </w:tcPr>
          <w:p>
            <w:pPr>
              <w:jc w:val="center"/>
              <w:ind w:right="280"/>
              <w:spacing w:after="0" w:line="126" w:lineRule="exact"/>
              <w:rPr>
                <w:sz w:val="20"/>
                <w:szCs w:val="20"/>
                <w:color w:val="auto"/>
              </w:rPr>
            </w:pPr>
            <w:r>
              <w:rPr>
                <w:rFonts w:ascii="Times New Roman" w:cs="Times New Roman" w:eastAsia="Times New Roman" w:hAnsi="Times New Roman"/>
                <w:sz w:val="14"/>
                <w:szCs w:val="14"/>
                <w:b w:val="1"/>
                <w:bCs w:val="1"/>
                <w:color w:val="auto"/>
                <w:w w:val="99"/>
              </w:rPr>
              <w:t>Outstanding</w:t>
            </w:r>
          </w:p>
        </w:tc>
        <w:tc>
          <w:tcPr>
            <w:tcW w:w="14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40" w:type="dxa"/>
            <w:vAlign w:val="bottom"/>
          </w:tcPr>
          <w:p>
            <w:pPr>
              <w:spacing w:after="0"/>
              <w:rPr>
                <w:sz w:val="10"/>
                <w:szCs w:val="10"/>
                <w:color w:val="auto"/>
              </w:rPr>
            </w:pPr>
          </w:p>
        </w:tc>
        <w:tc>
          <w:tcPr>
            <w:tcW w:w="1180" w:type="dxa"/>
            <w:vAlign w:val="bottom"/>
            <w:gridSpan w:val="2"/>
          </w:tcPr>
          <w:p>
            <w:pPr>
              <w:ind w:left="40"/>
              <w:spacing w:after="0" w:line="126"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40" w:type="dxa"/>
            <w:vAlign w:val="bottom"/>
          </w:tcPr>
          <w:p>
            <w:pPr>
              <w:jc w:val="right"/>
              <w:ind w:right="250"/>
              <w:spacing w:after="0" w:line="126"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860" w:type="dxa"/>
            <w:vAlign w:val="bottom"/>
            <w:gridSpan w:val="2"/>
            <w:vMerge w:val="continue"/>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60" w:type="dxa"/>
            <w:vAlign w:val="bottom"/>
          </w:tcPr>
          <w:p>
            <w:pPr>
              <w:spacing w:after="0"/>
              <w:rPr>
                <w:sz w:val="16"/>
                <w:szCs w:val="16"/>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195"/>
        </w:trPr>
        <w:tc>
          <w:tcPr>
            <w:tcW w:w="3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10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First Lien Term B-2 Loan Facility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June 2031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6.17%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1,529,550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1,510,062</w:t>
            </w:r>
          </w:p>
        </w:tc>
        <w:tc>
          <w:tcPr>
            <w:tcW w:w="0" w:type="dxa"/>
            <w:vAlign w:val="bottom"/>
          </w:tcPr>
          <w:p>
            <w:pPr>
              <w:spacing w:after="0"/>
              <w:rPr>
                <w:sz w:val="1"/>
                <w:szCs w:val="1"/>
                <w:color w:val="auto"/>
              </w:rPr>
            </w:pPr>
          </w:p>
        </w:tc>
      </w:tr>
      <w:tr>
        <w:trPr>
          <w:trHeight w:val="204"/>
        </w:trPr>
        <w:tc>
          <w:tcPr>
            <w:tcW w:w="3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Senior Secured First Lien Notes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June 2031</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492,999</w:t>
            </w:r>
          </w:p>
        </w:tc>
        <w:tc>
          <w:tcPr>
            <w:tcW w:w="0" w:type="dxa"/>
            <w:vAlign w:val="bottom"/>
          </w:tcPr>
          <w:p>
            <w:pPr>
              <w:spacing w:after="0"/>
              <w:rPr>
                <w:sz w:val="1"/>
                <w:szCs w:val="1"/>
                <w:color w:val="auto"/>
              </w:rPr>
            </w:pPr>
          </w:p>
        </w:tc>
      </w:tr>
      <w:tr>
        <w:trPr>
          <w:trHeight w:val="190"/>
        </w:trPr>
        <w:tc>
          <w:tcPr>
            <w:tcW w:w="3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SBI bonds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January 2029</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22,051</w:t>
            </w:r>
          </w:p>
        </w:tc>
        <w:tc>
          <w:tcPr>
            <w:tcW w:w="0" w:type="dxa"/>
            <w:vAlign w:val="bottom"/>
          </w:tcPr>
          <w:p>
            <w:pPr>
              <w:spacing w:after="0"/>
              <w:rPr>
                <w:sz w:val="1"/>
                <w:szCs w:val="1"/>
                <w:color w:val="auto"/>
              </w:rPr>
            </w:pPr>
          </w:p>
        </w:tc>
      </w:tr>
      <w:tr>
        <w:trPr>
          <w:trHeight w:val="215"/>
        </w:trPr>
        <w:tc>
          <w:tcPr>
            <w:tcW w:w="37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2,051,601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2,025,112</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At December 31, 2025</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Maturity</w:t>
            </w: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90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w w:val="98"/>
              </w:rPr>
              <w:t>Interest</w:t>
            </w:r>
          </w:p>
        </w:tc>
        <w:tc>
          <w:tcPr>
            <w:tcW w:w="160" w:type="dxa"/>
            <w:vAlign w:val="bottom"/>
          </w:tcPr>
          <w:p>
            <w:pPr>
              <w:spacing w:after="0"/>
              <w:rPr>
                <w:sz w:val="10"/>
                <w:szCs w:val="10"/>
                <w:color w:val="auto"/>
              </w:rPr>
            </w:pPr>
          </w:p>
        </w:tc>
        <w:tc>
          <w:tcPr>
            <w:tcW w:w="114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0"/>
                <w:szCs w:val="10"/>
                <w:color w:val="auto"/>
              </w:rPr>
            </w:pP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gridSpan w:val="2"/>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Deferred Debt</w:t>
            </w:r>
          </w:p>
        </w:tc>
        <w:tc>
          <w:tcPr>
            <w:tcW w:w="160" w:type="dxa"/>
            <w:vAlign w:val="bottom"/>
          </w:tcPr>
          <w:p>
            <w:pPr>
              <w:spacing w:after="0"/>
              <w:rPr>
                <w:sz w:val="10"/>
                <w:szCs w:val="10"/>
                <w:color w:val="auto"/>
              </w:rPr>
            </w:pPr>
          </w:p>
        </w:tc>
        <w:tc>
          <w:tcPr>
            <w:tcW w:w="1240" w:type="dxa"/>
            <w:vAlign w:val="bottom"/>
          </w:tcPr>
          <w:p>
            <w:pPr>
              <w:jc w:val="right"/>
              <w:ind w:right="250"/>
              <w:spacing w:after="0" w:line="124"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90"/>
        </w:trPr>
        <w:tc>
          <w:tcPr>
            <w:tcW w:w="3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Issuance Cost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Borrowings, net</w:t>
            </w:r>
          </w:p>
        </w:tc>
        <w:tc>
          <w:tcPr>
            <w:tcW w:w="0" w:type="dxa"/>
            <w:vAlign w:val="bottom"/>
          </w:tcPr>
          <w:p>
            <w:pPr>
              <w:spacing w:after="0"/>
              <w:rPr>
                <w:sz w:val="1"/>
                <w:szCs w:val="1"/>
                <w:color w:val="auto"/>
              </w:rPr>
            </w:pPr>
          </w:p>
        </w:tc>
      </w:tr>
      <w:tr>
        <w:trPr>
          <w:trHeight w:val="228"/>
        </w:trPr>
        <w:tc>
          <w:tcPr>
            <w:tcW w:w="3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Long-term borrowings:</w:t>
            </w: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First Lien Term B-2 Loan Facility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June 2031</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6.22%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1,545,000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1,524,466</w:t>
            </w:r>
          </w:p>
        </w:tc>
        <w:tc>
          <w:tcPr>
            <w:tcW w:w="0" w:type="dxa"/>
            <w:vAlign w:val="bottom"/>
          </w:tcPr>
          <w:p>
            <w:pPr>
              <w:spacing w:after="0"/>
              <w:rPr>
                <w:sz w:val="1"/>
                <w:szCs w:val="1"/>
                <w:color w:val="auto"/>
              </w:rPr>
            </w:pPr>
          </w:p>
        </w:tc>
      </w:tr>
      <w:tr>
        <w:trPr>
          <w:trHeight w:val="204"/>
        </w:trPr>
        <w:tc>
          <w:tcPr>
            <w:tcW w:w="3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Senior Secured First Lien Notes</w:t>
            </w:r>
          </w:p>
        </w:tc>
        <w:tc>
          <w:tcPr>
            <w:tcW w:w="1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June 2031</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7.50%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492,663</w:t>
            </w:r>
          </w:p>
        </w:tc>
        <w:tc>
          <w:tcPr>
            <w:tcW w:w="0" w:type="dxa"/>
            <w:vAlign w:val="bottom"/>
          </w:tcPr>
          <w:p>
            <w:pPr>
              <w:spacing w:after="0"/>
              <w:rPr>
                <w:sz w:val="1"/>
                <w:szCs w:val="1"/>
                <w:color w:val="auto"/>
              </w:rPr>
            </w:pPr>
          </w:p>
        </w:tc>
      </w:tr>
      <w:tr>
        <w:trPr>
          <w:trHeight w:val="190"/>
        </w:trPr>
        <w:tc>
          <w:tcPr>
            <w:tcW w:w="38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SBI bonds</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8"/>
              </w:rPr>
              <w:t>January 2029</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22,334</w:t>
            </w:r>
          </w:p>
        </w:tc>
        <w:tc>
          <w:tcPr>
            <w:tcW w:w="0" w:type="dxa"/>
            <w:vAlign w:val="bottom"/>
          </w:tcPr>
          <w:p>
            <w:pPr>
              <w:spacing w:after="0"/>
              <w:rPr>
                <w:sz w:val="1"/>
                <w:szCs w:val="1"/>
                <w:color w:val="auto"/>
              </w:rPr>
            </w:pPr>
          </w:p>
        </w:tc>
      </w:tr>
      <w:tr>
        <w:trPr>
          <w:trHeight w:val="215"/>
        </w:trPr>
        <w:tc>
          <w:tcPr>
            <w:tcW w:w="37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2,067,334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2,039,463</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Agreement</w:t>
      </w:r>
    </w:p>
    <w:p>
      <w:pPr>
        <w:spacing w:after="0" w:line="252"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On January 13, 2022 (the “Credit Agreement Closing Date”), Virtu Financial, VFH Parent LLC, a Delaware limited liability company and a subsidiary of Virtu Financial (“VFH”),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“Original Credit Agreement”). The Original Credit Agreement provides (i) a senior secured first lien term loan in an aggregate principal amount of $1,800.0 million, drawn in its entirety on the Credit Agreement Closing Date, the proceeds of which were used by VFH to repay all amounts outstanding under the previous credit agreement entered into in relation to the ITG Acquisition,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205" w:lineRule="exact"/>
        <w:rPr>
          <w:sz w:val="20"/>
          <w:szCs w:val="20"/>
          <w:color w:val="auto"/>
        </w:rPr>
      </w:pPr>
    </w:p>
    <w:p>
      <w:pPr>
        <w:ind w:right="40" w:firstLine="629"/>
        <w:spacing w:after="0" w:line="262" w:lineRule="auto"/>
        <w:rPr>
          <w:sz w:val="20"/>
          <w:szCs w:val="20"/>
          <w:color w:val="auto"/>
        </w:rPr>
      </w:pPr>
      <w:r>
        <w:rPr>
          <w:rFonts w:ascii="Times New Roman" w:cs="Times New Roman" w:eastAsia="Times New Roman" w:hAnsi="Times New Roman"/>
          <w:sz w:val="17"/>
          <w:szCs w:val="17"/>
          <w:color w:val="auto"/>
        </w:rPr>
        <w:t>The term loan borrowings and revolver borrowings under the Original Credit Agreement bear interest at a per annum rate equal to, at the Company’s election, either (i) the greatest of (a) the prime rate in effect, (b) the greater of (1) the federal funds effective rate and (2) the overnight bank funding rate, in each case plus 0.50%, (c) an adjusted term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spacing w:after="0" w:line="205" w:lineRule="exact"/>
        <w:rPr>
          <w:sz w:val="20"/>
          <w:szCs w:val="20"/>
          <w:color w:val="auto"/>
        </w:rPr>
      </w:pPr>
    </w:p>
    <w:p>
      <w:pPr>
        <w:jc w:val="both"/>
        <w:ind w:right="320" w:firstLine="629"/>
        <w:spacing w:after="0" w:line="276" w:lineRule="auto"/>
        <w:rPr>
          <w:sz w:val="20"/>
          <w:szCs w:val="20"/>
          <w:color w:val="auto"/>
        </w:rPr>
      </w:pPr>
      <w:r>
        <w:rPr>
          <w:rFonts w:ascii="Times New Roman" w:cs="Times New Roman" w:eastAsia="Times New Roman" w:hAnsi="Times New Roman"/>
          <w:sz w:val="17"/>
          <w:szCs w:val="17"/>
          <w:color w:val="auto"/>
        </w:rPr>
        <w:t>The term loans amortize in annual installments equal to 1.0% of the original aggregate principal amount of the term loans and the Company repaid $18.0 million on January 13, 2023. On December 12, 2023, the Company made a voluntary prepayment of $55.0 million, and the payment is applied toward subsequent annual amortization installments.</w:t>
      </w:r>
    </w:p>
    <w:p>
      <w:pPr>
        <w:spacing w:after="0" w:line="190"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In January 2022, in order to align the Company’s existing swap agreements with the Original Credit Agreement, the Company amended its existing five-year $525.0 million floating-to-fixed interest rate swap agreement and five-year $1,000.0 million floating-to-fixed interest rate swap agreement to align the floating rate term of such swap agreements to SOFR. These two interest rate swaps met the criteria to be considered and were designated as qualifying cash flow hedges under ASC 815,</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18" w:name="page19"/>
    <w:bookmarkEnd w:id="18"/>
    <w:p>
      <w:pPr>
        <w:spacing w:after="0" w:line="296" w:lineRule="auto"/>
        <w:rPr>
          <w:sz w:val="20"/>
          <w:szCs w:val="20"/>
          <w:color w:val="auto"/>
        </w:rPr>
      </w:pPr>
      <w:r>
        <w:rPr>
          <w:rFonts w:ascii="Times New Roman" w:cs="Times New Roman" w:eastAsia="Times New Roman" w:hAnsi="Times New Roman"/>
          <w:sz w:val="17"/>
          <w:szCs w:val="17"/>
          <w:color w:val="auto"/>
        </w:rPr>
        <w:t>and they effectively fixed interest payment obligations on $525.0 million and $1,000.0 million of principal under the first lien term loan facility in relation to the Original Credit Agreement at rates of 4.5% and 4.6% through September 2024 and January 2025, respectively.</w:t>
      </w:r>
    </w:p>
    <w:p>
      <w:pPr>
        <w:spacing w:after="0" w:line="173"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In December 2023, the Company terminated the two interest rate swap arrangements and received $55.8 million in proceeds from the counterparty. The Company therefore dedesignated those cash flow hedges under ASC 815, and the amounts in AOCI related to the terminated swaps are amortized through interest expense. The Company simultaneously entered into a two-year $1,525.0 million floating-to-fixed interest rate swap agreement with the same counterparty (the “December 2023 Swap”). The December 2023 Swap met the criteria to be considered and was designated as a qualifying cash flow hedge under ASC 815 as of December 2023, and it effectively fixed interest payment obligations on $1,525.0 million of principal under the first lien term loan facility at a rate of 7.5% through November 2025, based on the interest rates set forth in the Original Credit Agreement.</w:t>
      </w:r>
    </w:p>
    <w:p>
      <w:pPr>
        <w:spacing w:after="0" w:line="198" w:lineRule="exact"/>
        <w:rPr>
          <w:sz w:val="20"/>
          <w:szCs w:val="20"/>
          <w:color w:val="auto"/>
        </w:rPr>
      </w:pPr>
    </w:p>
    <w:p>
      <w:pPr>
        <w:ind w:right="120" w:firstLine="629"/>
        <w:spacing w:after="0" w:line="265" w:lineRule="auto"/>
        <w:rPr>
          <w:sz w:val="20"/>
          <w:szCs w:val="20"/>
          <w:color w:val="auto"/>
        </w:rPr>
      </w:pPr>
      <w:r>
        <w:rPr>
          <w:rFonts w:ascii="Times New Roman" w:cs="Times New Roman" w:eastAsia="Times New Roman" w:hAnsi="Times New Roman"/>
          <w:sz w:val="17"/>
          <w:szCs w:val="17"/>
          <w:color w:val="auto"/>
        </w:rPr>
        <w:t>On June 21, 2024 (the “Amendment No. 1 Effective Date”), the Company entered into Amendment No. 1 to the Original Credit Agreement (as amended, the “First Amended Credit Agreement”) and completed the issuance of the Notes (as defined below). Pursuant to the First Amended Credit Agreement, $1,245.0 million in aggregate principal amount of Senior Secured First Lien Term B-1 Loans due 2031 (the “Term B-1 Loans”) were issued, the proceeds of which were used, along with the proceeds of the Notes, to repay in full all term loans previously outstanding under the Original Credit Agreement. Additionally, the First Amended Credit Agreement provides an increase in its senior secured first lien revolving credit facility from $250.0 million to $300.0 million and an extension of the maturity thereof to three years after the Amendment No. 1 Effective Date.</w:t>
      </w:r>
    </w:p>
    <w:p>
      <w:pPr>
        <w:spacing w:after="0" w:line="198" w:lineRule="exact"/>
        <w:rPr>
          <w:sz w:val="20"/>
          <w:szCs w:val="20"/>
          <w:color w:val="auto"/>
        </w:rPr>
      </w:pPr>
    </w:p>
    <w:p>
      <w:pPr>
        <w:ind w:right="140" w:firstLine="629"/>
        <w:spacing w:after="0" w:line="265" w:lineRule="auto"/>
        <w:rPr>
          <w:sz w:val="20"/>
          <w:szCs w:val="20"/>
          <w:color w:val="auto"/>
        </w:rPr>
      </w:pPr>
      <w:r>
        <w:rPr>
          <w:rFonts w:ascii="Times New Roman" w:cs="Times New Roman" w:eastAsia="Times New Roman" w:hAnsi="Times New Roman"/>
          <w:sz w:val="17"/>
          <w:szCs w:val="17"/>
          <w:color w:val="auto"/>
        </w:rPr>
        <w:t>The Term B-1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1.00% and (d) 1.00%, plus, in each case, 1.75%, or (ii) the greater of (x) term SOFR for the interest period in effect and (y) 0%, plus, in each case, 2.75%. The Term B-1 Loans will mature on the seventh anniversary of the Amendment No. 1 Effective Date and amortize in annual installments equal to 1.0% of the original aggregate principal amount of the Term B-1 Loans. The Term B-1 Loans are also subject to contingent principal payments based on excess cash flow and certain other triggering events.</w:t>
      </w:r>
    </w:p>
    <w:p>
      <w:pPr>
        <w:spacing w:after="0" w:line="198" w:lineRule="exact"/>
        <w:rPr>
          <w:sz w:val="20"/>
          <w:szCs w:val="20"/>
          <w:color w:val="auto"/>
        </w:rPr>
      </w:pPr>
    </w:p>
    <w:p>
      <w:pPr>
        <w:ind w:right="260" w:firstLine="629"/>
        <w:spacing w:after="0" w:line="267" w:lineRule="auto"/>
        <w:rPr>
          <w:sz w:val="20"/>
          <w:szCs w:val="20"/>
          <w:color w:val="auto"/>
        </w:rPr>
      </w:pPr>
      <w:r>
        <w:rPr>
          <w:rFonts w:ascii="Times New Roman" w:cs="Times New Roman" w:eastAsia="Times New Roman" w:hAnsi="Times New Roman"/>
          <w:sz w:val="17"/>
          <w:szCs w:val="17"/>
          <w:color w:val="auto"/>
        </w:rPr>
        <w:t>In connection with its entry into the First Amended Credit Agreement and the associated reduction in term loan balance, the Company partially terminated the December 2023 Swap, reducing the notional amount thereof from $1,525.0 million to $1,075.0 million and received $2.0 million in proceeds from the counterparty. The cash flow hedge was proportionally dedesignated under ASC 815 as of June 21, 2024. As a result of the partial dedesignation, we recognized a gain of $5.7 million in Other Income. The remaining interest rate swap effectively fixed interest payment obligations on the $1,075.0 million of principal of the Term B-1 Loans at a rate of 7.17% through November 2025, based on the interest rates set forth in the First Amended Credit Agreement.</w:t>
      </w:r>
    </w:p>
    <w:p>
      <w:pPr>
        <w:spacing w:after="0" w:line="196"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On February 19, 2025 (the “Amendment No. 2 Effective Date”), the Company entered into Amendment No. 2 to the First Amended Credit Agreement (“Amendment No. 2”). Amendment No. 2 amended the First Amended Credit Agreement (as amended, the “Credit Agreement”) to, among other things, effect a repricing of the $1,245.0 million in aggregate principal amount of Term B-1 Loans by establishing a new refinancing tranche of $1,245.0 million in aggregate principal amount of Senior Secured First Lien Term B-2 Loans (the “Original Term B-2 Loans”), the proceeds of which were used to repay in full the Term B-1 Loans on the Amendment No. 2 Effective Date.</w:t>
      </w:r>
    </w:p>
    <w:p>
      <w:pPr>
        <w:spacing w:after="0" w:line="196"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On September 23, 2025 (the “Amendment No. 3 Effective Date”), the Company entered into Amendment No. 3 to the First Amended Credit Agreement (“Amendment No. 3”). Amendment No. 3 amended the Credit Agreement to effect the issuance of incremental Senior Secured First Lien Term B-2 Loans in the amount of $300.0 million, the proceeds of which were used for general corporate purposes, for a total Term B-2 Loan balance of $1,545.0 million (collectively, the “Term B-2 Loans”).</w:t>
      </w:r>
    </w:p>
    <w:p>
      <w:pPr>
        <w:spacing w:after="0" w:line="194" w:lineRule="exact"/>
        <w:rPr>
          <w:sz w:val="20"/>
          <w:szCs w:val="20"/>
          <w:color w:val="auto"/>
        </w:rPr>
      </w:pPr>
    </w:p>
    <w:p>
      <w:pPr>
        <w:ind w:right="140" w:firstLine="629"/>
        <w:spacing w:after="0" w:line="265" w:lineRule="auto"/>
        <w:rPr>
          <w:sz w:val="20"/>
          <w:szCs w:val="20"/>
          <w:color w:val="auto"/>
        </w:rPr>
      </w:pPr>
      <w:r>
        <w:rPr>
          <w:rFonts w:ascii="Times New Roman" w:cs="Times New Roman" w:eastAsia="Times New Roman" w:hAnsi="Times New Roman"/>
          <w:sz w:val="17"/>
          <w:szCs w:val="17"/>
          <w:color w:val="auto"/>
        </w:rPr>
        <w:t>The Term B-2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 and (d) 1.0%, plus, in each case, 1.50%, or (ii) the greater of (x) term SOFR for the interest period in effect and (y) 0%, plus, in each case, 2.50%. The Term B-2 Loans will mature on June 21, 2031 and amortize in annual installments equal to 1.0% of the original aggregate principal amount of the Term B-2 Loans due on each anniversary of the Amendment No. 2 Effective Date. On February 19, 2026, the Company repaid $15.5 million. The Term B-2 Loans are also subject to contingent principal payments based on excess cash flow and certain other triggering events.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19" w:name="page20"/>
    <w:bookmarkEnd w:id="19"/>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The interest rate swap effectively fixed interest payment obligations on $1,075.0 million of principal of the Term B-2 Loans at a rate of 6.92% through November 2025, based on the interest rates set forth in the Credit Agreement. The designation of the interest rate swap as a cash flow hedge was discontinued upon the termination of the swap in November 2025.</w:t>
      </w:r>
    </w:p>
    <w:p>
      <w:pPr>
        <w:spacing w:after="0" w:line="190" w:lineRule="exact"/>
        <w:rPr>
          <w:sz w:val="20"/>
          <w:szCs w:val="20"/>
          <w:color w:val="auto"/>
        </w:rPr>
      </w:pPr>
    </w:p>
    <w:p>
      <w:pPr>
        <w:ind w:right="140" w:firstLine="629"/>
        <w:spacing w:after="0" w:line="267" w:lineRule="auto"/>
        <w:rPr>
          <w:sz w:val="20"/>
          <w:szCs w:val="20"/>
          <w:color w:val="auto"/>
        </w:rPr>
      </w:pPr>
      <w:r>
        <w:rPr>
          <w:rFonts w:ascii="Times New Roman" w:cs="Times New Roman" w:eastAsia="Times New Roman" w:hAnsi="Times New Roman"/>
          <w:sz w:val="17"/>
          <w:szCs w:val="17"/>
          <w:color w:val="auto"/>
        </w:rPr>
        <w:t>The revolving facility under the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196" w:lineRule="exact"/>
        <w:rPr>
          <w:sz w:val="20"/>
          <w:szCs w:val="20"/>
          <w:color w:val="auto"/>
        </w:rPr>
      </w:pPr>
    </w:p>
    <w:p>
      <w:pPr>
        <w:jc w:val="both"/>
        <w:ind w:right="400" w:firstLine="629"/>
        <w:spacing w:after="0" w:line="270" w:lineRule="auto"/>
        <w:rPr>
          <w:sz w:val="20"/>
          <w:szCs w:val="20"/>
          <w:color w:val="auto"/>
        </w:rPr>
      </w:pPr>
      <w:r>
        <w:rPr>
          <w:rFonts w:ascii="Times New Roman" w:cs="Times New Roman" w:eastAsia="Times New Roman" w:hAnsi="Times New Roman"/>
          <w:sz w:val="17"/>
          <w:szCs w:val="17"/>
          <w:color w:val="auto"/>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94" w:lineRule="exact"/>
        <w:rPr>
          <w:sz w:val="20"/>
          <w:szCs w:val="20"/>
          <w:color w:val="auto"/>
        </w:rPr>
      </w:pPr>
    </w:p>
    <w:p>
      <w:pPr>
        <w:ind w:right="460" w:firstLine="629"/>
        <w:spacing w:after="0" w:line="296" w:lineRule="auto"/>
        <w:rPr>
          <w:sz w:val="20"/>
          <w:szCs w:val="20"/>
          <w:color w:val="auto"/>
        </w:rPr>
      </w:pPr>
      <w:r>
        <w:rPr>
          <w:rFonts w:ascii="Times New Roman" w:cs="Times New Roman" w:eastAsia="Times New Roman" w:hAnsi="Times New Roman"/>
          <w:sz w:val="17"/>
          <w:szCs w:val="17"/>
          <w:color w:val="auto"/>
        </w:rPr>
        <w:t>As of March 31, 2026, $1,529.6 million was outstanding under the current term loans, and there were no amounts outstanding under the first lien revolving facility.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Senior Secured First Lien Notes</w:t>
      </w:r>
    </w:p>
    <w:p>
      <w:pPr>
        <w:spacing w:after="0" w:line="252"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On June 21, 2024, VFH and Valor Co-Issuer, Inc., a subsidiary of Virtu Financial, (the “Co-Issuer”) completed the offering of $500.0 million aggregate principal amount of 7.50% senior secured first lien notes due 2031 (the “Notes”). The Notes were issued under an Indenture, dated as of June 21, 2024 (the “Indenture”), among the VFH, the Co-Issuer, Virtu Financial and the subsidiary guarantors party thereto, and U.S. Bank Trust Company, National Association, as the trustee and collateral agent. The Notes mature on June 15, 2031. Interest on the Notes accrues at 7.50% per annum, payable every six months through maturity on each June 15 and December 15, beginning on December 15, 2024. We refer to VFH and the Co-Issuer together as, the “Issuers.”</w:t>
      </w:r>
    </w:p>
    <w:p>
      <w:pPr>
        <w:spacing w:after="0" w:line="196" w:lineRule="exact"/>
        <w:rPr>
          <w:sz w:val="20"/>
          <w:szCs w:val="20"/>
          <w:color w:val="auto"/>
        </w:rPr>
      </w:pPr>
    </w:p>
    <w:p>
      <w:pPr>
        <w:ind w:right="100" w:firstLine="629"/>
        <w:spacing w:after="0" w:line="268" w:lineRule="auto"/>
        <w:rPr>
          <w:sz w:val="20"/>
          <w:szCs w:val="20"/>
          <w:color w:val="auto"/>
        </w:rPr>
      </w:pPr>
      <w:r>
        <w:rPr>
          <w:rFonts w:ascii="Times New Roman" w:cs="Times New Roman" w:eastAsia="Times New Roman" w:hAnsi="Times New Roman"/>
          <w:sz w:val="17"/>
          <w:szCs w:val="17"/>
          <w:color w:val="auto"/>
        </w:rPr>
        <w:t>The Notes and the related guarantees are secured by first-priority perfected liens on substantially all of the Issuers’ and guarantors’ existing and future assets, subject to certain exceptions, including all material personal property, a pledge of the</w:t>
      </w:r>
    </w:p>
    <w:p>
      <w:pPr>
        <w:spacing w:after="0" w:line="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capital stock of the Issuers, the guarantors (other than Virtu Financial) and the direct subsidiaries of the Issuers and the guarantors and 100% of the non-voting capital stock and up to 65.0% of the voting capital stock of any now-owned or later acquired foreign subsidiaries that are directly owned by the Issuers or any of the guarantors, which assets also secure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obligations under the Credit Agreement on a first-priority basis.</w:t>
      </w:r>
    </w:p>
    <w:p>
      <w:pPr>
        <w:spacing w:after="0" w:line="232"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The Indenture imposes certain limitations on our ability to (i) incur or guarantee additional indebtedness or issue preferred stock; (ii) pay dividends, make certain investments and make repayments on indebtedness that is subordinated in right of payment to the Notes and make other “restricted payments”; (iii) create liens on their assets to secure debt; (iv) enter into transactions with affiliates; (v) merge, consolidate or amalgamate with another company; (vi) transfer and sell assets; and (vii) permit restrictions on the payment of dividends by Virtu Financial’s subsidiaries. The Indenture also contains customary events of default, including, among others, payment defaults related to the failure to pay principal or interest on Notes, covenant defaults, final maturity default or cross-acceleration with respect to material indebtedness and certain bankruptcy events.</w:t>
      </w:r>
    </w:p>
    <w:p>
      <w:pPr>
        <w:spacing w:after="0" w:line="198" w:lineRule="exact"/>
        <w:rPr>
          <w:sz w:val="20"/>
          <w:szCs w:val="20"/>
          <w:color w:val="auto"/>
        </w:rPr>
      </w:pPr>
    </w:p>
    <w:p>
      <w:pPr>
        <w:ind w:right="140" w:firstLine="629"/>
        <w:spacing w:after="0" w:line="296" w:lineRule="auto"/>
        <w:rPr>
          <w:sz w:val="20"/>
          <w:szCs w:val="20"/>
          <w:color w:val="auto"/>
        </w:rPr>
      </w:pPr>
      <w:r>
        <w:rPr>
          <w:rFonts w:ascii="Times New Roman" w:cs="Times New Roman" w:eastAsia="Times New Roman" w:hAnsi="Times New Roman"/>
          <w:sz w:val="17"/>
          <w:szCs w:val="17"/>
          <w:color w:val="auto"/>
        </w:rPr>
        <w:t>Prior to June 15, 2027, we may redeem some or all of the Notes at a redemption price equal to 100% of the principal amount plus accrued and unpaid interest, if any, to (but not including) the date of redemption, plus an applicable “make whole” premium.</w:t>
      </w:r>
    </w:p>
    <w:p>
      <w:pPr>
        <w:spacing w:after="0" w:line="173" w:lineRule="exact"/>
        <w:rPr>
          <w:sz w:val="20"/>
          <w:szCs w:val="20"/>
          <w:color w:val="auto"/>
        </w:rPr>
      </w:pPr>
    </w:p>
    <w:p>
      <w:pPr>
        <w:ind w:right="200" w:firstLine="629"/>
        <w:spacing w:after="0" w:line="276" w:lineRule="auto"/>
        <w:rPr>
          <w:sz w:val="20"/>
          <w:szCs w:val="20"/>
          <w:color w:val="auto"/>
        </w:rPr>
      </w:pPr>
      <w:r>
        <w:rPr>
          <w:rFonts w:ascii="Times New Roman" w:cs="Times New Roman" w:eastAsia="Times New Roman" w:hAnsi="Times New Roman"/>
          <w:sz w:val="17"/>
          <w:szCs w:val="17"/>
          <w:color w:val="auto"/>
        </w:rPr>
        <w:t>Prior to June 15, 2027, we may also redeem up to 40% of the aggregate principal amount of the Notes with the net cash proceeds from certain equity offerings at a redemption price equal to 107.500% of the principal amount thereof, plus accrued and unpaid interest, if any, to (but not including) the date of redemption.</w:t>
      </w:r>
    </w:p>
    <w:p>
      <w:pPr>
        <w:spacing w:after="0" w:line="190" w:lineRule="exact"/>
        <w:rPr>
          <w:sz w:val="20"/>
          <w:szCs w:val="20"/>
          <w:color w:val="auto"/>
        </w:rPr>
      </w:pPr>
    </w:p>
    <w:p>
      <w:pPr>
        <w:ind w:right="40" w:firstLine="629"/>
        <w:spacing w:after="0" w:line="276" w:lineRule="auto"/>
        <w:rPr>
          <w:sz w:val="20"/>
          <w:szCs w:val="20"/>
          <w:color w:val="auto"/>
        </w:rPr>
      </w:pPr>
      <w:r>
        <w:rPr>
          <w:rFonts w:ascii="Times New Roman" w:cs="Times New Roman" w:eastAsia="Times New Roman" w:hAnsi="Times New Roman"/>
          <w:sz w:val="17"/>
          <w:szCs w:val="17"/>
          <w:color w:val="auto"/>
        </w:rPr>
        <w:t>Prior to June 15, 2027, we may also, on one or more occasions, redeem during each successive twelve-month period following June 21, 2024 up to 10% of the aggregate original principal amount of notes, at a redemption price equal to 103% of the principal amount of notes to be redeemed, plus accrued and unpaid interest to, but not including, the redemption date.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20" w:name="page21"/>
    <w:bookmarkEnd w:id="20"/>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On or after June 15, 2027, we may redeem some or all of the Notes, at the following redemption prices (expressed as percentages of principal amount), plus accrued and unpaid interest to (but not including) the date of redemption, if redeemed during the 12-month period beginning on June 15 of the years indicated below:</w:t>
      </w:r>
    </w:p>
    <w:p>
      <w:pPr>
        <w:spacing w:after="0" w:line="223" w:lineRule="exact"/>
        <w:rPr>
          <w:sz w:val="20"/>
          <w:szCs w:val="20"/>
          <w:color w:val="auto"/>
        </w:rPr>
      </w:pPr>
    </w:p>
    <w:tbl>
      <w:tblPr>
        <w:tblLayout w:type="fixed"/>
        <w:tblInd w:w="3420" w:type="dxa"/>
        <w:tblCellMar>
          <w:top w:w="0" w:type="dxa"/>
          <w:left w:w="0" w:type="dxa"/>
          <w:bottom w:w="0" w:type="dxa"/>
          <w:right w:w="0" w:type="dxa"/>
        </w:tblCellMar>
      </w:tblPr>
      <w:tr>
        <w:trPr>
          <w:trHeight w:val="184"/>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220" w:type="dxa"/>
            <w:vAlign w:val="bottom"/>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w w:val="96"/>
              </w:rPr>
              <w:t>Percentage</w:t>
            </w:r>
          </w:p>
        </w:tc>
      </w:tr>
      <w:tr>
        <w:trPr>
          <w:trHeight w:val="23"/>
        </w:trPr>
        <w:tc>
          <w:tcPr>
            <w:tcW w:w="220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19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2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4"/>
                <w:szCs w:val="14"/>
                <w:color w:val="auto"/>
                <w:w w:val="97"/>
              </w:rPr>
              <w:t>103.750%</w:t>
            </w:r>
          </w:p>
        </w:tc>
      </w:tr>
      <w:tr>
        <w:trPr>
          <w:trHeight w:val="189"/>
        </w:trPr>
        <w:tc>
          <w:tcPr>
            <w:tcW w:w="2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220" w:type="dxa"/>
            <w:vAlign w:val="bottom"/>
          </w:tcPr>
          <w:p>
            <w:pPr>
              <w:jc w:val="center"/>
              <w:ind w:left="550"/>
              <w:spacing w:after="0"/>
              <w:rPr>
                <w:sz w:val="20"/>
                <w:szCs w:val="20"/>
                <w:color w:val="auto"/>
              </w:rPr>
            </w:pPr>
            <w:r>
              <w:rPr>
                <w:rFonts w:ascii="Times New Roman" w:cs="Times New Roman" w:eastAsia="Times New Roman" w:hAnsi="Times New Roman"/>
                <w:sz w:val="14"/>
                <w:szCs w:val="14"/>
                <w:color w:val="auto"/>
                <w:w w:val="97"/>
              </w:rPr>
              <w:t>101.875%</w:t>
            </w:r>
          </w:p>
        </w:tc>
      </w:tr>
      <w:tr>
        <w:trPr>
          <w:trHeight w:val="204"/>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 and thereafter</w:t>
            </w:r>
          </w:p>
        </w:tc>
        <w:tc>
          <w:tcPr>
            <w:tcW w:w="2220" w:type="dxa"/>
            <w:vAlign w:val="bottom"/>
            <w:shd w:val="clear" w:color="auto" w:fill="CCEEFF"/>
          </w:tcPr>
          <w:p>
            <w:pPr>
              <w:jc w:val="center"/>
              <w:ind w:left="550"/>
              <w:spacing w:after="0"/>
              <w:rPr>
                <w:sz w:val="20"/>
                <w:szCs w:val="20"/>
                <w:color w:val="auto"/>
              </w:rPr>
            </w:pPr>
            <w:r>
              <w:rPr>
                <w:rFonts w:ascii="Times New Roman" w:cs="Times New Roman" w:eastAsia="Times New Roman" w:hAnsi="Times New Roman"/>
                <w:sz w:val="14"/>
                <w:szCs w:val="14"/>
                <w:color w:val="auto"/>
                <w:w w:val="97"/>
              </w:rPr>
              <w:t>100.000%</w:t>
            </w:r>
          </w:p>
        </w:tc>
      </w:tr>
    </w:tbl>
    <w:p>
      <w:pPr>
        <w:spacing w:after="0" w:line="309" w:lineRule="exact"/>
        <w:rPr>
          <w:sz w:val="20"/>
          <w:szCs w:val="20"/>
          <w:color w:val="auto"/>
        </w:rPr>
      </w:pPr>
    </w:p>
    <w:p>
      <w:pPr>
        <w:ind w:right="220" w:firstLine="629"/>
        <w:spacing w:after="0" w:line="296" w:lineRule="auto"/>
        <w:rPr>
          <w:sz w:val="20"/>
          <w:szCs w:val="20"/>
          <w:color w:val="auto"/>
        </w:rPr>
      </w:pPr>
      <w:r>
        <w:rPr>
          <w:rFonts w:ascii="Times New Roman" w:cs="Times New Roman" w:eastAsia="Times New Roman" w:hAnsi="Times New Roman"/>
          <w:sz w:val="17"/>
          <w:szCs w:val="17"/>
          <w:color w:val="auto"/>
        </w:rPr>
        <w:t>Upon the occurrence of specified change of control events as defined in the Indenture, we must offer to repurchase the outstanding Notes at 101% of the aggregate principal amount, plus accrued and unpaid interest, if any, to (but excluding) the purchase date.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SBI Bonds</w:t>
      </w:r>
    </w:p>
    <w:p>
      <w:pPr>
        <w:spacing w:after="0" w:line="252"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Japannext Co., Ltd. (as described in Note 10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In December 2022, the maturity of the SBI Bonds was extended to 2026, and in December 2025, the maturity of the SBI Bonds was extended to 2029. The principal balance was ¥3.5 billion ($22.1 million) and ¥3.5 billion ($22.3 million) as of March 31, 2026 and December 31, 2025, respectively. The Company had a gain of $0.3 million and a loss of $1.1 million during the three months ended March 31, 2026 and 2025, respectively, due to changes in foreign currency rates.</w:t>
      </w: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As of March 31, 2026, aggregate future required minimum principal payments based on the terms of the long-term borrowings were as follows:</w:t>
      </w:r>
    </w:p>
    <w:p>
      <w:pPr>
        <w:spacing w:after="0" w:line="283" w:lineRule="exact"/>
        <w:rPr>
          <w:sz w:val="20"/>
          <w:szCs w:val="20"/>
          <w:color w:val="auto"/>
        </w:rPr>
      </w:pPr>
    </w:p>
    <w:tbl>
      <w:tblPr>
        <w:tblLayout w:type="fixed"/>
        <w:tblInd w:w="3440" w:type="dxa"/>
        <w:tblCellMar>
          <w:top w:w="0" w:type="dxa"/>
          <w:left w:w="0" w:type="dxa"/>
          <w:bottom w:w="0" w:type="dxa"/>
          <w:right w:w="0" w:type="dxa"/>
        </w:tblCellMar>
      </w:tblPr>
      <w:tr>
        <w:trPr>
          <w:trHeight w:val="184"/>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29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Remainder of 2026</w:t>
            </w:r>
          </w:p>
        </w:tc>
        <w:tc>
          <w:tcPr>
            <w:tcW w:w="7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7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15,450</w:t>
            </w:r>
          </w:p>
        </w:tc>
      </w:tr>
      <w:tr>
        <w:trPr>
          <w:trHeight w:val="204"/>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7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15,450</w:t>
            </w:r>
          </w:p>
        </w:tc>
      </w:tr>
      <w:tr>
        <w:trPr>
          <w:trHeight w:val="189"/>
        </w:trPr>
        <w:tc>
          <w:tcPr>
            <w:tcW w:w="2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7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37,501</w:t>
            </w:r>
          </w:p>
        </w:tc>
      </w:tr>
      <w:tr>
        <w:trPr>
          <w:trHeight w:val="204"/>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74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15,450</w:t>
            </w:r>
          </w:p>
        </w:tc>
      </w:tr>
      <w:tr>
        <w:trPr>
          <w:trHeight w:val="190"/>
        </w:trPr>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2031</w:t>
            </w: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1,967,750</w:t>
            </w:r>
          </w:p>
        </w:tc>
      </w:tr>
      <w:tr>
        <w:trPr>
          <w:trHeight w:val="221"/>
        </w:trPr>
        <w:tc>
          <w:tcPr>
            <w:tcW w:w="2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principal of long-term borrowings</w:t>
            </w:r>
          </w:p>
        </w:tc>
        <w:tc>
          <w:tcPr>
            <w:tcW w:w="74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2,051,601</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Financial Assets and Liabilities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Instruments Measured at Fair Value</w:t>
      </w:r>
    </w:p>
    <w:p>
      <w:pPr>
        <w:spacing w:after="0" w:line="252" w:lineRule="exact"/>
        <w:rPr>
          <w:sz w:val="20"/>
          <w:szCs w:val="20"/>
          <w:color w:val="auto"/>
        </w:rPr>
      </w:pPr>
    </w:p>
    <w:p>
      <w:pPr>
        <w:ind w:right="40" w:firstLine="629"/>
        <w:spacing w:after="0" w:line="262" w:lineRule="auto"/>
        <w:rPr>
          <w:sz w:val="20"/>
          <w:szCs w:val="20"/>
          <w:color w:val="auto"/>
        </w:rPr>
      </w:pPr>
      <w:r>
        <w:rPr>
          <w:rFonts w:ascii="Times New Roman" w:cs="Times New Roman" w:eastAsia="Times New Roman" w:hAnsi="Times New Roman"/>
          <w:sz w:val="17"/>
          <w:szCs w:val="17"/>
          <w:color w:val="auto"/>
        </w:rPr>
        <w:t>The fair value of equities, options, on-the-run U.S. government obligations, certain exchange traded notes, USDC, and digital assets is estimated using recently executed transactions and market price quotations in active markets and are categorized as Level 1 with the exception of inactively traded equities, all other exchange traded notes and certain other financial instruments, which are categorized as Level 2. The Company’s corporate bonds, derivative contracts, other U.S. and non-U.S. government obligations and receivables and payables linked to digital assets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205"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1" w:name="page22"/>
    <w:bookmarkEnd w:id="21"/>
    <w:p>
      <w:pPr>
        <w:ind w:right="120"/>
        <w:spacing w:after="0" w:line="296" w:lineRule="auto"/>
        <w:rPr>
          <w:sz w:val="20"/>
          <w:szCs w:val="20"/>
          <w:color w:val="auto"/>
        </w:rPr>
      </w:pPr>
      <w:r>
        <w:rPr>
          <w:rFonts w:ascii="Times New Roman" w:cs="Times New Roman" w:eastAsia="Times New Roman" w:hAnsi="Times New Roman"/>
          <w:sz w:val="17"/>
          <w:szCs w:val="17"/>
          <w:color w:val="auto"/>
        </w:rPr>
        <w:t>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Fair value measurements for those items measured on a recurring basis are summarized below as of March 31, 2026:</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80" w:type="dxa"/>
            <w:vAlign w:val="bottom"/>
          </w:tcPr>
          <w:p>
            <w:pPr>
              <w:spacing w:after="0"/>
              <w:rPr>
                <w:sz w:val="10"/>
                <w:szCs w:val="10"/>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80" w:type="dxa"/>
            <w:vAlign w:val="bottom"/>
          </w:tcPr>
          <w:p>
            <w:pPr>
              <w:spacing w:after="0"/>
              <w:rPr>
                <w:sz w:val="10"/>
                <w:szCs w:val="10"/>
                <w:color w:val="auto"/>
              </w:rPr>
            </w:pPr>
          </w:p>
        </w:tc>
        <w:tc>
          <w:tcPr>
            <w:tcW w:w="1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100" w:type="dxa"/>
            <w:vAlign w:val="bottom"/>
          </w:tcPr>
          <w:p>
            <w:pPr>
              <w:spacing w:after="0"/>
              <w:rPr>
                <w:sz w:val="10"/>
                <w:szCs w:val="10"/>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Counterparty and</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center"/>
              <w:ind w:right="120"/>
              <w:spacing w:after="0" w:line="143"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80" w:type="dxa"/>
            <w:vAlign w:val="bottom"/>
          </w:tcPr>
          <w:p>
            <w:pPr>
              <w:spacing w:after="0"/>
              <w:rPr>
                <w:sz w:val="12"/>
                <w:szCs w:val="12"/>
                <w:color w:val="auto"/>
              </w:rPr>
            </w:pPr>
          </w:p>
        </w:tc>
        <w:tc>
          <w:tcPr>
            <w:tcW w:w="132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Observable Inputs</w:t>
            </w:r>
          </w:p>
        </w:tc>
        <w:tc>
          <w:tcPr>
            <w:tcW w:w="1400" w:type="dxa"/>
            <w:vAlign w:val="bottom"/>
            <w:gridSpan w:val="3"/>
          </w:tcPr>
          <w:p>
            <w:pPr>
              <w:ind w:left="20"/>
              <w:spacing w:after="0" w:line="144"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1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0"/>
        </w:trPr>
        <w:tc>
          <w:tcPr>
            <w:tcW w:w="4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8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(Level 3)</w:t>
            </w:r>
          </w:p>
        </w:tc>
        <w:tc>
          <w:tcPr>
            <w:tcW w:w="10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Netting</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1,600,654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4,196,271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5,796,925</w:t>
            </w:r>
          </w:p>
        </w:tc>
        <w:tc>
          <w:tcPr>
            <w:tcW w:w="0" w:type="dxa"/>
            <w:vAlign w:val="bottom"/>
          </w:tcPr>
          <w:p>
            <w:pPr>
              <w:spacing w:after="0"/>
              <w:rPr>
                <w:sz w:val="1"/>
                <w:szCs w:val="1"/>
                <w:color w:val="auto"/>
              </w:rPr>
            </w:pPr>
          </w:p>
        </w:tc>
      </w:tr>
      <w:tr>
        <w:trPr>
          <w:trHeight w:val="189"/>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636,895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1,862,732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2,499,627</w:t>
            </w:r>
          </w:p>
        </w:tc>
        <w:tc>
          <w:tcPr>
            <w:tcW w:w="0" w:type="dxa"/>
            <w:vAlign w:val="bottom"/>
          </w:tcPr>
          <w:p>
            <w:pPr>
              <w:spacing w:after="0"/>
              <w:rPr>
                <w:sz w:val="1"/>
                <w:szCs w:val="1"/>
                <w:color w:val="auto"/>
              </w:rPr>
            </w:pPr>
          </w:p>
        </w:tc>
      </w:tr>
      <w:tr>
        <w:trPr>
          <w:trHeight w:val="204"/>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Corporate Bonds</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1,272,260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1,272,260</w:t>
            </w:r>
          </w:p>
        </w:tc>
        <w:tc>
          <w:tcPr>
            <w:tcW w:w="0" w:type="dxa"/>
            <w:vAlign w:val="bottom"/>
          </w:tcPr>
          <w:p>
            <w:pPr>
              <w:spacing w:after="0"/>
              <w:rPr>
                <w:sz w:val="1"/>
                <w:szCs w:val="1"/>
                <w:color w:val="auto"/>
              </w:rPr>
            </w:pPr>
          </w:p>
        </w:tc>
      </w:tr>
      <w:tr>
        <w:trPr>
          <w:trHeight w:val="189"/>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Exchange traded notes</w:t>
            </w:r>
          </w:p>
        </w:tc>
        <w:tc>
          <w:tcPr>
            <w:tcW w:w="12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13,147</w:t>
            </w:r>
          </w:p>
        </w:tc>
        <w:tc>
          <w:tcPr>
            <w:tcW w:w="0" w:type="dxa"/>
            <w:vAlign w:val="bottom"/>
          </w:tcPr>
          <w:p>
            <w:pPr>
              <w:spacing w:after="0"/>
              <w:rPr>
                <w:sz w:val="1"/>
                <w:szCs w:val="1"/>
                <w:color w:val="auto"/>
              </w:rPr>
            </w:pPr>
          </w:p>
        </w:tc>
      </w:tr>
      <w:tr>
        <w:trPr>
          <w:trHeight w:val="204"/>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Currency forwards</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468,320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(456,521)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11,799</w:t>
            </w:r>
          </w:p>
        </w:tc>
        <w:tc>
          <w:tcPr>
            <w:tcW w:w="0" w:type="dxa"/>
            <w:vAlign w:val="bottom"/>
          </w:tcPr>
          <w:p>
            <w:pPr>
              <w:spacing w:after="0"/>
              <w:rPr>
                <w:sz w:val="1"/>
                <w:szCs w:val="1"/>
                <w:color w:val="auto"/>
              </w:rPr>
            </w:pPr>
          </w:p>
        </w:tc>
      </w:tr>
      <w:tr>
        <w:trPr>
          <w:trHeight w:val="190"/>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Options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10,760</w:t>
            </w:r>
          </w:p>
        </w:tc>
        <w:tc>
          <w:tcPr>
            <w:tcW w:w="0" w:type="dxa"/>
            <w:vAlign w:val="bottom"/>
          </w:tcPr>
          <w:p>
            <w:pPr>
              <w:spacing w:after="0"/>
              <w:rPr>
                <w:sz w:val="1"/>
                <w:szCs w:val="1"/>
                <w:color w:val="auto"/>
              </w:rPr>
            </w:pPr>
          </w:p>
        </w:tc>
      </w:tr>
      <w:tr>
        <w:trPr>
          <w:trHeight w:val="215"/>
        </w:trPr>
        <w:tc>
          <w:tcPr>
            <w:tcW w:w="4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2,248,309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7,812,730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(456,521)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9,604,518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Financial instruments owned, pledged as collateral:</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2,226,911</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1,161,754</w:t>
            </w:r>
          </w:p>
        </w:tc>
        <w:tc>
          <w:tcPr>
            <w:tcW w:w="1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3,388,665</w:t>
            </w:r>
          </w:p>
        </w:tc>
        <w:tc>
          <w:tcPr>
            <w:tcW w:w="0" w:type="dxa"/>
            <w:vAlign w:val="bottom"/>
          </w:tcPr>
          <w:p>
            <w:pPr>
              <w:spacing w:after="0"/>
              <w:rPr>
                <w:sz w:val="1"/>
                <w:szCs w:val="1"/>
                <w:color w:val="auto"/>
              </w:rPr>
            </w:pPr>
          </w:p>
        </w:tc>
      </w:tr>
      <w:tr>
        <w:trPr>
          <w:trHeight w:val="204"/>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Exchange traded notes</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10,004</w:t>
            </w: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2,226,911</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1,171,758</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3,398,669</w:t>
            </w:r>
          </w:p>
        </w:tc>
        <w:tc>
          <w:tcPr>
            <w:tcW w:w="0" w:type="dxa"/>
            <w:vAlign w:val="bottom"/>
          </w:tcPr>
          <w:p>
            <w:pPr>
              <w:spacing w:after="0"/>
              <w:rPr>
                <w:sz w:val="1"/>
                <w:szCs w:val="1"/>
                <w:color w:val="auto"/>
              </w:rPr>
            </w:pPr>
          </w:p>
        </w:tc>
      </w:tr>
      <w:tr>
        <w:trPr>
          <w:trHeight w:val="20"/>
        </w:trPr>
        <w:tc>
          <w:tcPr>
            <w:tcW w:w="4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investment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80,561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80,561</w:t>
            </w:r>
          </w:p>
        </w:tc>
        <w:tc>
          <w:tcPr>
            <w:tcW w:w="0" w:type="dxa"/>
            <w:vAlign w:val="bottom"/>
          </w:tcPr>
          <w:p>
            <w:pPr>
              <w:spacing w:after="0"/>
              <w:rPr>
                <w:sz w:val="1"/>
                <w:szCs w:val="1"/>
                <w:color w:val="auto"/>
              </w:rPr>
            </w:pPr>
          </w:p>
        </w:tc>
      </w:tr>
      <w:tr>
        <w:trPr>
          <w:trHeight w:val="189"/>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Digital assets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195,072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195,072</w:t>
            </w:r>
          </w:p>
        </w:tc>
        <w:tc>
          <w:tcPr>
            <w:tcW w:w="0" w:type="dxa"/>
            <w:vAlign w:val="bottom"/>
          </w:tcPr>
          <w:p>
            <w:pPr>
              <w:spacing w:after="0"/>
              <w:rPr>
                <w:sz w:val="1"/>
                <w:szCs w:val="1"/>
                <w:color w:val="auto"/>
              </w:rPr>
            </w:pPr>
          </w:p>
        </w:tc>
      </w:tr>
      <w:tr>
        <w:trPr>
          <w:trHeight w:val="204"/>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USDC (1)</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21,867</w:t>
            </w:r>
          </w:p>
        </w:tc>
        <w:tc>
          <w:tcPr>
            <w:tcW w:w="0" w:type="dxa"/>
            <w:vAlign w:val="bottom"/>
          </w:tcPr>
          <w:p>
            <w:pPr>
              <w:spacing w:after="0"/>
              <w:rPr>
                <w:sz w:val="1"/>
                <w:szCs w:val="1"/>
                <w:color w:val="auto"/>
              </w:rPr>
            </w:pPr>
          </w:p>
        </w:tc>
      </w:tr>
      <w:tr>
        <w:trPr>
          <w:trHeight w:val="190"/>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Exchange stock</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0" w:type="dxa"/>
            <w:vAlign w:val="bottom"/>
          </w:tcPr>
          <w:p>
            <w:pPr>
              <w:spacing w:after="0"/>
              <w:rPr>
                <w:sz w:val="1"/>
                <w:szCs w:val="1"/>
                <w:color w:val="auto"/>
              </w:rPr>
            </w:pPr>
          </w:p>
        </w:tc>
      </w:tr>
      <w:tr>
        <w:trPr>
          <w:trHeight w:val="215"/>
        </w:trPr>
        <w:tc>
          <w:tcPr>
            <w:tcW w:w="4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217,830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80,561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298,391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Receivables from broker dealers and clearing organizations: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Receivables linked to digital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85,909</w:t>
            </w:r>
          </w:p>
        </w:tc>
        <w:tc>
          <w:tcPr>
            <w:tcW w:w="1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85,909</w:t>
            </w:r>
          </w:p>
        </w:tc>
        <w:tc>
          <w:tcPr>
            <w:tcW w:w="0" w:type="dxa"/>
            <w:vAlign w:val="bottom"/>
          </w:tcPr>
          <w:p>
            <w:pPr>
              <w:spacing w:after="0"/>
              <w:rPr>
                <w:sz w:val="1"/>
                <w:szCs w:val="1"/>
                <w:color w:val="auto"/>
              </w:rPr>
            </w:pPr>
          </w:p>
        </w:tc>
      </w:tr>
      <w:tr>
        <w:trPr>
          <w:trHeight w:val="215"/>
        </w:trPr>
        <w:tc>
          <w:tcPr>
            <w:tcW w:w="4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85,909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Equity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4,035,681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3,533,177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7,568,858</w:t>
            </w:r>
          </w:p>
        </w:tc>
        <w:tc>
          <w:tcPr>
            <w:tcW w:w="0" w:type="dxa"/>
            <w:vAlign w:val="bottom"/>
          </w:tcPr>
          <w:p>
            <w:pPr>
              <w:spacing w:after="0"/>
              <w:rPr>
                <w:sz w:val="1"/>
                <w:szCs w:val="1"/>
                <w:color w:val="auto"/>
              </w:rPr>
            </w:pPr>
          </w:p>
        </w:tc>
      </w:tr>
      <w:tr>
        <w:trPr>
          <w:trHeight w:val="189"/>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92,168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2,880,624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2,972,792</w:t>
            </w:r>
          </w:p>
        </w:tc>
        <w:tc>
          <w:tcPr>
            <w:tcW w:w="0" w:type="dxa"/>
            <w:vAlign w:val="bottom"/>
          </w:tcPr>
          <w:p>
            <w:pPr>
              <w:spacing w:after="0"/>
              <w:rPr>
                <w:sz w:val="1"/>
                <w:szCs w:val="1"/>
                <w:color w:val="auto"/>
              </w:rPr>
            </w:pPr>
          </w:p>
        </w:tc>
      </w:tr>
      <w:tr>
        <w:trPr>
          <w:trHeight w:val="204"/>
        </w:trPr>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1,709,644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1,709,644</w:t>
            </w:r>
          </w:p>
        </w:tc>
        <w:tc>
          <w:tcPr>
            <w:tcW w:w="0" w:type="dxa"/>
            <w:vAlign w:val="bottom"/>
          </w:tcPr>
          <w:p>
            <w:pPr>
              <w:spacing w:after="0"/>
              <w:rPr>
                <w:sz w:val="1"/>
                <w:szCs w:val="1"/>
                <w:color w:val="auto"/>
              </w:rPr>
            </w:pPr>
          </w:p>
        </w:tc>
      </w:tr>
      <w:tr>
        <w:trPr>
          <w:trHeight w:val="189"/>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81,264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81,272</w:t>
            </w:r>
          </w:p>
        </w:tc>
        <w:tc>
          <w:tcPr>
            <w:tcW w:w="0" w:type="dxa"/>
            <w:vAlign w:val="bottom"/>
          </w:tcPr>
          <w:p>
            <w:pPr>
              <w:spacing w:after="0"/>
              <w:rPr>
                <w:sz w:val="1"/>
                <w:szCs w:val="1"/>
                <w:color w:val="auto"/>
              </w:rPr>
            </w:pPr>
          </w:p>
        </w:tc>
      </w:tr>
      <w:tr>
        <w:trPr>
          <w:trHeight w:val="204"/>
        </w:trPr>
        <w:tc>
          <w:tcPr>
            <w:tcW w:w="4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Currency forwards</w:t>
            </w: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490,175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(490,175)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15,125</w:t>
            </w:r>
          </w:p>
        </w:tc>
        <w:tc>
          <w:tcPr>
            <w:tcW w:w="0" w:type="dxa"/>
            <w:vAlign w:val="bottom"/>
          </w:tcPr>
          <w:p>
            <w:pPr>
              <w:spacing w:after="0"/>
              <w:rPr>
                <w:sz w:val="1"/>
                <w:szCs w:val="1"/>
                <w:color w:val="auto"/>
              </w:rPr>
            </w:pPr>
          </w:p>
        </w:tc>
      </w:tr>
      <w:tr>
        <w:trPr>
          <w:trHeight w:val="215"/>
        </w:trPr>
        <w:tc>
          <w:tcPr>
            <w:tcW w:w="4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4,142,982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8,694,884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(490,175)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12,347,691</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Payables to broker dealers and clearing organizations:</w:t>
            </w: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4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Payables linked to digital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245,868</w:t>
            </w:r>
          </w:p>
        </w:tc>
        <w:tc>
          <w:tcPr>
            <w:tcW w:w="120" w:type="dxa"/>
            <w:vAlign w:val="bottom"/>
          </w:tcPr>
          <w:p>
            <w:pPr>
              <w:spacing w:after="0"/>
              <w:rPr>
                <w:sz w:val="16"/>
                <w:szCs w:val="16"/>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245,868</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245,868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245,868</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2"/>
          <w:szCs w:val="12"/>
          <w:color w:val="auto"/>
        </w:rPr>
        <w:t>(1) USDC is a stablecoin that can be redeemed on a one-to-one basis for U.S. dollars and is accounted for as a financial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-78740</wp:posOffset>
            </wp:positionV>
            <wp:extent cx="425831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58310"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Fair value measurements for those items measured on a recurring basis are summarized below as of December 31, 2025:</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22" w:name="page23"/>
    <w:bookmarkEnd w:id="22"/>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2"/>
          </w:tcPr>
          <w:p>
            <w:pPr>
              <w:jc w:val="center"/>
              <w:ind w:right="200"/>
              <w:spacing w:after="0" w:line="126" w:lineRule="exact"/>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80" w:type="dxa"/>
            <w:vAlign w:val="bottom"/>
          </w:tcPr>
          <w:p>
            <w:pPr>
              <w:spacing w:after="0"/>
              <w:rPr>
                <w:sz w:val="10"/>
                <w:szCs w:val="10"/>
                <w:color w:val="auto"/>
              </w:rPr>
            </w:pPr>
          </w:p>
        </w:tc>
        <w:tc>
          <w:tcPr>
            <w:tcW w:w="12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0"/>
                <w:szCs w:val="10"/>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Counterparty and</w:t>
            </w:r>
          </w:p>
        </w:tc>
        <w:tc>
          <w:tcPr>
            <w:tcW w:w="2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80" w:type="dxa"/>
            <w:vAlign w:val="bottom"/>
          </w:tcPr>
          <w:p>
            <w:pPr>
              <w:spacing w:after="0"/>
              <w:rPr>
                <w:sz w:val="12"/>
                <w:szCs w:val="12"/>
                <w:color w:val="auto"/>
              </w:rPr>
            </w:pPr>
          </w:p>
        </w:tc>
        <w:tc>
          <w:tcPr>
            <w:tcW w:w="1220" w:type="dxa"/>
            <w:vAlign w:val="bottom"/>
          </w:tcPr>
          <w:p>
            <w:pPr>
              <w:jc w:val="right"/>
              <w:ind w:right="30"/>
              <w:spacing w:after="0" w:line="144" w:lineRule="exact"/>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00" w:type="dxa"/>
            <w:vAlign w:val="bottom"/>
          </w:tcPr>
          <w:p>
            <w:pPr>
              <w:spacing w:after="0"/>
              <w:rPr>
                <w:sz w:val="12"/>
                <w:szCs w:val="12"/>
                <w:color w:val="auto"/>
              </w:rPr>
            </w:pPr>
          </w:p>
        </w:tc>
        <w:tc>
          <w:tcPr>
            <w:tcW w:w="142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Unobservable Inputs</w:t>
            </w:r>
          </w:p>
        </w:tc>
        <w:tc>
          <w:tcPr>
            <w:tcW w:w="100" w:type="dxa"/>
            <w:vAlign w:val="bottom"/>
          </w:tcPr>
          <w:p>
            <w:pPr>
              <w:spacing w:after="0"/>
              <w:rPr>
                <w:sz w:val="12"/>
                <w:szCs w:val="12"/>
                <w:color w:val="auto"/>
              </w:rPr>
            </w:pPr>
          </w:p>
        </w:tc>
        <w:tc>
          <w:tcPr>
            <w:tcW w:w="132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4"/>
                <w:szCs w:val="14"/>
                <w:b w:val="1"/>
                <w:bCs w:val="1"/>
                <w:color w:val="auto"/>
              </w:rPr>
              <w:t>Cash Collateral</w:t>
            </w:r>
          </w:p>
        </w:tc>
        <w:tc>
          <w:tcPr>
            <w:tcW w:w="11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0" w:type="dxa"/>
            <w:vAlign w:val="bottom"/>
          </w:tcPr>
          <w:p>
            <w:pPr>
              <w:spacing w:after="0"/>
              <w:rPr>
                <w:sz w:val="1"/>
                <w:szCs w:val="1"/>
                <w:color w:val="auto"/>
              </w:rPr>
            </w:pPr>
          </w:p>
        </w:tc>
      </w:tr>
      <w:tr>
        <w:trPr>
          <w:trHeight w:val="190"/>
        </w:trPr>
        <w:tc>
          <w:tcPr>
            <w:tcW w:w="44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0" w:type="dxa"/>
            <w:vAlign w:val="bottom"/>
          </w:tcPr>
          <w:p>
            <w:pPr>
              <w:spacing w:after="0"/>
              <w:rPr>
                <w:sz w:val="16"/>
                <w:szCs w:val="16"/>
                <w:color w:val="auto"/>
              </w:rPr>
            </w:pPr>
          </w:p>
        </w:tc>
        <w:tc>
          <w:tcPr>
            <w:tcW w:w="122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3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Netting</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1,511,213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2,839,183</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4,350,396</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459,943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1,210,309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1,670,252</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1,207,385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1,207,385</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10,459</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211,856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(204,775)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7,081</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97,459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97,459</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2,068,615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5,479,192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(204,775)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7,343,032</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Financial instruments owned, pledged as collateral:</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1,896,091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1,304,254</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3,200,345</w:t>
            </w:r>
          </w:p>
        </w:tc>
        <w:tc>
          <w:tcPr>
            <w:tcW w:w="0" w:type="dxa"/>
            <w:vAlign w:val="bottom"/>
          </w:tcPr>
          <w:p>
            <w:pPr>
              <w:spacing w:after="0"/>
              <w:rPr>
                <w:sz w:val="1"/>
                <w:szCs w:val="1"/>
                <w:color w:val="auto"/>
              </w:rPr>
            </w:pPr>
          </w:p>
        </w:tc>
      </w:tr>
      <w:tr>
        <w:trPr>
          <w:trHeight w:val="190"/>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8,180</w:t>
            </w:r>
          </w:p>
        </w:tc>
        <w:tc>
          <w:tcPr>
            <w:tcW w:w="0" w:type="dxa"/>
            <w:vAlign w:val="bottom"/>
          </w:tcPr>
          <w:p>
            <w:pPr>
              <w:spacing w:after="0"/>
              <w:rPr>
                <w:sz w:val="1"/>
                <w:szCs w:val="1"/>
                <w:color w:val="auto"/>
              </w:rPr>
            </w:pPr>
          </w:p>
        </w:tc>
      </w:tr>
      <w:tr>
        <w:trPr>
          <w:trHeight w:val="215"/>
        </w:trPr>
        <w:tc>
          <w:tcPr>
            <w:tcW w:w="43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1,896,091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1,312,434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3,208,525</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Other Assets</w:t>
            </w: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investment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86,491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86,491</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Digital assets</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154,610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154,610</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Exchange stock</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1,020</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155,630</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86,491</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242,121</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Receivables from broker dealers and clearing organizations:</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Receivables linked to digital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328,934</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328,934</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328,934</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328,934</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2,933,027</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2,784,522</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5,717,549</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234,169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1,155,901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1,390,070</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Corporate Bonds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1,754,517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1,754,517</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Exchange traded notes</w:t>
            </w: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26,135</w:t>
            </w:r>
          </w:p>
        </w:tc>
        <w:tc>
          <w:tcPr>
            <w:tcW w:w="0" w:type="dxa"/>
            <w:vAlign w:val="bottom"/>
          </w:tcPr>
          <w:p>
            <w:pPr>
              <w:spacing w:after="0"/>
              <w:rPr>
                <w:sz w:val="1"/>
                <w:szCs w:val="1"/>
                <w:color w:val="auto"/>
              </w:rPr>
            </w:pPr>
          </w:p>
        </w:tc>
      </w:tr>
      <w:tr>
        <w:trPr>
          <w:trHeight w:val="189"/>
        </w:trPr>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Currency forwards</w:t>
            </w: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198,463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(198,463)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216,992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216,992</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3,384,188</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5,919,538</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(198,463)</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9,105,263</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Payables to broker dealers and clearing organizations:</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Payables linked to digital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181,272</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181,272</w:t>
            </w:r>
          </w:p>
        </w:tc>
        <w:tc>
          <w:tcPr>
            <w:tcW w:w="0" w:type="dxa"/>
            <w:vAlign w:val="bottom"/>
          </w:tcPr>
          <w:p>
            <w:pPr>
              <w:spacing w:after="0"/>
              <w:rPr>
                <w:sz w:val="1"/>
                <w:szCs w:val="1"/>
                <w:color w:val="auto"/>
              </w:rPr>
            </w:pPr>
          </w:p>
        </w:tc>
      </w:tr>
      <w:tr>
        <w:trPr>
          <w:trHeight w:val="183"/>
        </w:trPr>
        <w:tc>
          <w:tcPr>
            <w:tcW w:w="4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181,272</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181,272</w:t>
            </w:r>
          </w:p>
        </w:tc>
        <w:tc>
          <w:tcPr>
            <w:tcW w:w="0" w:type="dxa"/>
            <w:vAlign w:val="bottom"/>
          </w:tcPr>
          <w:p>
            <w:pPr>
              <w:spacing w:after="0"/>
              <w:rPr>
                <w:sz w:val="1"/>
                <w:szCs w:val="1"/>
                <w:color w:val="auto"/>
              </w:rPr>
            </w:pPr>
          </w:p>
        </w:tc>
      </w:tr>
      <w:tr>
        <w:trPr>
          <w:trHeight w:val="26"/>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JNX Investment</w:t>
      </w:r>
    </w:p>
    <w:p>
      <w:pPr>
        <w:spacing w:after="0" w:line="252" w:lineRule="exact"/>
        <w:rPr>
          <w:sz w:val="20"/>
          <w:szCs w:val="20"/>
          <w:color w:val="auto"/>
        </w:rPr>
      </w:pPr>
    </w:p>
    <w:p>
      <w:pPr>
        <w:ind w:right="60" w:firstLine="629"/>
        <w:spacing w:after="0" w:line="262" w:lineRule="auto"/>
        <w:rPr>
          <w:sz w:val="20"/>
          <w:szCs w:val="20"/>
          <w:color w:val="auto"/>
        </w:rPr>
      </w:pPr>
      <w:r>
        <w:rPr>
          <w:rFonts w:ascii="Times New Roman" w:cs="Times New Roman" w:eastAsia="Times New Roman" w:hAnsi="Times New Roman"/>
          <w:sz w:val="17"/>
          <w:szCs w:val="17"/>
          <w:color w:val="auto"/>
        </w:rPr>
        <w:t>The Company has a minority investment (the “JNX Investment”) in Japannext Co., Ltd. (“JNX”), formerly known as SBI Japannext Co., Ltd., a proprietary trading system based in Tokyo. In connection with the JNX Investment, the Company issued the SBI Bonds (as described in Note 9 “Borrowings”) and used the proceeds to partially finance the transaction. The JNX Investment is included within Level 3 of the fair value hierarchy. As of March 31, 2026 and December 31, 2025, the fair value of the JNX Investment was determined using a weighted average of valuations using 1) 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01" w:right="359" w:bottom="1440" w:gutter="0" w:footer="0" w:header="0"/>
        </w:sectPr>
      </w:pPr>
    </w:p>
    <w:bookmarkStart w:id="23" w:name="page24"/>
    <w:bookmarkEnd w:id="23"/>
    <w:p>
      <w:pPr>
        <w:ind w:left="620"/>
        <w:spacing w:after="0"/>
        <w:rPr>
          <w:sz w:val="20"/>
          <w:szCs w:val="20"/>
          <w:color w:val="auto"/>
        </w:rPr>
      </w:pPr>
      <w:r>
        <w:rPr>
          <w:rFonts w:ascii="Times New Roman" w:cs="Times New Roman" w:eastAsia="Times New Roman" w:hAnsi="Times New Roman"/>
          <w:sz w:val="17"/>
          <w:szCs w:val="17"/>
          <w:color w:val="auto"/>
        </w:rPr>
        <w:t>The table below presents information on the valuation techniques, significant unobservable inputs and their ranges for the JNX Investment:</w:t>
      </w:r>
    </w:p>
    <w:p>
      <w:pPr>
        <w:spacing w:after="0" w:line="283" w:lineRule="exact"/>
        <w:rPr>
          <w:sz w:val="20"/>
          <w:szCs w:val="20"/>
          <w:color w:val="auto"/>
        </w:rPr>
      </w:pPr>
    </w:p>
    <w:tbl>
      <w:tblPr>
        <w:tblLayout w:type="fixed"/>
        <w:tblInd w:w="660" w:type="dxa"/>
        <w:tblCellMar>
          <w:top w:w="0" w:type="dxa"/>
          <w:left w:w="0" w:type="dxa"/>
          <w:bottom w:w="0" w:type="dxa"/>
          <w:right w:w="0" w:type="dxa"/>
        </w:tblCellMar>
      </w:tblPr>
      <w:tr>
        <w:trPr>
          <w:trHeight w:val="184"/>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4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94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3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25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60" w:type="dxa"/>
            <w:vAlign w:val="bottom"/>
            <w:tcBorders>
              <w:bottom w:val="single" w:sz="8" w:color="auto"/>
            </w:tcBorders>
            <w:vMerge w:val="continue"/>
          </w:tcPr>
          <w:p>
            <w:pPr>
              <w:spacing w:after="0"/>
              <w:rPr>
                <w:sz w:val="16"/>
                <w:szCs w:val="16"/>
                <w:color w:val="auto"/>
              </w:rPr>
            </w:pPr>
          </w:p>
        </w:tc>
        <w:tc>
          <w:tcPr>
            <w:tcW w:w="19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32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investment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80,561</w:t>
            </w:r>
          </w:p>
        </w:tc>
        <w:tc>
          <w:tcPr>
            <w:tcW w:w="16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Discounted cash flow</w:t>
            </w: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Estimated revenue growth</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5.0% - 12.7%</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0" w:type="dxa"/>
            <w:vAlign w:val="bottom"/>
          </w:tcPr>
          <w:p>
            <w:pPr>
              <w:spacing w:after="0"/>
              <w:rPr>
                <w:sz w:val="1"/>
                <w:szCs w:val="1"/>
                <w:color w:val="auto"/>
              </w:rPr>
            </w:pPr>
          </w:p>
        </w:tc>
      </w:tr>
      <w:tr>
        <w:trPr>
          <w:trHeight w:val="189"/>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9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Discount rate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16.3% - 16.3%</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16.3 %</w:t>
            </w:r>
          </w:p>
        </w:tc>
        <w:tc>
          <w:tcPr>
            <w:tcW w:w="0" w:type="dxa"/>
            <w:vAlign w:val="bottom"/>
          </w:tcPr>
          <w:p>
            <w:pPr>
              <w:spacing w:after="0"/>
              <w:rPr>
                <w:sz w:val="1"/>
                <w:szCs w:val="1"/>
                <w:color w:val="auto"/>
              </w:rPr>
            </w:pPr>
          </w:p>
        </w:tc>
      </w:tr>
      <w:tr>
        <w:trPr>
          <w:trHeight w:val="142"/>
        </w:trPr>
        <w:tc>
          <w:tcPr>
            <w:tcW w:w="2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Market</w:t>
            </w:r>
          </w:p>
        </w:tc>
        <w:tc>
          <w:tcPr>
            <w:tcW w:w="1940" w:type="dxa"/>
            <w:vAlign w:val="bottom"/>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Future enterprise value/</w:t>
            </w: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7.8x - 17.6x</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13.4x</w:t>
            </w:r>
          </w:p>
        </w:tc>
        <w:tc>
          <w:tcPr>
            <w:tcW w:w="0" w:type="dxa"/>
            <w:vAlign w:val="bottom"/>
          </w:tcPr>
          <w:p>
            <w:pPr>
              <w:spacing w:after="0"/>
              <w:rPr>
                <w:sz w:val="1"/>
                <w:szCs w:val="1"/>
                <w:color w:val="auto"/>
              </w:rPr>
            </w:pPr>
          </w:p>
        </w:tc>
      </w:tr>
      <w:tr>
        <w:trPr>
          <w:trHeight w:val="193"/>
        </w:trPr>
        <w:tc>
          <w:tcPr>
            <w:tcW w:w="2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660" w:type="dxa"/>
            <w:vAlign w:val="bottom"/>
            <w:vMerge w:val="continue"/>
            <w:shd w:val="clear" w:color="auto" w:fill="CCEEFF"/>
          </w:tcPr>
          <w:p>
            <w:pPr>
              <w:spacing w:after="0"/>
              <w:rPr>
                <w:sz w:val="16"/>
                <w:szCs w:val="16"/>
                <w:color w:val="auto"/>
              </w:rPr>
            </w:pPr>
          </w:p>
        </w:tc>
        <w:tc>
          <w:tcPr>
            <w:tcW w:w="1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EBITDA ratio</w:t>
            </w:r>
          </w:p>
        </w:tc>
        <w:tc>
          <w:tcPr>
            <w:tcW w:w="1320" w:type="dxa"/>
            <w:vAlign w:val="bottom"/>
            <w:vMerge w:val="continue"/>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tbl>
      <w:tblPr>
        <w:tblLayout w:type="fixed"/>
        <w:tblInd w:w="700" w:type="dxa"/>
        <w:tblCellMar>
          <w:top w:w="0" w:type="dxa"/>
          <w:left w:w="0" w:type="dxa"/>
          <w:bottom w:w="0" w:type="dxa"/>
          <w:right w:w="0" w:type="dxa"/>
        </w:tblCellMar>
      </w:tblPr>
      <w:tr>
        <w:trPr>
          <w:trHeight w:val="184"/>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2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96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Valuation Technique</w:t>
            </w:r>
          </w:p>
        </w:tc>
        <w:tc>
          <w:tcPr>
            <w:tcW w:w="1920" w:type="dxa"/>
            <w:vAlign w:val="bottom"/>
          </w:tcPr>
          <w:p>
            <w:pPr>
              <w:ind w:left="200"/>
              <w:spacing w:after="0" w:line="124" w:lineRule="exact"/>
              <w:rPr>
                <w:sz w:val="20"/>
                <w:szCs w:val="20"/>
                <w:color w:val="auto"/>
              </w:rPr>
            </w:pPr>
            <w:r>
              <w:rPr>
                <w:rFonts w:ascii="Times New Roman" w:cs="Times New Roman" w:eastAsia="Times New Roman" w:hAnsi="Times New Roman"/>
                <w:sz w:val="14"/>
                <w:szCs w:val="14"/>
                <w:b w:val="1"/>
                <w:bCs w:val="1"/>
                <w:color w:val="auto"/>
              </w:rPr>
              <w:t>Significant Unobservable</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0"/>
        </w:trPr>
        <w:tc>
          <w:tcPr>
            <w:tcW w:w="24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1300" w:type="dxa"/>
            <w:vAlign w:val="bottom"/>
            <w:tcBorders>
              <w:bottom w:val="single" w:sz="8" w:color="auto"/>
            </w:tcBorders>
            <w:gridSpan w:val="2"/>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Equity investment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86,491</w:t>
            </w:r>
          </w:p>
        </w:tc>
        <w:tc>
          <w:tcPr>
            <w:tcW w:w="1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Discounted cash flow</w:t>
            </w:r>
          </w:p>
        </w:tc>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Estimated revenue growth</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- 6.0%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9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Discount rate</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- 16.2%</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16.2 %</w:t>
            </w:r>
          </w:p>
        </w:tc>
        <w:tc>
          <w:tcPr>
            <w:tcW w:w="0" w:type="dxa"/>
            <w:vAlign w:val="bottom"/>
          </w:tcPr>
          <w:p>
            <w:pPr>
              <w:spacing w:after="0"/>
              <w:rPr>
                <w:sz w:val="1"/>
                <w:szCs w:val="1"/>
                <w:color w:val="auto"/>
              </w:rPr>
            </w:pPr>
          </w:p>
        </w:tc>
      </w:tr>
      <w:tr>
        <w:trPr>
          <w:trHeight w:val="138"/>
        </w:trPr>
        <w:tc>
          <w:tcPr>
            <w:tcW w:w="2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4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Market</w:t>
            </w:r>
          </w:p>
        </w:tc>
        <w:tc>
          <w:tcPr>
            <w:tcW w:w="1920" w:type="dxa"/>
            <w:vAlign w:val="bottom"/>
            <w:shd w:val="clear" w:color="auto" w:fill="CCEEFF"/>
          </w:tcPr>
          <w:p>
            <w:pPr>
              <w:ind w:left="160"/>
              <w:spacing w:after="0" w:line="138" w:lineRule="exact"/>
              <w:rPr>
                <w:sz w:val="20"/>
                <w:szCs w:val="20"/>
                <w:color w:val="auto"/>
              </w:rPr>
            </w:pPr>
            <w:r>
              <w:rPr>
                <w:rFonts w:ascii="Times New Roman" w:cs="Times New Roman" w:eastAsia="Times New Roman" w:hAnsi="Times New Roman"/>
                <w:sz w:val="14"/>
                <w:szCs w:val="14"/>
                <w:color w:val="auto"/>
              </w:rPr>
              <w:t>Future enterprise value/</w:t>
            </w:r>
          </w:p>
        </w:tc>
        <w:tc>
          <w:tcPr>
            <w:tcW w:w="130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9.5x - 20.1x</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15.0x</w:t>
            </w:r>
          </w:p>
        </w:tc>
        <w:tc>
          <w:tcPr>
            <w:tcW w:w="0" w:type="dxa"/>
            <w:vAlign w:val="bottom"/>
          </w:tcPr>
          <w:p>
            <w:pPr>
              <w:spacing w:after="0"/>
              <w:rPr>
                <w:sz w:val="1"/>
                <w:szCs w:val="1"/>
                <w:color w:val="auto"/>
              </w:rPr>
            </w:pPr>
          </w:p>
        </w:tc>
      </w:tr>
      <w:tr>
        <w:trPr>
          <w:trHeight w:val="196"/>
        </w:trPr>
        <w:tc>
          <w:tcPr>
            <w:tcW w:w="2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40" w:type="dxa"/>
            <w:vAlign w:val="bottom"/>
            <w:vMerge w:val="continue"/>
            <w:shd w:val="clear" w:color="auto" w:fill="CCEEFF"/>
          </w:tcPr>
          <w:p>
            <w:pPr>
              <w:spacing w:after="0"/>
              <w:rPr>
                <w:sz w:val="17"/>
                <w:szCs w:val="17"/>
                <w:color w:val="auto"/>
              </w:rPr>
            </w:pPr>
          </w:p>
        </w:tc>
        <w:tc>
          <w:tcPr>
            <w:tcW w:w="1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EBITDA ratio</w:t>
            </w:r>
          </w:p>
        </w:tc>
        <w:tc>
          <w:tcPr>
            <w:tcW w:w="1300" w:type="dxa"/>
            <w:vAlign w:val="bottom"/>
            <w:gridSpan w:val="2"/>
            <w:vMerge w:val="continue"/>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Changes in the fair value of the JNX Investment are included within Other, net in the Condensed Consolidated Statements of Comprehensive Income.</w:t>
      </w:r>
    </w:p>
    <w:p>
      <w:pPr>
        <w:spacing w:after="0" w:line="2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presents the changes in the Company’s Level 3 financial instruments measured at fair value on a recurring basis:</w:t>
      </w:r>
    </w:p>
    <w:p>
      <w:pPr>
        <w:sectPr>
          <w:pgSz w:w="11900" w:h="16838" w:orient="portrait"/>
          <w:cols w:equalWidth="0" w:num="1">
            <w:col w:w="11220"/>
          </w:cols>
          <w:pgMar w:left="340" w:top="8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29845</wp:posOffset>
            </wp:positionV>
            <wp:extent cx="13887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assets: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Equity investment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8"/>
              </w:rPr>
              <w:t>Unrealized Gains /</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Realized and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w w:val="99"/>
              </w:rPr>
              <w:t>(Losses) on</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Balance at March</w:t>
            </w:r>
          </w:p>
        </w:tc>
        <w:tc>
          <w:tcPr>
            <w:tcW w:w="80" w:type="dxa"/>
            <w:vAlign w:val="bottom"/>
          </w:tcPr>
          <w:p>
            <w:pPr>
              <w:spacing w:after="0"/>
              <w:rPr>
                <w:sz w:val="12"/>
                <w:szCs w:val="12"/>
                <w:color w:val="auto"/>
              </w:rPr>
            </w:pPr>
          </w:p>
        </w:tc>
        <w:tc>
          <w:tcPr>
            <w:tcW w:w="1100" w:type="dxa"/>
            <w:vAlign w:val="bottom"/>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20" w:type="dxa"/>
            <w:vAlign w:val="bottom"/>
            <w:vMerge w:val="restart"/>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held at March 31,</w:t>
            </w:r>
          </w:p>
        </w:tc>
        <w:tc>
          <w:tcPr>
            <w:tcW w:w="0" w:type="dxa"/>
            <w:vAlign w:val="bottom"/>
          </w:tcPr>
          <w:p>
            <w:pPr>
              <w:spacing w:after="0"/>
              <w:rPr>
                <w:sz w:val="1"/>
                <w:szCs w:val="1"/>
                <w:color w:val="auto"/>
              </w:rPr>
            </w:pPr>
          </w:p>
        </w:tc>
      </w:tr>
      <w:tr>
        <w:trPr>
          <w:trHeight w:val="190"/>
        </w:trPr>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(Losses)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(out of) Level 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31, 2026</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0" w:type="dxa"/>
            <w:vAlign w:val="bottom"/>
          </w:tcPr>
          <w:p>
            <w:pPr>
              <w:spacing w:after="0"/>
              <w:rPr>
                <w:sz w:val="1"/>
                <w:szCs w:val="1"/>
                <w:color w:val="auto"/>
              </w:rPr>
            </w:pPr>
          </w:p>
        </w:tc>
      </w:tr>
      <w:tr>
        <w:trPr>
          <w:trHeight w:val="565"/>
        </w:trPr>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86,491</w:t>
            </w:r>
          </w:p>
        </w:tc>
        <w:tc>
          <w:tcPr>
            <w:tcW w:w="100" w:type="dxa"/>
            <w:vAlign w:val="bottom"/>
          </w:tcPr>
          <w:p>
            <w:pPr>
              <w:spacing w:after="0"/>
              <w:rPr>
                <w:sz w:val="24"/>
                <w:szCs w:val="24"/>
                <w:color w:val="auto"/>
              </w:rPr>
            </w:pP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80,561</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(5,930)</w:t>
            </w:r>
          </w:p>
        </w:tc>
        <w:tc>
          <w:tcPr>
            <w:tcW w:w="0" w:type="dxa"/>
            <w:vAlign w:val="bottom"/>
          </w:tcPr>
          <w:p>
            <w:pPr>
              <w:spacing w:after="0"/>
              <w:rPr>
                <w:sz w:val="1"/>
                <w:szCs w:val="1"/>
                <w:color w:val="auto"/>
              </w:rPr>
            </w:pPr>
          </w:p>
        </w:tc>
      </w:tr>
      <w:tr>
        <w:trPr>
          <w:trHeight w:val="23"/>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86,491</w:t>
            </w:r>
          </w:p>
        </w:tc>
        <w:tc>
          <w:tcPr>
            <w:tcW w:w="100" w:type="dxa"/>
            <w:vAlign w:val="bottom"/>
          </w:tcPr>
          <w:p>
            <w:pPr>
              <w:spacing w:after="0"/>
              <w:rPr>
                <w:sz w:val="15"/>
                <w:szCs w:val="15"/>
                <w:color w:val="auto"/>
              </w:rPr>
            </w:pP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(5,930)</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80,561</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-372745</wp:posOffset>
            </wp:positionV>
            <wp:extent cx="7136130" cy="1244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-123825</wp:posOffset>
            </wp:positionV>
            <wp:extent cx="7136130" cy="1498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14986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1560" w:space="720"/>
            <w:col w:w="8940"/>
          </w:cols>
          <w:pgMar w:left="340" w:top="86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-80010</wp:posOffset>
            </wp:positionV>
            <wp:extent cx="56807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80710" cy="8255"/>
                    </a:xfrm>
                    <a:prstGeom prst="rect">
                      <a:avLst/>
                    </a:prstGeom>
                    <a:noFill/>
                  </pic:spPr>
                </pic:pic>
              </a:graphicData>
            </a:graphic>
          </wp:anchor>
        </w:drawing>
      </w:r>
    </w:p>
    <w:p>
      <w:pPr>
        <w:sectPr>
          <w:pgSz w:w="11900" w:h="16838" w:orient="portrait"/>
          <w:cols w:equalWidth="0" w:num="1">
            <w:col w:w="11220"/>
          </w:cols>
          <w:pgMar w:left="340" w:top="86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assets: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Equity investment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10"/>
              <w:spacing w:after="0" w:line="146" w:lineRule="exact"/>
              <w:rPr>
                <w:sz w:val="20"/>
                <w:szCs w:val="20"/>
                <w:color w:val="auto"/>
              </w:rPr>
            </w:pPr>
            <w:r>
              <w:rPr>
                <w:rFonts w:ascii="Times New Roman" w:cs="Times New Roman" w:eastAsia="Times New Roman" w:hAnsi="Times New Roman"/>
                <w:sz w:val="14"/>
                <w:szCs w:val="14"/>
                <w:b w:val="1"/>
                <w:bCs w:val="1"/>
                <w:color w:val="auto"/>
              </w:rPr>
              <w:t>Change in Net</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Unrealized Gains /</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Realized and</w:t>
            </w: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jc w:val="center"/>
              <w:ind w:right="10"/>
              <w:spacing w:after="0" w:line="143" w:lineRule="exact"/>
              <w:rPr>
                <w:sz w:val="20"/>
                <w:szCs w:val="20"/>
                <w:color w:val="auto"/>
              </w:rPr>
            </w:pPr>
            <w:r>
              <w:rPr>
                <w:rFonts w:ascii="Times New Roman" w:cs="Times New Roman" w:eastAsia="Times New Roman" w:hAnsi="Times New Roman"/>
                <w:sz w:val="14"/>
                <w:szCs w:val="14"/>
                <w:b w:val="1"/>
                <w:bCs w:val="1"/>
                <w:color w:val="auto"/>
                <w:w w:val="99"/>
              </w:rPr>
              <w:t>(Losses) on</w:t>
            </w:r>
          </w:p>
        </w:tc>
        <w:tc>
          <w:tcPr>
            <w:tcW w:w="0" w:type="dxa"/>
            <w:vAlign w:val="bottom"/>
          </w:tcPr>
          <w:p>
            <w:pPr>
              <w:spacing w:after="0"/>
              <w:rPr>
                <w:sz w:val="1"/>
                <w:szCs w:val="1"/>
                <w:color w:val="auto"/>
              </w:rPr>
            </w:pPr>
          </w:p>
        </w:tc>
      </w:tr>
      <w:tr>
        <w:trPr>
          <w:trHeight w:val="133"/>
        </w:trPr>
        <w:tc>
          <w:tcPr>
            <w:tcW w:w="180" w:type="dxa"/>
            <w:vAlign w:val="bottom"/>
          </w:tcPr>
          <w:p>
            <w:pPr>
              <w:spacing w:after="0"/>
              <w:rPr>
                <w:sz w:val="11"/>
                <w:szCs w:val="11"/>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13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Transfers into</w:t>
            </w:r>
          </w:p>
        </w:tc>
        <w:tc>
          <w:tcPr>
            <w:tcW w:w="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Balance at March</w:t>
            </w:r>
          </w:p>
        </w:tc>
        <w:tc>
          <w:tcPr>
            <w:tcW w:w="80" w:type="dxa"/>
            <w:vAlign w:val="bottom"/>
          </w:tcPr>
          <w:p>
            <w:pPr>
              <w:spacing w:after="0"/>
              <w:rPr>
                <w:sz w:val="11"/>
                <w:szCs w:val="11"/>
                <w:color w:val="auto"/>
              </w:rPr>
            </w:pPr>
          </w:p>
        </w:tc>
        <w:tc>
          <w:tcPr>
            <w:tcW w:w="1100" w:type="dxa"/>
            <w:vAlign w:val="bottom"/>
          </w:tcPr>
          <w:p>
            <w:pPr>
              <w:jc w:val="center"/>
              <w:ind w:right="10"/>
              <w:spacing w:after="0" w:line="133" w:lineRule="exact"/>
              <w:rPr>
                <w:sz w:val="20"/>
                <w:szCs w:val="20"/>
                <w:color w:val="auto"/>
              </w:rPr>
            </w:pPr>
            <w:r>
              <w:rPr>
                <w:rFonts w:ascii="Times New Roman" w:cs="Times New Roman" w:eastAsia="Times New Roman" w:hAnsi="Times New Roman"/>
                <w:sz w:val="14"/>
                <w:szCs w:val="14"/>
                <w:b w:val="1"/>
                <w:bCs w:val="1"/>
                <w:color w:val="auto"/>
              </w:rPr>
              <w:t>Investments still</w:t>
            </w:r>
          </w:p>
        </w:tc>
        <w:tc>
          <w:tcPr>
            <w:tcW w:w="0" w:type="dxa"/>
            <w:vAlign w:val="bottom"/>
          </w:tcPr>
          <w:p>
            <w:pPr>
              <w:spacing w:after="0"/>
              <w:rPr>
                <w:sz w:val="1"/>
                <w:szCs w:val="1"/>
                <w:color w:val="auto"/>
              </w:rPr>
            </w:pPr>
          </w:p>
        </w:tc>
      </w:tr>
      <w:tr>
        <w:trPr>
          <w:trHeight w:val="144"/>
        </w:trPr>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Unrealized Gains /</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Settlement</w:t>
            </w:r>
          </w:p>
        </w:tc>
        <w:tc>
          <w:tcPr>
            <w:tcW w:w="120" w:type="dxa"/>
            <w:vAlign w:val="bottom"/>
            <w:vMerge w:val="restart"/>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18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held at March 31,</w:t>
            </w:r>
          </w:p>
        </w:tc>
        <w:tc>
          <w:tcPr>
            <w:tcW w:w="0" w:type="dxa"/>
            <w:vAlign w:val="bottom"/>
          </w:tcPr>
          <w:p>
            <w:pPr>
              <w:spacing w:after="0"/>
              <w:rPr>
                <w:sz w:val="1"/>
                <w:szCs w:val="1"/>
                <w:color w:val="auto"/>
              </w:rPr>
            </w:pPr>
          </w:p>
        </w:tc>
      </w:tr>
      <w:tr>
        <w:trPr>
          <w:trHeight w:val="190"/>
        </w:trPr>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9"/>
              </w:rPr>
              <w:t>(Losses) (1)</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w w:val="99"/>
              </w:rPr>
              <w:t>(out of) Level 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564"/>
        </w:trPr>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75,843</w:t>
            </w:r>
          </w:p>
        </w:tc>
        <w:tc>
          <w:tcPr>
            <w:tcW w:w="100" w:type="dxa"/>
            <w:vAlign w:val="bottom"/>
          </w:tcPr>
          <w:p>
            <w:pPr>
              <w:spacing w:after="0"/>
              <w:rPr>
                <w:sz w:val="24"/>
                <w:szCs w:val="24"/>
                <w:color w:val="auto"/>
              </w:rPr>
            </w:pP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85,009</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9,166</w:t>
            </w:r>
          </w:p>
        </w:tc>
        <w:tc>
          <w:tcPr>
            <w:tcW w:w="0" w:type="dxa"/>
            <w:vAlign w:val="bottom"/>
          </w:tcPr>
          <w:p>
            <w:pPr>
              <w:spacing w:after="0"/>
              <w:rPr>
                <w:sz w:val="1"/>
                <w:szCs w:val="1"/>
                <w:color w:val="auto"/>
              </w:rPr>
            </w:pPr>
          </w:p>
        </w:tc>
      </w:tr>
      <w:tr>
        <w:trPr>
          <w:trHeight w:val="23"/>
        </w:trPr>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75,843</w:t>
            </w:r>
          </w:p>
        </w:tc>
        <w:tc>
          <w:tcPr>
            <w:tcW w:w="100" w:type="dxa"/>
            <w:vAlign w:val="bottom"/>
          </w:tcPr>
          <w:p>
            <w:pPr>
              <w:spacing w:after="0"/>
              <w:rPr>
                <w:sz w:val="15"/>
                <w:szCs w:val="15"/>
                <w:color w:val="auto"/>
              </w:rPr>
            </w:pPr>
          </w:p>
        </w:tc>
        <w:tc>
          <w:tcPr>
            <w:tcW w:w="940" w:type="dxa"/>
            <w:vAlign w:val="bottom"/>
          </w:tcPr>
          <w:p>
            <w:pPr>
              <w:jc w:val="right"/>
              <w:ind w:right="790"/>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8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85,009</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-1456690</wp:posOffset>
            </wp:positionH>
            <wp:positionV relativeFrom="paragraph">
              <wp:posOffset>-248285</wp:posOffset>
            </wp:positionV>
            <wp:extent cx="7136130" cy="1244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8890</wp:posOffset>
            </wp:positionV>
            <wp:extent cx="56807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80710" cy="8255"/>
                    </a:xfrm>
                    <a:prstGeom prst="rect">
                      <a:avLst/>
                    </a:prstGeom>
                    <a:noFill/>
                  </pic:spPr>
                </pic:pic>
              </a:graphicData>
            </a:graphic>
          </wp:anchor>
        </w:drawing>
        <w:drawing>
          <wp:anchor simplePos="0" relativeHeight="251657728" behindDoc="1" locked="0" layoutInCell="0" allowOverlap="1">
            <wp:simplePos x="0" y="0"/>
            <wp:positionH relativeFrom="column">
              <wp:posOffset>-1456690</wp:posOffset>
            </wp:positionH>
            <wp:positionV relativeFrom="paragraph">
              <wp:posOffset>-506095</wp:posOffset>
            </wp:positionV>
            <wp:extent cx="7136130" cy="1333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31" w:lineRule="exact"/>
        <w:rPr>
          <w:sz w:val="20"/>
          <w:szCs w:val="20"/>
          <w:color w:val="auto"/>
        </w:rPr>
      </w:pPr>
    </w:p>
    <w:p>
      <w:pPr>
        <w:sectPr>
          <w:pgSz w:w="11900" w:h="16838" w:orient="portrait"/>
          <w:cols w:equalWidth="0" w:num="2">
            <w:col w:w="1560" w:space="720"/>
            <w:col w:w="8940"/>
          </w:cols>
          <w:pgMar w:left="340" w:top="868"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3"/>
          <w:szCs w:val="13"/>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-80010</wp:posOffset>
            </wp:positionV>
            <wp:extent cx="56807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807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74295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40" w:top="868"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i w:val="1"/>
          <w:iCs w:val="1"/>
          <w:color w:val="auto"/>
        </w:rPr>
        <w:t>Financial Instruments Not Measured at Fair Value</w:t>
      </w:r>
    </w:p>
    <w:p>
      <w:pPr>
        <w:spacing w:after="0" w:line="252"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table below presents the carrying value, fair value and fair value hierarchy category of certain financial instruments that are not measured at fair value on the Condensed Consolidated Statements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table below summarizes financial assets and liabilities not carried at fair value on a recurring basis as of March 31, 2026:</w:t>
      </w:r>
    </w:p>
    <w:p>
      <w:pPr>
        <w:spacing w:after="0" w:line="47"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3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40" w:type="dxa"/>
            <w:vAlign w:val="bottom"/>
          </w:tcPr>
          <w:p>
            <w:pPr>
              <w:spacing w:after="0"/>
              <w:rPr>
                <w:sz w:val="23"/>
                <w:szCs w:val="23"/>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3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70"/>
              <w:spacing w:after="0" w:line="143"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0" w:type="dxa"/>
            <w:vAlign w:val="bottom"/>
          </w:tcPr>
          <w:p>
            <w:pPr>
              <w:spacing w:after="0"/>
              <w:rPr>
                <w:sz w:val="1"/>
                <w:szCs w:val="1"/>
                <w:color w:val="auto"/>
              </w:rPr>
            </w:pPr>
          </w:p>
        </w:tc>
      </w:tr>
      <w:tr>
        <w:trPr>
          <w:trHeight w:val="186"/>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0" w:type="dxa"/>
            <w:vAlign w:val="bottom"/>
          </w:tcPr>
          <w:p>
            <w:pPr>
              <w:spacing w:after="0"/>
              <w:rPr>
                <w:sz w:val="16"/>
                <w:szCs w:val="16"/>
                <w:color w:val="auto"/>
              </w:rPr>
            </w:pPr>
          </w:p>
        </w:tc>
        <w:tc>
          <w:tcPr>
            <w:tcW w:w="10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8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13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0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4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973,225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973,225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973,225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56,976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56,976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56,976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 borrowed</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3,055,305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3,055,305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3,055,305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1,644,231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1,644,231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1,644,231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3,725,267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3,725,267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3,725,267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297,628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297,628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297,628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assets (1)</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46,716</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14,537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32,179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9,799,348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9,799,348</w:t>
            </w:r>
          </w:p>
        </w:tc>
        <w:tc>
          <w:tcPr>
            <w:tcW w:w="10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1,044,738</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8,754,610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154,973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156,920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156,920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Long-term borrowings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2,025,112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2,068,818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2,068,818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Securities loaned</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3,723,360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3,723,360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3,723,360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2,214,540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2,214,540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2,214,540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Payables to broker-dealers and clearing organizations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1,155,171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1,155,171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1,155,171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5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Payables to customers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69,601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69,601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 (2)</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47,529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4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9,390,286</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9,435,939</w:t>
            </w:r>
          </w:p>
        </w:tc>
        <w:tc>
          <w:tcPr>
            <w:tcW w:w="10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9,435,939</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2964180</wp:posOffset>
            </wp:positionH>
            <wp:positionV relativeFrom="paragraph">
              <wp:posOffset>-1270</wp:posOffset>
            </wp:positionV>
            <wp:extent cx="41421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142105" cy="8255"/>
                    </a:xfrm>
                    <a:prstGeom prst="rect">
                      <a:avLst/>
                    </a:prstGeom>
                    <a:noFill/>
                  </pic:spPr>
                </pic:pic>
              </a:graphicData>
            </a:graphic>
          </wp:anchor>
        </w:drawing>
      </w:r>
    </w:p>
    <w:p>
      <w:pPr>
        <w:ind w:left="280" w:hanging="199"/>
        <w:spacing w:after="0"/>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collateral and deposits, and interest and dividends receivables.</w:t>
      </w:r>
    </w:p>
    <w:p>
      <w:pPr>
        <w:spacing w:after="0" w:line="35" w:lineRule="exact"/>
        <w:rPr>
          <w:rFonts w:ascii="Times New Roman" w:cs="Times New Roman" w:eastAsia="Times New Roman" w:hAnsi="Times New Roman"/>
          <w:sz w:val="14"/>
          <w:szCs w:val="14"/>
          <w:color w:val="auto"/>
        </w:rPr>
      </w:pPr>
    </w:p>
    <w:p>
      <w:pPr>
        <w:ind w:left="280" w:hanging="199"/>
        <w:spacing w:after="0"/>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-220345</wp:posOffset>
            </wp:positionV>
            <wp:extent cx="7061835" cy="1244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61835" cy="124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1" w:right="339" w:bottom="1440" w:gutter="0" w:footer="0" w:header="0"/>
        </w:sectPr>
      </w:pPr>
    </w:p>
    <w:bookmarkStart w:id="25" w:name="page26"/>
    <w:bookmarkEnd w:id="25"/>
    <w:p>
      <w:pPr>
        <w:ind w:left="640"/>
        <w:spacing w:after="0"/>
        <w:rPr>
          <w:sz w:val="20"/>
          <w:szCs w:val="20"/>
          <w:color w:val="auto"/>
        </w:rPr>
      </w:pPr>
      <w:r>
        <w:rPr>
          <w:rFonts w:ascii="Times New Roman" w:cs="Times New Roman" w:eastAsia="Times New Roman" w:hAnsi="Times New Roman"/>
          <w:sz w:val="17"/>
          <w:szCs w:val="17"/>
          <w:color w:val="auto"/>
        </w:rPr>
        <w:t>The table below summarizes financial assets and liabilities not carried at fair value on a recurring basis as of December 31,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40" w:type="dxa"/>
            <w:vAlign w:val="bottom"/>
          </w:tcPr>
          <w:p>
            <w:pPr>
              <w:spacing w:after="0"/>
              <w:rPr>
                <w:sz w:val="23"/>
                <w:szCs w:val="23"/>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13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70"/>
              <w:spacing w:after="0" w:line="143"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86"/>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Identical Assets</w:t>
            </w: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Observable Inputs</w:t>
            </w:r>
          </w:p>
        </w:tc>
        <w:tc>
          <w:tcPr>
            <w:tcW w:w="140" w:type="dxa"/>
            <w:vAlign w:val="bottom"/>
          </w:tcPr>
          <w:p>
            <w:pPr>
              <w:spacing w:after="0"/>
              <w:rPr>
                <w:sz w:val="16"/>
                <w:szCs w:val="16"/>
                <w:color w:val="auto"/>
              </w:rPr>
            </w:pPr>
          </w:p>
        </w:tc>
        <w:tc>
          <w:tcPr>
            <w:tcW w:w="10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4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Pr>
          <w:p>
            <w:pPr>
              <w:spacing w:after="0"/>
              <w:rPr>
                <w:sz w:val="17"/>
                <w:szCs w:val="17"/>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7"/>
                <w:szCs w:val="17"/>
                <w:color w:val="auto"/>
              </w:rPr>
            </w:pP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7"/>
                <w:szCs w:val="17"/>
                <w:color w:val="auto"/>
              </w:rPr>
            </w:pPr>
          </w:p>
        </w:tc>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
        </w:trPr>
        <w:tc>
          <w:tcPr>
            <w:tcW w:w="4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1,061,697</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1,061,697</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1,061,697</w:t>
            </w:r>
          </w:p>
        </w:tc>
        <w:tc>
          <w:tcPr>
            <w:tcW w:w="100" w:type="dxa"/>
            <w:vAlign w:val="bottom"/>
          </w:tcPr>
          <w:p>
            <w:pPr>
              <w:spacing w:after="0"/>
              <w:rPr>
                <w:sz w:val="16"/>
                <w:szCs w:val="16"/>
                <w:color w:val="auto"/>
              </w:rPr>
            </w:pP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64,744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64,744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64,744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borrowed</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3,191,138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3,191,138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3,191,138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988,929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988,929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988,929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Receivables from broker-dealers and clearing organizations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1,567,471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1,567,471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1,567,471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Receivables from customers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161,561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161,561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161,561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7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assets (1)</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39,945</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39,945</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23,531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7,075,485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7,075,485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1,142,855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5,932,630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Short-term borrowings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12,382</w:t>
            </w:r>
          </w:p>
        </w:tc>
        <w:tc>
          <w:tcPr>
            <w:tcW w:w="100" w:type="dxa"/>
            <w:vAlign w:val="bottom"/>
          </w:tcPr>
          <w:p>
            <w:pPr>
              <w:spacing w:after="0"/>
              <w:rPr>
                <w:sz w:val="16"/>
                <w:szCs w:val="16"/>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12,382</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Long-term borrowings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2,039,463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2,098,639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2,098,639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Securities loaned</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3,477,831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3,477,831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3,477,831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1,405,639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1,405,639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1,405,639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Payables to broker-dealers and clearing organizations</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817,004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817,004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817,004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Payables to customers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43,103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43,103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43,103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liabilities (2)</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7,821,461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7,880,637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7,880,637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ind w:left="220" w:hanging="198"/>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cash collateral and deposits, and interest and dividends receivables.</w:t>
      </w:r>
    </w:p>
    <w:p>
      <w:pPr>
        <w:spacing w:after="0" w:line="26" w:lineRule="exact"/>
        <w:rPr>
          <w:rFonts w:ascii="Times New Roman" w:cs="Times New Roman" w:eastAsia="Times New Roman" w:hAnsi="Times New Roman"/>
          <w:sz w:val="14"/>
          <w:szCs w:val="14"/>
          <w:color w:val="auto"/>
        </w:rPr>
      </w:pPr>
    </w:p>
    <w:p>
      <w:pPr>
        <w:ind w:left="220" w:hanging="198"/>
        <w:spacing w:after="0"/>
        <w:tabs>
          <w:tab w:leader="none" w:pos="2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136130" cy="1244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130" cy="124460"/>
                    </a:xfrm>
                    <a:prstGeom prst="rect">
                      <a:avLst/>
                    </a:prstGeom>
                    <a:noFill/>
                  </pic:spPr>
                </pic:pic>
              </a:graphicData>
            </a:graphic>
          </wp:anchor>
        </w:drawing>
        <w:drawing>
          <wp:anchor simplePos="0" relativeHeight="251657728" behindDoc="1" locked="0" layoutInCell="0" allowOverlap="1">
            <wp:simplePos x="0" y="0"/>
            <wp:positionH relativeFrom="column">
              <wp:posOffset>2988945</wp:posOffset>
            </wp:positionH>
            <wp:positionV relativeFrom="paragraph">
              <wp:posOffset>-212090</wp:posOffset>
            </wp:positionV>
            <wp:extent cx="41503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50360" cy="8255"/>
                    </a:xfrm>
                    <a:prstGeom prst="rect">
                      <a:avLst/>
                    </a:prstGeom>
                    <a:noFill/>
                  </pic:spPr>
                </pic:pic>
              </a:graphicData>
            </a:graphic>
          </wp:anchor>
        </w:drawing>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Offsetting of Financial Assets and Liabilities</w:t>
      </w:r>
    </w:p>
    <w:p>
      <w:pPr>
        <w:spacing w:after="0" w:line="252" w:lineRule="exact"/>
        <w:rPr>
          <w:sz w:val="20"/>
          <w:szCs w:val="20"/>
          <w:color w:val="auto"/>
        </w:rPr>
      </w:pPr>
    </w:p>
    <w:p>
      <w:pPr>
        <w:ind w:right="180" w:firstLine="629"/>
        <w:spacing w:after="0" w:line="267" w:lineRule="auto"/>
        <w:rPr>
          <w:sz w:val="20"/>
          <w:szCs w:val="20"/>
          <w:color w:val="auto"/>
        </w:rPr>
      </w:pPr>
      <w:r>
        <w:rPr>
          <w:rFonts w:ascii="Times New Roman" w:cs="Times New Roman" w:eastAsia="Times New Roman" w:hAnsi="Times New Roman"/>
          <w:sz w:val="17"/>
          <w:szCs w:val="17"/>
          <w:color w:val="auto"/>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7"/>
          <w:szCs w:val="17"/>
          <w:color w:val="auto"/>
        </w:rPr>
        <w:t>The following tables set forth the gross and net presentation of certain financial assets and financial liabilities as of March 31, 2026 and December 31,</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2025:</w:t>
      </w:r>
    </w:p>
    <w:p>
      <w:pPr>
        <w:sectPr>
          <w:pgSz w:w="11900" w:h="16838" w:orient="portrait"/>
          <w:cols w:equalWidth="0" w:num="1">
            <w:col w:w="11220"/>
          </w:cols>
          <w:pgMar w:left="320" w:top="86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Offsetting of Financial Assets:</w:t>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Securities borrowed</w:t>
      </w:r>
    </w:p>
    <w:p>
      <w:pPr>
        <w:spacing w:after="0" w:line="35" w:lineRule="exact"/>
        <w:rPr>
          <w:sz w:val="20"/>
          <w:szCs w:val="20"/>
          <w:color w:val="auto"/>
        </w:rPr>
      </w:pPr>
    </w:p>
    <w:p>
      <w:pPr>
        <w:ind w:left="160"/>
        <w:spacing w:after="0" w:line="244" w:lineRule="auto"/>
        <w:rPr>
          <w:sz w:val="20"/>
          <w:szCs w:val="20"/>
          <w:color w:val="auto"/>
        </w:rPr>
      </w:pPr>
      <w:r>
        <w:rPr>
          <w:rFonts w:ascii="Times New Roman" w:cs="Times New Roman" w:eastAsia="Times New Roman" w:hAnsi="Times New Roman"/>
          <w:sz w:val="14"/>
          <w:szCs w:val="14"/>
          <w:color w:val="auto"/>
        </w:rPr>
        <w:t>Securities purchased under agreements to resell</w:t>
      </w:r>
    </w:p>
    <w:p>
      <w:pPr>
        <w:ind w:left="240" w:right="740" w:hanging="78"/>
        <w:spacing w:after="0" w:line="308" w:lineRule="auto"/>
        <w:rPr>
          <w:sz w:val="20"/>
          <w:szCs w:val="20"/>
          <w:color w:val="auto"/>
        </w:rPr>
      </w:pPr>
      <w:r>
        <w:rPr>
          <w:rFonts w:ascii="Times New Roman" w:cs="Times New Roman" w:eastAsia="Times New Roman" w:hAnsi="Times New Roman"/>
          <w:sz w:val="14"/>
          <w:szCs w:val="14"/>
          <w:color w:val="auto"/>
        </w:rPr>
        <w:t>Trading assets, at fair value: Currency forwards Options</w:t>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29845</wp:posOffset>
            </wp:positionV>
            <wp:extent cx="53816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81625" cy="8255"/>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Condensed</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40" w:type="dxa"/>
            <w:vAlign w:val="bottom"/>
          </w:tcPr>
          <w:p>
            <w:pPr>
              <w:spacing w:after="0"/>
              <w:rPr>
                <w:sz w:val="12"/>
                <w:szCs w:val="12"/>
                <w:color w:val="auto"/>
              </w:rPr>
            </w:pPr>
          </w:p>
        </w:tc>
        <w:tc>
          <w:tcPr>
            <w:tcW w:w="2620" w:type="dxa"/>
            <w:vAlign w:val="bottom"/>
            <w:gridSpan w:val="5"/>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Consolidated Statements of Financial</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Amounts Offset in the</w:t>
            </w: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gridSpan w:val="5"/>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Condition</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2"/>
          </w:tcPr>
          <w:p>
            <w:pPr>
              <w:jc w:val="center"/>
              <w:ind w:right="180"/>
              <w:spacing w:after="0" w:line="66" w:lineRule="exact"/>
              <w:rPr>
                <w:sz w:val="20"/>
                <w:szCs w:val="20"/>
                <w:color w:val="auto"/>
              </w:rPr>
            </w:pPr>
            <w:r>
              <w:rPr>
                <w:rFonts w:ascii="Times New Roman" w:cs="Times New Roman" w:eastAsia="Times New Roman" w:hAnsi="Times New Roman"/>
                <w:sz w:val="7"/>
                <w:szCs w:val="7"/>
                <w:b w:val="1"/>
                <w:bCs w:val="1"/>
                <w:color w:val="auto"/>
              </w:rPr>
              <w:t>Presented in the</w:t>
            </w: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Amounts of</w:t>
            </w:r>
          </w:p>
        </w:tc>
        <w:tc>
          <w:tcPr>
            <w:tcW w:w="1640" w:type="dxa"/>
            <w:vAlign w:val="bottom"/>
            <w:gridSpan w:val="3"/>
          </w:tcPr>
          <w:p>
            <w:pPr>
              <w:jc w:val="right"/>
              <w:ind w:right="1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Condensed Consolidated</w:t>
            </w:r>
          </w:p>
        </w:tc>
        <w:tc>
          <w:tcPr>
            <w:tcW w:w="162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Condensed Consolidated</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40" w:type="dxa"/>
            <w:vAlign w:val="bottom"/>
            <w:gridSpan w:val="3"/>
          </w:tcPr>
          <w:p>
            <w:pPr>
              <w:jc w:val="right"/>
              <w:ind w:right="160"/>
              <w:spacing w:after="0" w:line="144" w:lineRule="exact"/>
              <w:rPr>
                <w:sz w:val="20"/>
                <w:szCs w:val="20"/>
                <w:color w:val="auto"/>
              </w:rPr>
            </w:pPr>
            <w:r>
              <w:rPr>
                <w:rFonts w:ascii="Times New Roman" w:cs="Times New Roman" w:eastAsia="Times New Roman" w:hAnsi="Times New Roman"/>
                <w:sz w:val="14"/>
                <w:szCs w:val="14"/>
                <w:b w:val="1"/>
                <w:bCs w:val="1"/>
                <w:color w:val="auto"/>
              </w:rPr>
              <w:t>Statements of Financial</w:t>
            </w:r>
          </w:p>
        </w:tc>
        <w:tc>
          <w:tcPr>
            <w:tcW w:w="16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Statements of Financial</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Instrument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40" w:type="dxa"/>
            <w:vAlign w:val="bottom"/>
          </w:tcPr>
          <w:p>
            <w:pPr>
              <w:spacing w:after="0"/>
              <w:rPr>
                <w:sz w:val="12"/>
                <w:szCs w:val="12"/>
                <w:color w:val="auto"/>
              </w:rPr>
            </w:pP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1"/>
        </w:trPr>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8"/>
              </w:rPr>
              <w:t>Recognized Assets</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3,055,305</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3,055,305</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(3,044,456)</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7,871</w:t>
            </w:r>
          </w:p>
        </w:tc>
        <w:tc>
          <w:tcPr>
            <w:tcW w:w="0" w:type="dxa"/>
            <w:vAlign w:val="bottom"/>
          </w:tcPr>
          <w:p>
            <w:pPr>
              <w:spacing w:after="0"/>
              <w:rPr>
                <w:sz w:val="1"/>
                <w:szCs w:val="1"/>
                <w:color w:val="auto"/>
              </w:rPr>
            </w:pPr>
          </w:p>
        </w:tc>
      </w:tr>
      <w:tr>
        <w:trPr>
          <w:trHeight w:val="327"/>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1,644,231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1,644,231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(1,644,231)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93"/>
        </w:trPr>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468,320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(456,521)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11,799</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5,178,616</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(456,521)</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4,722,095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(4,688,687)</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19,813</w:t>
            </w:r>
          </w:p>
        </w:tc>
        <w:tc>
          <w:tcPr>
            <w:tcW w:w="0" w:type="dxa"/>
            <w:vAlign w:val="bottom"/>
          </w:tcPr>
          <w:p>
            <w:pPr>
              <w:spacing w:after="0"/>
              <w:rPr>
                <w:sz w:val="1"/>
                <w:szCs w:val="1"/>
                <w:color w:val="auto"/>
              </w:rPr>
            </w:pPr>
          </w:p>
        </w:tc>
      </w:tr>
      <w:tr>
        <w:trPr>
          <w:trHeight w:val="26"/>
        </w:trPr>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-1719580</wp:posOffset>
            </wp:positionH>
            <wp:positionV relativeFrom="paragraph">
              <wp:posOffset>-748030</wp:posOffset>
            </wp:positionV>
            <wp:extent cx="7103110" cy="2076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03110" cy="20764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-415290</wp:posOffset>
            </wp:positionV>
            <wp:extent cx="7103110" cy="1244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3110" cy="1244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-165735</wp:posOffset>
            </wp:positionV>
            <wp:extent cx="7103110" cy="1498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03110" cy="149860"/>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-1005840</wp:posOffset>
            </wp:positionV>
            <wp:extent cx="7103110" cy="133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03110" cy="133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260"/>
            <w:col w:w="8480"/>
          </w:cols>
          <w:pgMar w:left="320" w:top="868" w:right="359" w:bottom="1440" w:gutter="0" w:footer="0" w:header="0"/>
          <w:type w:val="continuous"/>
        </w:sectPr>
      </w:pP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Condensed</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Net Amounts of</w:t>
            </w:r>
          </w:p>
        </w:tc>
        <w:tc>
          <w:tcPr>
            <w:tcW w:w="180" w:type="dxa"/>
            <w:vAlign w:val="bottom"/>
          </w:tcPr>
          <w:p>
            <w:pPr>
              <w:spacing w:after="0"/>
              <w:rPr>
                <w:sz w:val="11"/>
                <w:szCs w:val="11"/>
                <w:color w:val="auto"/>
              </w:rPr>
            </w:pPr>
          </w:p>
        </w:tc>
        <w:tc>
          <w:tcPr>
            <w:tcW w:w="2580" w:type="dxa"/>
            <w:vAlign w:val="bottom"/>
            <w:gridSpan w:val="5"/>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Consolidated Statements of Financial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5"/>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Condition</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tcPr>
          <w:p>
            <w:pPr>
              <w:jc w:val="center"/>
              <w:ind w:right="200"/>
              <w:spacing w:after="0" w:line="66" w:lineRule="exact"/>
              <w:rPr>
                <w:sz w:val="20"/>
                <w:szCs w:val="20"/>
                <w:color w:val="auto"/>
              </w:rPr>
            </w:pPr>
            <w:r>
              <w:rPr>
                <w:rFonts w:ascii="Times New Roman" w:cs="Times New Roman" w:eastAsia="Times New Roman" w:hAnsi="Times New Roman"/>
                <w:sz w:val="7"/>
                <w:szCs w:val="7"/>
                <w:b w:val="1"/>
                <w:bCs w:val="1"/>
                <w:color w:val="auto"/>
              </w:rPr>
              <w:t>Amounts Offset in the</w:t>
            </w:r>
          </w:p>
        </w:tc>
        <w:tc>
          <w:tcPr>
            <w:tcW w:w="1620" w:type="dxa"/>
            <w:vAlign w:val="bottom"/>
            <w:gridSpan w:val="3"/>
          </w:tcPr>
          <w:p>
            <w:pPr>
              <w:jc w:val="center"/>
              <w:ind w:right="100"/>
              <w:spacing w:after="0" w:line="66" w:lineRule="exact"/>
              <w:rPr>
                <w:sz w:val="20"/>
                <w:szCs w:val="20"/>
                <w:color w:val="auto"/>
              </w:rPr>
            </w:pPr>
            <w:r>
              <w:rPr>
                <w:rFonts w:ascii="Times New Roman" w:cs="Times New Roman" w:eastAsia="Times New Roman" w:hAnsi="Times New Roman"/>
                <w:sz w:val="7"/>
                <w:szCs w:val="7"/>
                <w:b w:val="1"/>
                <w:bCs w:val="1"/>
                <w:color w:val="auto"/>
              </w:rPr>
              <w:t>Liabilities Presented in</w:t>
            </w: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Gross Amounts of</w:t>
            </w:r>
          </w:p>
        </w:tc>
        <w:tc>
          <w:tcPr>
            <w:tcW w:w="164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80" w:type="dxa"/>
            <w:vAlign w:val="bottom"/>
          </w:tcPr>
          <w:p>
            <w:pPr>
              <w:spacing w:after="0"/>
              <w:rPr>
                <w:sz w:val="13"/>
                <w:szCs w:val="13"/>
                <w:color w:val="auto"/>
              </w:rPr>
            </w:pPr>
          </w:p>
        </w:tc>
        <w:tc>
          <w:tcPr>
            <w:tcW w:w="1540" w:type="dxa"/>
            <w:vAlign w:val="bottom"/>
            <w:gridSpan w:val="2"/>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w w:val="99"/>
              </w:rPr>
              <w:t>the Condensed</w:t>
            </w:r>
          </w:p>
        </w:tc>
        <w:tc>
          <w:tcPr>
            <w:tcW w:w="180" w:type="dxa"/>
            <w:vAlign w:val="bottom"/>
          </w:tcPr>
          <w:p>
            <w:pPr>
              <w:spacing w:after="0"/>
              <w:rPr>
                <w:sz w:val="13"/>
                <w:szCs w:val="13"/>
                <w:color w:val="auto"/>
              </w:rPr>
            </w:pPr>
          </w:p>
        </w:tc>
        <w:tc>
          <w:tcPr>
            <w:tcW w:w="122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640" w:type="dxa"/>
            <w:vAlign w:val="bottom"/>
            <w:gridSpan w:val="3"/>
          </w:tcPr>
          <w:p>
            <w:pPr>
              <w:jc w:val="right"/>
              <w:ind w:right="160"/>
              <w:spacing w:after="0" w:line="144" w:lineRule="exact"/>
              <w:rPr>
                <w:sz w:val="20"/>
                <w:szCs w:val="20"/>
                <w:color w:val="auto"/>
              </w:rPr>
            </w:pPr>
            <w:r>
              <w:rPr>
                <w:rFonts w:ascii="Times New Roman" w:cs="Times New Roman" w:eastAsia="Times New Roman" w:hAnsi="Times New Roman"/>
                <w:sz w:val="14"/>
                <w:szCs w:val="14"/>
                <w:b w:val="1"/>
                <w:bCs w:val="1"/>
                <w:color w:val="auto"/>
              </w:rPr>
              <w:t>Statements of Financial</w:t>
            </w:r>
          </w:p>
        </w:tc>
        <w:tc>
          <w:tcPr>
            <w:tcW w:w="16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 Statements</w:t>
            </w: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Instrument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20" w:type="dxa"/>
            <w:vAlign w:val="bottom"/>
          </w:tcPr>
          <w:p>
            <w:pPr>
              <w:spacing w:after="0"/>
              <w:rPr>
                <w:sz w:val="12"/>
                <w:szCs w:val="12"/>
                <w:color w:val="auto"/>
              </w:rPr>
            </w:pPr>
          </w:p>
        </w:tc>
        <w:tc>
          <w:tcPr>
            <w:tcW w:w="940" w:type="dxa"/>
            <w:vAlign w:val="bottom"/>
            <w:vMerge w:val="restart"/>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0"/>
        </w:trPr>
        <w:tc>
          <w:tcPr>
            <w:tcW w:w="2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Liabilities</w:t>
            </w:r>
          </w:p>
        </w:tc>
        <w:tc>
          <w:tcPr>
            <w:tcW w:w="1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Condition</w:t>
            </w:r>
          </w:p>
        </w:tc>
        <w:tc>
          <w:tcPr>
            <w:tcW w:w="80" w:type="dxa"/>
            <w:vAlign w:val="bottom"/>
          </w:tcPr>
          <w:p>
            <w:pPr>
              <w:spacing w:after="0"/>
              <w:rPr>
                <w:sz w:val="16"/>
                <w:szCs w:val="16"/>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of Financial Condition</w:t>
            </w: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Offsetting of Financial Liabilities: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loaned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3,723,360</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3,723,360</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(3,710,015)</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0" w:type="dxa"/>
            <w:vAlign w:val="bottom"/>
          </w:tcPr>
          <w:p>
            <w:pPr>
              <w:spacing w:after="0"/>
              <w:rPr>
                <w:sz w:val="1"/>
                <w:szCs w:val="1"/>
                <w:color w:val="auto"/>
              </w:rPr>
            </w:pPr>
          </w:p>
        </w:tc>
      </w:tr>
      <w:tr>
        <w:trPr>
          <w:trHeight w:val="138"/>
        </w:trPr>
        <w:tc>
          <w:tcPr>
            <w:tcW w:w="27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Securities sold under agreements to</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2,214,540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2,214,540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(2,214,540)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w:t>
            </w: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490,175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(490,175)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1"/>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6,443,200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5,953,025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(5,924,555)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60"/>
        </w:trPr>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8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Condensed</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Net Amounts of Assets</w:t>
            </w:r>
          </w:p>
        </w:tc>
        <w:tc>
          <w:tcPr>
            <w:tcW w:w="180" w:type="dxa"/>
            <w:vAlign w:val="bottom"/>
          </w:tcPr>
          <w:p>
            <w:pPr>
              <w:spacing w:after="0"/>
              <w:rPr>
                <w:sz w:val="11"/>
                <w:szCs w:val="11"/>
                <w:color w:val="auto"/>
              </w:rPr>
            </w:pPr>
          </w:p>
        </w:tc>
        <w:tc>
          <w:tcPr>
            <w:tcW w:w="2580" w:type="dxa"/>
            <w:vAlign w:val="bottom"/>
            <w:gridSpan w:val="5"/>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Consolidated Statements of Financial</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5"/>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rPr>
              <w:t>Condition</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tcPr>
          <w:p>
            <w:pPr>
              <w:jc w:val="center"/>
              <w:ind w:right="200"/>
              <w:spacing w:after="0" w:line="66" w:lineRule="exact"/>
              <w:rPr>
                <w:sz w:val="20"/>
                <w:szCs w:val="20"/>
                <w:color w:val="auto"/>
              </w:rPr>
            </w:pPr>
            <w:r>
              <w:rPr>
                <w:rFonts w:ascii="Times New Roman" w:cs="Times New Roman" w:eastAsia="Times New Roman" w:hAnsi="Times New Roman"/>
                <w:sz w:val="7"/>
                <w:szCs w:val="7"/>
                <w:b w:val="1"/>
                <w:bCs w:val="1"/>
                <w:color w:val="auto"/>
              </w:rPr>
              <w:t>Amounts Offset in the</w:t>
            </w:r>
          </w:p>
        </w:tc>
        <w:tc>
          <w:tcPr>
            <w:tcW w:w="80" w:type="dxa"/>
            <w:vAlign w:val="bottom"/>
          </w:tcPr>
          <w:p>
            <w:pPr>
              <w:spacing w:after="0"/>
              <w:rPr>
                <w:sz w:val="5"/>
                <w:szCs w:val="5"/>
                <w:color w:val="auto"/>
              </w:rPr>
            </w:pPr>
          </w:p>
        </w:tc>
        <w:tc>
          <w:tcPr>
            <w:tcW w:w="1540" w:type="dxa"/>
            <w:vAlign w:val="bottom"/>
            <w:gridSpan w:val="2"/>
          </w:tcPr>
          <w:p>
            <w:pPr>
              <w:jc w:val="center"/>
              <w:ind w:right="180"/>
              <w:spacing w:after="0" w:line="66" w:lineRule="exact"/>
              <w:rPr>
                <w:sz w:val="20"/>
                <w:szCs w:val="20"/>
                <w:color w:val="auto"/>
              </w:rPr>
            </w:pPr>
            <w:r>
              <w:rPr>
                <w:rFonts w:ascii="Times New Roman" w:cs="Times New Roman" w:eastAsia="Times New Roman" w:hAnsi="Times New Roman"/>
                <w:sz w:val="7"/>
                <w:szCs w:val="7"/>
                <w:b w:val="1"/>
                <w:bCs w:val="1"/>
                <w:color w:val="auto"/>
              </w:rPr>
              <w:t>Presented in the</w:t>
            </w:r>
          </w:p>
        </w:tc>
        <w:tc>
          <w:tcPr>
            <w:tcW w:w="18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Gross Amounts of</w:t>
            </w:r>
          </w:p>
        </w:tc>
        <w:tc>
          <w:tcPr>
            <w:tcW w:w="1640" w:type="dxa"/>
            <w:vAlign w:val="bottom"/>
            <w:gridSpan w:val="3"/>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Condensed Consolidated</w:t>
            </w:r>
          </w:p>
        </w:tc>
        <w:tc>
          <w:tcPr>
            <w:tcW w:w="1620" w:type="dxa"/>
            <w:vAlign w:val="bottom"/>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Condensed Consolidated</w:t>
            </w:r>
          </w:p>
        </w:tc>
        <w:tc>
          <w:tcPr>
            <w:tcW w:w="180" w:type="dxa"/>
            <w:vAlign w:val="bottom"/>
          </w:tcPr>
          <w:p>
            <w:pPr>
              <w:spacing w:after="0"/>
              <w:rPr>
                <w:sz w:val="13"/>
                <w:szCs w:val="13"/>
                <w:color w:val="auto"/>
              </w:rPr>
            </w:pPr>
          </w:p>
        </w:tc>
        <w:tc>
          <w:tcPr>
            <w:tcW w:w="1220" w:type="dxa"/>
            <w:vAlign w:val="bottom"/>
            <w:gridSpan w:val="2"/>
          </w:tcPr>
          <w:p>
            <w:pPr>
              <w:jc w:val="center"/>
              <w:ind w:right="300"/>
              <w:spacing w:after="0" w:line="151"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640" w:type="dxa"/>
            <w:vAlign w:val="bottom"/>
            <w:gridSpan w:val="3"/>
          </w:tcPr>
          <w:p>
            <w:pPr>
              <w:jc w:val="right"/>
              <w:ind w:right="160"/>
              <w:spacing w:after="0" w:line="144" w:lineRule="exact"/>
              <w:rPr>
                <w:sz w:val="20"/>
                <w:szCs w:val="20"/>
                <w:color w:val="auto"/>
              </w:rPr>
            </w:pPr>
            <w:r>
              <w:rPr>
                <w:rFonts w:ascii="Times New Roman" w:cs="Times New Roman" w:eastAsia="Times New Roman" w:hAnsi="Times New Roman"/>
                <w:sz w:val="14"/>
                <w:szCs w:val="14"/>
                <w:b w:val="1"/>
                <w:bCs w:val="1"/>
                <w:color w:val="auto"/>
              </w:rPr>
              <w:t>Statements of Financial</w:t>
            </w:r>
          </w:p>
        </w:tc>
        <w:tc>
          <w:tcPr>
            <w:tcW w:w="16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Statements of Financial</w:t>
            </w:r>
          </w:p>
        </w:tc>
        <w:tc>
          <w:tcPr>
            <w:tcW w:w="180" w:type="dxa"/>
            <w:vAlign w:val="bottom"/>
          </w:tcPr>
          <w:p>
            <w:pPr>
              <w:spacing w:after="0"/>
              <w:rPr>
                <w:sz w:val="12"/>
                <w:szCs w:val="12"/>
                <w:color w:val="auto"/>
              </w:rPr>
            </w:pPr>
          </w:p>
        </w:tc>
        <w:tc>
          <w:tcPr>
            <w:tcW w:w="1220" w:type="dxa"/>
            <w:vAlign w:val="bottom"/>
            <w:gridSpan w:val="2"/>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Instrument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20" w:type="dxa"/>
            <w:vAlign w:val="bottom"/>
          </w:tcPr>
          <w:p>
            <w:pPr>
              <w:spacing w:after="0"/>
              <w:rPr>
                <w:sz w:val="12"/>
                <w:szCs w:val="12"/>
                <w:color w:val="auto"/>
              </w:rPr>
            </w:pPr>
          </w:p>
        </w:tc>
        <w:tc>
          <w:tcPr>
            <w:tcW w:w="94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0"/>
        </w:trPr>
        <w:tc>
          <w:tcPr>
            <w:tcW w:w="2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Recognized Assets</w:t>
            </w:r>
          </w:p>
        </w:tc>
        <w:tc>
          <w:tcPr>
            <w:tcW w:w="1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Condition</w:t>
            </w:r>
          </w:p>
        </w:tc>
        <w:tc>
          <w:tcPr>
            <w:tcW w:w="80" w:type="dxa"/>
            <w:vAlign w:val="bottom"/>
          </w:tcPr>
          <w:p>
            <w:pPr>
              <w:spacing w:after="0"/>
              <w:rPr>
                <w:sz w:val="16"/>
                <w:szCs w:val="16"/>
                <w:color w:val="auto"/>
              </w:rPr>
            </w:pPr>
          </w:p>
        </w:tc>
        <w:tc>
          <w:tcPr>
            <w:tcW w:w="15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Condition</w:t>
            </w:r>
          </w:p>
        </w:tc>
        <w:tc>
          <w:tcPr>
            <w:tcW w:w="180" w:type="dxa"/>
            <w:vAlign w:val="bottom"/>
          </w:tcPr>
          <w:p>
            <w:pPr>
              <w:spacing w:after="0"/>
              <w:rPr>
                <w:sz w:val="16"/>
                <w:szCs w:val="16"/>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Offsetting of Financial Assets:</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borrowed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3,191,138</w:t>
            </w:r>
          </w:p>
        </w:tc>
        <w:tc>
          <w:tcPr>
            <w:tcW w:w="10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3,191,138</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(3,083,612)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(53,461)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54,065</w:t>
            </w:r>
          </w:p>
        </w:tc>
        <w:tc>
          <w:tcPr>
            <w:tcW w:w="0" w:type="dxa"/>
            <w:vAlign w:val="bottom"/>
          </w:tcPr>
          <w:p>
            <w:pPr>
              <w:spacing w:after="0"/>
              <w:rPr>
                <w:sz w:val="1"/>
                <w:szCs w:val="1"/>
                <w:color w:val="auto"/>
              </w:rPr>
            </w:pPr>
          </w:p>
        </w:tc>
      </w:tr>
      <w:tr>
        <w:trPr>
          <w:trHeight w:val="138"/>
        </w:trPr>
        <w:tc>
          <w:tcPr>
            <w:tcW w:w="27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Securities purchased under agreements to</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988,929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988,929</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(988,274)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0" w:type="dxa"/>
            <w:vAlign w:val="bottom"/>
          </w:tcPr>
          <w:p>
            <w:pPr>
              <w:spacing w:after="0"/>
              <w:rPr>
                <w:sz w:val="1"/>
                <w:szCs w:val="1"/>
                <w:color w:val="auto"/>
              </w:rPr>
            </w:pPr>
          </w:p>
        </w:tc>
      </w:tr>
      <w:tr>
        <w:trPr>
          <w:trHeight w:val="196"/>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resell</w:t>
            </w:r>
          </w:p>
        </w:tc>
        <w:tc>
          <w:tcPr>
            <w:tcW w:w="10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assets, at fair value: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211,856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(204,775)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7,081</w:t>
            </w:r>
          </w:p>
        </w:tc>
        <w:tc>
          <w:tcPr>
            <w:tcW w:w="0" w:type="dxa"/>
            <w:vAlign w:val="bottom"/>
          </w:tcPr>
          <w:p>
            <w:pPr>
              <w:spacing w:after="0"/>
              <w:rPr>
                <w:sz w:val="1"/>
                <w:szCs w:val="1"/>
                <w:color w:val="auto"/>
              </w:rPr>
            </w:pPr>
          </w:p>
        </w:tc>
      </w:tr>
      <w:tr>
        <w:trPr>
          <w:trHeight w:val="190"/>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97,459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0" w:type="dxa"/>
            <w:vAlign w:val="bottom"/>
          </w:tcPr>
          <w:p>
            <w:pPr>
              <w:spacing w:after="0"/>
              <w:rPr>
                <w:sz w:val="1"/>
                <w:szCs w:val="1"/>
                <w:color w:val="auto"/>
              </w:rPr>
            </w:pPr>
          </w:p>
        </w:tc>
      </w:tr>
      <w:tr>
        <w:trPr>
          <w:trHeight w:val="221"/>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4,489,382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(204,775)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4,284,607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(4,071,886)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62,552</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type w:val="continuous"/>
        </w:sectPr>
      </w:pPr>
    </w:p>
    <w:bookmarkStart w:id="27" w:name="page28"/>
    <w:bookmarkEnd w:id="27"/>
    <w:tbl>
      <w:tblPr>
        <w:tblLayout w:type="fixed"/>
        <w:tblInd w:w="40"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Amounts Not Offset in the Condensed</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Net Amounts of</w:t>
            </w:r>
          </w:p>
        </w:tc>
        <w:tc>
          <w:tcPr>
            <w:tcW w:w="140" w:type="dxa"/>
            <w:vAlign w:val="bottom"/>
          </w:tcPr>
          <w:p>
            <w:pPr>
              <w:spacing w:after="0"/>
              <w:rPr>
                <w:sz w:val="12"/>
                <w:szCs w:val="12"/>
                <w:color w:val="auto"/>
              </w:rPr>
            </w:pPr>
          </w:p>
        </w:tc>
        <w:tc>
          <w:tcPr>
            <w:tcW w:w="2620" w:type="dxa"/>
            <w:vAlign w:val="bottom"/>
            <w:gridSpan w:val="5"/>
          </w:tcPr>
          <w:p>
            <w:pPr>
              <w:jc w:val="center"/>
              <w:ind w:right="2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Consolidated Statements of Financial</w:t>
            </w: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Amounts Offset in the</w:t>
            </w:r>
          </w:p>
        </w:tc>
        <w:tc>
          <w:tcPr>
            <w:tcW w:w="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gridSpan w:val="5"/>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Condition</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5"/>
        </w:trPr>
        <w:tc>
          <w:tcPr>
            <w:tcW w:w="2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2"/>
            <w:vMerge w:val="continue"/>
          </w:tcPr>
          <w:p>
            <w:pPr>
              <w:spacing w:after="0"/>
              <w:rPr>
                <w:sz w:val="5"/>
                <w:szCs w:val="5"/>
                <w:color w:val="auto"/>
              </w:rPr>
            </w:pPr>
          </w:p>
        </w:tc>
        <w:tc>
          <w:tcPr>
            <w:tcW w:w="1620" w:type="dxa"/>
            <w:vAlign w:val="bottom"/>
            <w:gridSpan w:val="3"/>
          </w:tcPr>
          <w:p>
            <w:pPr>
              <w:jc w:val="center"/>
              <w:ind w:right="100"/>
              <w:spacing w:after="0" w:line="66" w:lineRule="exact"/>
              <w:rPr>
                <w:sz w:val="20"/>
                <w:szCs w:val="20"/>
                <w:color w:val="auto"/>
              </w:rPr>
            </w:pPr>
            <w:r>
              <w:rPr>
                <w:rFonts w:ascii="Times New Roman" w:cs="Times New Roman" w:eastAsia="Times New Roman" w:hAnsi="Times New Roman"/>
                <w:sz w:val="7"/>
                <w:szCs w:val="7"/>
                <w:b w:val="1"/>
                <w:bCs w:val="1"/>
                <w:color w:val="auto"/>
              </w:rPr>
              <w:t>Liabilities Presented in</w:t>
            </w:r>
          </w:p>
        </w:tc>
        <w:tc>
          <w:tcPr>
            <w:tcW w:w="14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00"/>
              <w:spacing w:after="0" w:line="151" w:lineRule="exact"/>
              <w:rPr>
                <w:sz w:val="20"/>
                <w:szCs w:val="20"/>
                <w:color w:val="auto"/>
              </w:rPr>
            </w:pPr>
            <w:r>
              <w:rPr>
                <w:rFonts w:ascii="Times New Roman" w:cs="Times New Roman" w:eastAsia="Times New Roman" w:hAnsi="Times New Roman"/>
                <w:sz w:val="14"/>
                <w:szCs w:val="14"/>
                <w:b w:val="1"/>
                <w:bCs w:val="1"/>
                <w:color w:val="auto"/>
                <w:w w:val="98"/>
              </w:rPr>
              <w:t>Gross Amounts of</w:t>
            </w:r>
          </w:p>
        </w:tc>
        <w:tc>
          <w:tcPr>
            <w:tcW w:w="1640" w:type="dxa"/>
            <w:vAlign w:val="bottom"/>
            <w:gridSpan w:val="3"/>
          </w:tcPr>
          <w:p>
            <w:pPr>
              <w:jc w:val="right"/>
              <w:ind w:right="1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Condensed Consolidated</w:t>
            </w:r>
          </w:p>
        </w:tc>
        <w:tc>
          <w:tcPr>
            <w:tcW w:w="80" w:type="dxa"/>
            <w:vAlign w:val="bottom"/>
          </w:tcPr>
          <w:p>
            <w:pPr>
              <w:spacing w:after="0"/>
              <w:rPr>
                <w:sz w:val="13"/>
                <w:szCs w:val="13"/>
                <w:color w:val="auto"/>
              </w:rPr>
            </w:pPr>
          </w:p>
        </w:tc>
        <w:tc>
          <w:tcPr>
            <w:tcW w:w="1540" w:type="dxa"/>
            <w:vAlign w:val="bottom"/>
            <w:gridSpan w:val="2"/>
          </w:tcPr>
          <w:p>
            <w:pPr>
              <w:jc w:val="center"/>
              <w:ind w:right="180"/>
              <w:spacing w:after="0" w:line="151" w:lineRule="exact"/>
              <w:rPr>
                <w:sz w:val="20"/>
                <w:szCs w:val="20"/>
                <w:color w:val="auto"/>
              </w:rPr>
            </w:pPr>
            <w:r>
              <w:rPr>
                <w:rFonts w:ascii="Times New Roman" w:cs="Times New Roman" w:eastAsia="Times New Roman" w:hAnsi="Times New Roman"/>
                <w:sz w:val="14"/>
                <w:szCs w:val="14"/>
                <w:b w:val="1"/>
                <w:bCs w:val="1"/>
                <w:color w:val="auto"/>
                <w:w w:val="99"/>
              </w:rPr>
              <w:t>the Condensed</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w w:val="99"/>
              </w:rPr>
              <w:t>Counterparty</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1640" w:type="dxa"/>
            <w:vAlign w:val="bottom"/>
            <w:gridSpan w:val="3"/>
          </w:tcPr>
          <w:p>
            <w:pPr>
              <w:jc w:val="right"/>
              <w:ind w:right="160"/>
              <w:spacing w:after="0" w:line="144" w:lineRule="exact"/>
              <w:rPr>
                <w:sz w:val="20"/>
                <w:szCs w:val="20"/>
                <w:color w:val="auto"/>
              </w:rPr>
            </w:pPr>
            <w:r>
              <w:rPr>
                <w:rFonts w:ascii="Times New Roman" w:cs="Times New Roman" w:eastAsia="Times New Roman" w:hAnsi="Times New Roman"/>
                <w:sz w:val="14"/>
                <w:szCs w:val="14"/>
                <w:b w:val="1"/>
                <w:bCs w:val="1"/>
                <w:color w:val="auto"/>
              </w:rPr>
              <w:t>Statements of Financial</w:t>
            </w:r>
          </w:p>
        </w:tc>
        <w:tc>
          <w:tcPr>
            <w:tcW w:w="162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 Statements</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Instrument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Netting/ Cash</w:t>
            </w:r>
          </w:p>
        </w:tc>
        <w:tc>
          <w:tcPr>
            <w:tcW w:w="140" w:type="dxa"/>
            <w:vAlign w:val="bottom"/>
          </w:tcPr>
          <w:p>
            <w:pPr>
              <w:spacing w:after="0"/>
              <w:rPr>
                <w:sz w:val="12"/>
                <w:szCs w:val="12"/>
                <w:color w:val="auto"/>
              </w:rPr>
            </w:pPr>
          </w:p>
        </w:tc>
        <w:tc>
          <w:tcPr>
            <w:tcW w:w="920" w:type="dxa"/>
            <w:vAlign w:val="bottom"/>
            <w:vMerge w:val="restart"/>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1"/>
        </w:trPr>
        <w:tc>
          <w:tcPr>
            <w:tcW w:w="27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Liabilities</w:t>
            </w:r>
          </w:p>
        </w:tc>
        <w:tc>
          <w:tcPr>
            <w:tcW w:w="10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6"/>
              </w:rPr>
              <w:t>Condition</w:t>
            </w:r>
          </w:p>
        </w:tc>
        <w:tc>
          <w:tcPr>
            <w:tcW w:w="80" w:type="dxa"/>
            <w:vAlign w:val="bottom"/>
          </w:tcPr>
          <w:p>
            <w:pPr>
              <w:spacing w:after="0"/>
              <w:rPr>
                <w:sz w:val="16"/>
                <w:szCs w:val="16"/>
                <w:color w:val="auto"/>
              </w:rPr>
            </w:pPr>
          </w:p>
        </w:tc>
        <w:tc>
          <w:tcPr>
            <w:tcW w:w="1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of Financial Condition</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Collateral</w:t>
            </w: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Offsetting of Financial Liabilities:</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Securities loaned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3,477,831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3,477,831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(3,382,370)</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(67,690)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27,771</w:t>
            </w:r>
          </w:p>
        </w:tc>
        <w:tc>
          <w:tcPr>
            <w:tcW w:w="0" w:type="dxa"/>
            <w:vAlign w:val="bottom"/>
          </w:tcPr>
          <w:p>
            <w:pPr>
              <w:spacing w:after="0"/>
              <w:rPr>
                <w:sz w:val="1"/>
                <w:szCs w:val="1"/>
                <w:color w:val="auto"/>
              </w:rPr>
            </w:pPr>
          </w:p>
        </w:tc>
      </w:tr>
      <w:tr>
        <w:trPr>
          <w:trHeight w:val="142"/>
        </w:trPr>
        <w:tc>
          <w:tcPr>
            <w:tcW w:w="2700" w:type="dxa"/>
            <w:vAlign w:val="bottom"/>
            <w:gridSpan w:val="2"/>
            <w:shd w:val="clear" w:color="auto" w:fill="CCEEFF"/>
          </w:tcPr>
          <w:p>
            <w:pPr>
              <w:ind w:left="120"/>
              <w:spacing w:after="0" w:line="142" w:lineRule="exact"/>
              <w:rPr>
                <w:sz w:val="20"/>
                <w:szCs w:val="20"/>
                <w:color w:val="auto"/>
              </w:rPr>
            </w:pPr>
            <w:r>
              <w:rPr>
                <w:rFonts w:ascii="Times New Roman" w:cs="Times New Roman" w:eastAsia="Times New Roman" w:hAnsi="Times New Roman"/>
                <w:sz w:val="14"/>
                <w:szCs w:val="14"/>
                <w:color w:val="auto"/>
              </w:rPr>
              <w:t>Securities sold under agreements to</w:t>
            </w:r>
          </w:p>
        </w:tc>
        <w:tc>
          <w:tcPr>
            <w:tcW w:w="10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1,405,639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1,405,639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(1,404,924)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w:t>
            </w:r>
          </w:p>
        </w:tc>
        <w:tc>
          <w:tcPr>
            <w:tcW w:w="0" w:type="dxa"/>
            <w:vAlign w:val="bottom"/>
          </w:tcPr>
          <w:p>
            <w:pPr>
              <w:spacing w:after="0"/>
              <w:rPr>
                <w:sz w:val="1"/>
                <w:szCs w:val="1"/>
                <w:color w:val="auto"/>
              </w:rPr>
            </w:pPr>
          </w:p>
        </w:tc>
      </w:tr>
      <w:tr>
        <w:trPr>
          <w:trHeight w:val="193"/>
        </w:trPr>
        <w:tc>
          <w:tcPr>
            <w:tcW w:w="2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repurchase</w:t>
            </w: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700" w:type="dxa"/>
            <w:vAlign w:val="bottom"/>
            <w:gridSpan w:val="2"/>
          </w:tcPr>
          <w:p>
            <w:pPr>
              <w:ind w:left="120"/>
              <w:spacing w:after="0" w:line="135"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organizations:</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Interest rate swaps</w:t>
            </w: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7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liabilities, at fair value:</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Currency forwards</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198,463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(198,463)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0"/>
        </w:trPr>
        <w:tc>
          <w:tcPr>
            <w:tcW w:w="27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Options</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120,284</w:t>
            </w:r>
          </w:p>
        </w:tc>
        <w:tc>
          <w:tcPr>
            <w:tcW w:w="0" w:type="dxa"/>
            <w:vAlign w:val="bottom"/>
          </w:tcPr>
          <w:p>
            <w:pPr>
              <w:spacing w:after="0"/>
              <w:rPr>
                <w:sz w:val="1"/>
                <w:szCs w:val="1"/>
                <w:color w:val="auto"/>
              </w:rPr>
            </w:pPr>
          </w:p>
        </w:tc>
      </w:tr>
      <w:tr>
        <w:trPr>
          <w:trHeight w:val="221"/>
        </w:trPr>
        <w:tc>
          <w:tcPr>
            <w:tcW w:w="2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5,298,925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5,100,462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(4,787,294)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148,770</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right="16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presents gross obligations for securities sold under agreements to repurchase and for securities lending transactions by remaining contractual maturity and the class of collateral pledged as of March 31, 2026 and December 31, 2025:</w:t>
      </w: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3"/>
          </w:tcPr>
          <w:p>
            <w:pPr>
              <w:jc w:val="center"/>
              <w:ind w:left="190"/>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Remaining Contractual Maturity</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0" w:lineRule="exact"/>
              <w:rPr>
                <w:sz w:val="20"/>
                <w:szCs w:val="20"/>
                <w:color w:val="auto"/>
              </w:rPr>
            </w:pPr>
            <w:r>
              <w:rPr>
                <w:rFonts w:ascii="Times New Roman" w:cs="Times New Roman" w:eastAsia="Times New Roman" w:hAnsi="Times New Roman"/>
                <w:sz w:val="14"/>
                <w:szCs w:val="14"/>
                <w:b w:val="1"/>
                <w:bCs w:val="1"/>
                <w:color w:val="auto"/>
              </w:rPr>
              <w:t>Overnight and</w:t>
            </w: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Less than 30 days</w:t>
            </w:r>
          </w:p>
        </w:tc>
        <w:tc>
          <w:tcPr>
            <w:tcW w:w="220" w:type="dxa"/>
            <w:vAlign w:val="bottom"/>
          </w:tcPr>
          <w:p>
            <w:pPr>
              <w:spacing w:after="0"/>
              <w:rPr>
                <w:sz w:val="11"/>
                <w:szCs w:val="11"/>
                <w:color w:val="auto"/>
              </w:rPr>
            </w:pPr>
          </w:p>
        </w:tc>
        <w:tc>
          <w:tcPr>
            <w:tcW w:w="920" w:type="dxa"/>
            <w:vAlign w:val="bottom"/>
          </w:tcPr>
          <w:p>
            <w:pPr>
              <w:jc w:val="center"/>
              <w:ind w:right="150"/>
              <w:spacing w:after="0" w:line="130" w:lineRule="exact"/>
              <w:rPr>
                <w:sz w:val="20"/>
                <w:szCs w:val="20"/>
                <w:color w:val="auto"/>
              </w:rPr>
            </w:pPr>
            <w:r>
              <w:rPr>
                <w:rFonts w:ascii="Times New Roman" w:cs="Times New Roman" w:eastAsia="Times New Roman" w:hAnsi="Times New Roman"/>
                <w:sz w:val="14"/>
                <w:szCs w:val="14"/>
                <w:b w:val="1"/>
                <w:bCs w:val="1"/>
                <w:color w:val="auto"/>
                <w:w w:val="95"/>
              </w:rPr>
              <w:t>30 - 60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jc w:val="center"/>
              <w:ind w:right="290"/>
              <w:spacing w:after="0" w:line="130" w:lineRule="exact"/>
              <w:rPr>
                <w:sz w:val="20"/>
                <w:szCs w:val="20"/>
                <w:color w:val="auto"/>
              </w:rPr>
            </w:pPr>
            <w:r>
              <w:rPr>
                <w:rFonts w:ascii="Times New Roman" w:cs="Times New Roman" w:eastAsia="Times New Roman" w:hAnsi="Times New Roman"/>
                <w:sz w:val="14"/>
                <w:szCs w:val="14"/>
                <w:b w:val="1"/>
                <w:bCs w:val="1"/>
                <w:color w:val="auto"/>
              </w:rPr>
              <w:t>61 - 90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180"/>
              <w:spacing w:after="0" w:line="130" w:lineRule="exact"/>
              <w:rPr>
                <w:sz w:val="20"/>
                <w:szCs w:val="20"/>
                <w:color w:val="auto"/>
              </w:rPr>
            </w:pPr>
            <w:r>
              <w:rPr>
                <w:rFonts w:ascii="Times New Roman" w:cs="Times New Roman" w:eastAsia="Times New Roman" w:hAnsi="Times New Roman"/>
                <w:sz w:val="14"/>
                <w:szCs w:val="14"/>
                <w:b w:val="1"/>
                <w:bCs w:val="1"/>
                <w:color w:val="auto"/>
              </w:rPr>
              <w:t>Greater than 90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Continuous</w:t>
            </w:r>
          </w:p>
        </w:tc>
        <w:tc>
          <w:tcPr>
            <w:tcW w:w="12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days</w:t>
            </w:r>
          </w:p>
        </w:tc>
        <w:tc>
          <w:tcPr>
            <w:tcW w:w="360" w:type="dxa"/>
            <w:vAlign w:val="bottom"/>
          </w:tcPr>
          <w:p>
            <w:pPr>
              <w:spacing w:after="0"/>
              <w:rPr>
                <w:sz w:val="16"/>
                <w:szCs w:val="16"/>
                <w:color w:val="auto"/>
              </w:rPr>
            </w:pPr>
          </w:p>
        </w:tc>
        <w:tc>
          <w:tcPr>
            <w:tcW w:w="8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4"/>
              </w:rPr>
              <w:t>Days</w:t>
            </w:r>
          </w:p>
        </w:tc>
        <w:tc>
          <w:tcPr>
            <w:tcW w:w="80" w:type="dxa"/>
            <w:vAlign w:val="bottom"/>
          </w:tcPr>
          <w:p>
            <w:pPr>
              <w:spacing w:after="0"/>
              <w:rPr>
                <w:sz w:val="16"/>
                <w:szCs w:val="16"/>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5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85,000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90"/>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1,714,540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1,714,540</w:t>
            </w:r>
          </w:p>
        </w:tc>
        <w:tc>
          <w:tcPr>
            <w:tcW w:w="0" w:type="dxa"/>
            <w:vAlign w:val="bottom"/>
          </w:tcPr>
          <w:p>
            <w:pPr>
              <w:spacing w:after="0"/>
              <w:rPr>
                <w:sz w:val="1"/>
                <w:szCs w:val="1"/>
                <w:color w:val="auto"/>
              </w:rPr>
            </w:pPr>
          </w:p>
        </w:tc>
      </w:tr>
      <w:tr>
        <w:trPr>
          <w:trHeight w:val="221"/>
        </w:trPr>
        <w:tc>
          <w:tcPr>
            <w:tcW w:w="3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1,864,540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85,000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2,214,540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 loaned:</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3,723,360</w:t>
            </w:r>
          </w:p>
        </w:tc>
        <w:tc>
          <w:tcPr>
            <w:tcW w:w="12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3,723,360</w:t>
            </w:r>
          </w:p>
        </w:tc>
        <w:tc>
          <w:tcPr>
            <w:tcW w:w="0" w:type="dxa"/>
            <w:vAlign w:val="bottom"/>
          </w:tcPr>
          <w:p>
            <w:pPr>
              <w:spacing w:after="0"/>
              <w:rPr>
                <w:sz w:val="1"/>
                <w:szCs w:val="1"/>
                <w:color w:val="auto"/>
              </w:rPr>
            </w:pPr>
          </w:p>
        </w:tc>
      </w:tr>
      <w:tr>
        <w:trPr>
          <w:trHeight w:val="221"/>
        </w:trPr>
        <w:tc>
          <w:tcPr>
            <w:tcW w:w="35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3,723,360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3,723,360</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center"/>
              <w:ind w:left="17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6"/>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Remaining Contractual Maturity</w:t>
            </w: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360" w:type="dxa"/>
            <w:vAlign w:val="bottom"/>
            <w:gridSpan w:val="2"/>
          </w:tcPr>
          <w:p>
            <w:pPr>
              <w:jc w:val="center"/>
              <w:ind w:right="280"/>
              <w:spacing w:after="0" w:line="132" w:lineRule="exact"/>
              <w:rPr>
                <w:sz w:val="20"/>
                <w:szCs w:val="20"/>
                <w:color w:val="auto"/>
              </w:rPr>
            </w:pPr>
            <w:r>
              <w:rPr>
                <w:rFonts w:ascii="Times New Roman" w:cs="Times New Roman" w:eastAsia="Times New Roman" w:hAnsi="Times New Roman"/>
                <w:sz w:val="14"/>
                <w:szCs w:val="14"/>
                <w:b w:val="1"/>
                <w:bCs w:val="1"/>
                <w:color w:val="auto"/>
              </w:rPr>
              <w:t>Overnight and</w:t>
            </w:r>
          </w:p>
        </w:tc>
        <w:tc>
          <w:tcPr>
            <w:tcW w:w="12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30 days</w:t>
            </w:r>
          </w:p>
        </w:tc>
        <w:tc>
          <w:tcPr>
            <w:tcW w:w="220" w:type="dxa"/>
            <w:vAlign w:val="bottom"/>
          </w:tcPr>
          <w:p>
            <w:pPr>
              <w:spacing w:after="0"/>
              <w:rPr>
                <w:sz w:val="11"/>
                <w:szCs w:val="11"/>
                <w:color w:val="auto"/>
              </w:rPr>
            </w:pPr>
          </w:p>
        </w:tc>
        <w:tc>
          <w:tcPr>
            <w:tcW w:w="920" w:type="dxa"/>
            <w:vAlign w:val="bottom"/>
          </w:tcPr>
          <w:p>
            <w:pPr>
              <w:jc w:val="center"/>
              <w:ind w:right="170"/>
              <w:spacing w:after="0" w:line="132" w:lineRule="exact"/>
              <w:rPr>
                <w:sz w:val="20"/>
                <w:szCs w:val="20"/>
                <w:color w:val="auto"/>
              </w:rPr>
            </w:pPr>
            <w:r>
              <w:rPr>
                <w:rFonts w:ascii="Times New Roman" w:cs="Times New Roman" w:eastAsia="Times New Roman" w:hAnsi="Times New Roman"/>
                <w:sz w:val="14"/>
                <w:szCs w:val="14"/>
                <w:b w:val="1"/>
                <w:bCs w:val="1"/>
                <w:color w:val="auto"/>
              </w:rPr>
              <w:t>30 - 60</w:t>
            </w: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jc w:val="center"/>
              <w:ind w:right="290"/>
              <w:spacing w:after="0" w:line="132" w:lineRule="exact"/>
              <w:rPr>
                <w:sz w:val="20"/>
                <w:szCs w:val="20"/>
                <w:color w:val="auto"/>
              </w:rPr>
            </w:pPr>
            <w:r>
              <w:rPr>
                <w:rFonts w:ascii="Times New Roman" w:cs="Times New Roman" w:eastAsia="Times New Roman" w:hAnsi="Times New Roman"/>
                <w:sz w:val="14"/>
                <w:szCs w:val="14"/>
                <w:b w:val="1"/>
                <w:bCs w:val="1"/>
                <w:color w:val="auto"/>
              </w:rPr>
              <w:t>61 - 90</w:t>
            </w:r>
          </w:p>
        </w:tc>
        <w:tc>
          <w:tcPr>
            <w:tcW w:w="100" w:type="dxa"/>
            <w:vAlign w:val="bottom"/>
          </w:tcPr>
          <w:p>
            <w:pPr>
              <w:spacing w:after="0"/>
              <w:rPr>
                <w:sz w:val="11"/>
                <w:szCs w:val="11"/>
                <w:color w:val="auto"/>
              </w:rPr>
            </w:pPr>
          </w:p>
        </w:tc>
        <w:tc>
          <w:tcPr>
            <w:tcW w:w="1220" w:type="dxa"/>
            <w:vAlign w:val="bottom"/>
            <w:gridSpan w:val="3"/>
          </w:tcPr>
          <w:p>
            <w:pPr>
              <w:jc w:val="center"/>
              <w:ind w:right="120"/>
              <w:spacing w:after="0" w:line="132" w:lineRule="exact"/>
              <w:rPr>
                <w:sz w:val="20"/>
                <w:szCs w:val="20"/>
                <w:color w:val="auto"/>
              </w:rPr>
            </w:pPr>
            <w:r>
              <w:rPr>
                <w:rFonts w:ascii="Times New Roman" w:cs="Times New Roman" w:eastAsia="Times New Roman" w:hAnsi="Times New Roman"/>
                <w:sz w:val="14"/>
                <w:szCs w:val="14"/>
                <w:b w:val="1"/>
                <w:bCs w:val="1"/>
                <w:color w:val="auto"/>
                <w:w w:val="98"/>
              </w:rPr>
              <w:t>Greater than 90</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vMerge w:val="restart"/>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Continuous</w:t>
            </w:r>
          </w:p>
        </w:tc>
        <w:tc>
          <w:tcPr>
            <w:tcW w:w="122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days</w:t>
            </w:r>
          </w:p>
        </w:tc>
        <w:tc>
          <w:tcPr>
            <w:tcW w:w="360" w:type="dxa"/>
            <w:vAlign w:val="bottom"/>
          </w:tcPr>
          <w:p>
            <w:pPr>
              <w:spacing w:after="0"/>
              <w:rPr>
                <w:sz w:val="16"/>
                <w:szCs w:val="16"/>
                <w:color w:val="auto"/>
              </w:rPr>
            </w:pPr>
          </w:p>
        </w:tc>
        <w:tc>
          <w:tcPr>
            <w:tcW w:w="8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Days</w:t>
            </w:r>
          </w:p>
        </w:tc>
        <w:tc>
          <w:tcPr>
            <w:tcW w:w="8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5"/>
              </w:rPr>
              <w:t>days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3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85,000</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0" w:type="dxa"/>
            <w:vAlign w:val="bottom"/>
          </w:tcPr>
          <w:p>
            <w:pPr>
              <w:spacing w:after="0"/>
              <w:rPr>
                <w:sz w:val="1"/>
                <w:szCs w:val="1"/>
                <w:color w:val="auto"/>
              </w:rPr>
            </w:pPr>
          </w:p>
        </w:tc>
      </w:tr>
      <w:tr>
        <w:trPr>
          <w:trHeight w:val="190"/>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U.S. and Non-U.S. government obligations</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905,639</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905,639</w:t>
            </w:r>
          </w:p>
        </w:tc>
        <w:tc>
          <w:tcPr>
            <w:tcW w:w="0" w:type="dxa"/>
            <w:vAlign w:val="bottom"/>
          </w:tcPr>
          <w:p>
            <w:pPr>
              <w:spacing w:after="0"/>
              <w:rPr>
                <w:sz w:val="1"/>
                <w:szCs w:val="1"/>
                <w:color w:val="auto"/>
              </w:rPr>
            </w:pPr>
          </w:p>
        </w:tc>
      </w:tr>
      <w:tr>
        <w:trPr>
          <w:trHeight w:val="221"/>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905,639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85,000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1,405,639</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Securities loaned:</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Equity securities</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3,477,831</w:t>
            </w:r>
          </w:p>
        </w:tc>
        <w:tc>
          <w:tcPr>
            <w:tcW w:w="120" w:type="dxa"/>
            <w:vAlign w:val="bottom"/>
          </w:tcPr>
          <w:p>
            <w:pPr>
              <w:spacing w:after="0"/>
              <w:rPr>
                <w:sz w:val="16"/>
                <w:szCs w:val="16"/>
                <w:color w:val="auto"/>
              </w:rPr>
            </w:pPr>
          </w:p>
        </w:tc>
        <w:tc>
          <w:tcPr>
            <w:tcW w:w="34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3,477,831</w:t>
            </w:r>
          </w:p>
        </w:tc>
        <w:tc>
          <w:tcPr>
            <w:tcW w:w="0" w:type="dxa"/>
            <w:vAlign w:val="bottom"/>
          </w:tcPr>
          <w:p>
            <w:pPr>
              <w:spacing w:after="0"/>
              <w:rPr>
                <w:sz w:val="1"/>
                <w:szCs w:val="1"/>
                <w:color w:val="auto"/>
              </w:rPr>
            </w:pPr>
          </w:p>
        </w:tc>
      </w:tr>
      <w:tr>
        <w:trPr>
          <w:trHeight w:val="221"/>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3,477,831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3,477,831</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33"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color w:val="auto"/>
        </w:rPr>
        <w:t>11. Digital Assets Held</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summarizes Digital assets held at March 31, 2026 and December 31, 2025:</w:t>
      </w:r>
    </w:p>
    <w:p>
      <w:pPr>
        <w:spacing w:after="0" w:line="152" w:lineRule="exact"/>
        <w:rPr>
          <w:sz w:val="20"/>
          <w:szCs w:val="20"/>
          <w:color w:val="auto"/>
        </w:rPr>
      </w:pPr>
    </w:p>
    <w:tbl>
      <w:tblPr>
        <w:tblLayout w:type="fixed"/>
        <w:tblInd w:w="1980" w:type="dxa"/>
        <w:tblCellMar>
          <w:top w:w="0" w:type="dxa"/>
          <w:left w:w="0" w:type="dxa"/>
          <w:bottom w:w="0" w:type="dxa"/>
          <w:right w:w="0" w:type="dxa"/>
        </w:tblCellMar>
      </w:tblPr>
      <w:tr>
        <w:trPr>
          <w:trHeight w:val="184"/>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units)</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2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9"/>
        </w:trPr>
        <w:tc>
          <w:tcPr>
            <w:tcW w:w="34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Bitcoin</w:t>
            </w:r>
          </w:p>
        </w:tc>
        <w:tc>
          <w:tcPr>
            <w:tcW w:w="6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1,859</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124,603</w:t>
            </w:r>
          </w:p>
        </w:tc>
        <w:tc>
          <w:tcPr>
            <w:tcW w:w="8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126,427</w:t>
            </w:r>
          </w:p>
        </w:tc>
      </w:tr>
      <w:tr>
        <w:trPr>
          <w:trHeight w:val="204"/>
        </w:trPr>
        <w:tc>
          <w:tcPr>
            <w:tcW w:w="3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Ethereum</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13,446</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27,941</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28,225</w:t>
            </w:r>
          </w:p>
        </w:tc>
      </w:tr>
      <w:tr>
        <w:trPr>
          <w:trHeight w:val="190"/>
        </w:trPr>
        <w:tc>
          <w:tcPr>
            <w:tcW w:w="34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620" w:type="dxa"/>
            <w:vAlign w:val="bottom"/>
            <w:tcBorders>
              <w:bottom w:val="single" w:sz="8" w:color="CCEEFF"/>
            </w:tcBorders>
          </w:tcPr>
          <w:p>
            <w:pPr>
              <w:jc w:val="right"/>
              <w:ind w:right="50"/>
              <w:spacing w:after="0"/>
              <w:rPr>
                <w:sz w:val="20"/>
                <w:szCs w:val="20"/>
                <w:color w:val="auto"/>
              </w:rPr>
            </w:pPr>
            <w:r>
              <w:rPr>
                <w:rFonts w:ascii="Times New Roman" w:cs="Times New Roman" w:eastAsia="Times New Roman" w:hAnsi="Times New Roman"/>
                <w:sz w:val="14"/>
                <w:szCs w:val="14"/>
                <w:color w:val="auto"/>
              </w:rPr>
              <w:t>NM</w:t>
            </w: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39,514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40,420</w:t>
            </w:r>
          </w:p>
        </w:tc>
      </w:tr>
      <w:tr>
        <w:trPr>
          <w:trHeight w:val="221"/>
        </w:trPr>
        <w:tc>
          <w:tcPr>
            <w:tcW w:w="346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Digital assets held</w:t>
            </w:r>
          </w:p>
        </w:tc>
        <w:tc>
          <w:tcPr>
            <w:tcW w:w="6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192,058</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195,072</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tbl>
      <w:tblPr>
        <w:tblLayout w:type="fixed"/>
        <w:tblInd w:w="1980" w:type="dxa"/>
        <w:tblCellMar>
          <w:top w:w="0" w:type="dxa"/>
          <w:left w:w="0" w:type="dxa"/>
          <w:bottom w:w="0" w:type="dxa"/>
          <w:right w:w="0" w:type="dxa"/>
        </w:tblCellMar>
      </w:tblPr>
      <w:tr>
        <w:trPr>
          <w:trHeight w:val="184"/>
        </w:trPr>
        <w:tc>
          <w:tcPr>
            <w:tcW w:w="3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units)</w:t>
            </w: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2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5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8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89"/>
        </w:trPr>
        <w:tc>
          <w:tcPr>
            <w:tcW w:w="35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Bitcoin</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1,274</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112,392</w:t>
            </w:r>
          </w:p>
        </w:tc>
        <w:tc>
          <w:tcPr>
            <w:tcW w:w="8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111,760</w:t>
            </w:r>
          </w:p>
        </w:tc>
      </w:tr>
      <w:tr>
        <w:trPr>
          <w:trHeight w:val="197"/>
        </w:trPr>
        <w:tc>
          <w:tcPr>
            <w:tcW w:w="3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NM</w:t>
            </w: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41,802</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42,850</w:t>
            </w:r>
          </w:p>
        </w:tc>
      </w:tr>
      <w:tr>
        <w:trPr>
          <w:trHeight w:val="196"/>
        </w:trPr>
        <w:tc>
          <w:tcPr>
            <w:tcW w:w="350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Total Digital assets held</w:t>
            </w:r>
          </w:p>
        </w:tc>
        <w:tc>
          <w:tcPr>
            <w:tcW w:w="580" w:type="dxa"/>
            <w:vAlign w:val="bottom"/>
          </w:tcPr>
          <w:p>
            <w:pPr>
              <w:spacing w:after="0"/>
              <w:rPr>
                <w:sz w:val="17"/>
                <w:szCs w:val="17"/>
                <w:color w:val="auto"/>
              </w:rPr>
            </w:pP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154,194</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154,610</w:t>
            </w:r>
          </w:p>
        </w:tc>
      </w:tr>
      <w:tr>
        <w:trPr>
          <w:trHeight w:val="20"/>
        </w:trPr>
        <w:tc>
          <w:tcPr>
            <w:tcW w:w="2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ind w:right="20" w:firstLine="629"/>
        <w:spacing w:after="0" w:line="296" w:lineRule="auto"/>
        <w:rPr>
          <w:sz w:val="20"/>
          <w:szCs w:val="20"/>
          <w:color w:val="auto"/>
        </w:rPr>
      </w:pPr>
      <w:r>
        <w:rPr>
          <w:rFonts w:ascii="Times New Roman" w:cs="Times New Roman" w:eastAsia="Times New Roman" w:hAnsi="Times New Roman"/>
          <w:sz w:val="17"/>
          <w:szCs w:val="17"/>
          <w:color w:val="auto"/>
        </w:rPr>
        <w:t>As of March 31, 2026, 50.0 million PYTH tokens with a fair value of $2.0 million are subject to selling restrictions. The time-based selling restrictions will unlock annually between 2026 and 2027.</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Derivative Instruments</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fair value of the Company’s derivative instruments on a gross basis consisted of the following at March 31, 2026 and December 31, 2025:</w:t>
      </w: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 w:type="dxa"/>
            <w:vAlign w:val="bottom"/>
          </w:tcPr>
          <w:p>
            <w:pPr>
              <w:spacing w:after="0"/>
              <w:rPr>
                <w:sz w:val="16"/>
                <w:szCs w:val="16"/>
                <w:color w:val="auto"/>
              </w:rPr>
            </w:pPr>
          </w:p>
        </w:tc>
        <w:tc>
          <w:tcPr>
            <w:tcW w:w="2320" w:type="dxa"/>
            <w:vAlign w:val="bottom"/>
            <w:gridSpan w:val="4"/>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2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Assets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Statement Location</w:t>
            </w:r>
          </w:p>
        </w:tc>
        <w:tc>
          <w:tcPr>
            <w:tcW w:w="1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26"/>
        </w:trPr>
        <w:tc>
          <w:tcPr>
            <w:tcW w:w="2840" w:type="dxa"/>
            <w:vAlign w:val="bottom"/>
            <w:tcBorders>
              <w:top w:val="single" w:sz="8" w:color="auto"/>
            </w:tcBorders>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120" w:type="dxa"/>
            <w:vAlign w:val="bottom"/>
          </w:tcPr>
          <w:p>
            <w:pPr>
              <w:spacing w:after="0"/>
              <w:rPr>
                <w:sz w:val="10"/>
                <w:szCs w:val="10"/>
                <w:color w:val="auto"/>
              </w:rPr>
            </w:pPr>
          </w:p>
        </w:tc>
        <w:tc>
          <w:tcPr>
            <w:tcW w:w="30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3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Equities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(4,876)</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2,573,927</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1,017,174</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Commodity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(58,411)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13,818,176</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(20,294)</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11,492,904</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Currency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1,242,244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4,418</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4,575,259</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Fixed income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Receivables from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11,549</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11,711</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instruments owned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2,540,084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97,459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2,565,169</w:t>
            </w:r>
          </w:p>
        </w:tc>
        <w:tc>
          <w:tcPr>
            <w:tcW w:w="0" w:type="dxa"/>
            <w:vAlign w:val="bottom"/>
          </w:tcPr>
          <w:p>
            <w:pPr>
              <w:spacing w:after="0"/>
              <w:rPr>
                <w:sz w:val="1"/>
                <w:szCs w:val="1"/>
                <w:color w:val="auto"/>
              </w:rPr>
            </w:pPr>
          </w:p>
        </w:tc>
      </w:tr>
      <w:tr>
        <w:trPr>
          <w:trHeight w:val="18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owned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468,320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45,515,646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211,856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28,015,291</w:t>
            </w:r>
          </w:p>
        </w:tc>
        <w:tc>
          <w:tcPr>
            <w:tcW w:w="0" w:type="dxa"/>
            <w:vAlign w:val="bottom"/>
          </w:tcPr>
          <w:p>
            <w:pPr>
              <w:spacing w:after="0"/>
              <w:rPr>
                <w:sz w:val="1"/>
                <w:szCs w:val="1"/>
                <w:color w:val="auto"/>
              </w:rPr>
            </w:pPr>
          </w:p>
        </w:tc>
      </w:tr>
      <w:tr>
        <w:trPr>
          <w:trHeight w:val="217"/>
        </w:trPr>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Liabilities</w:t>
            </w: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Financial Statement Location</w:t>
            </w:r>
          </w:p>
        </w:tc>
        <w:tc>
          <w:tcPr>
            <w:tcW w:w="18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6"/>
                <w:szCs w:val="16"/>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200" w:type="dxa"/>
            <w:vAlign w:val="bottom"/>
          </w:tcPr>
          <w:p>
            <w:pPr>
              <w:spacing w:after="0"/>
              <w:rPr>
                <w:sz w:val="16"/>
                <w:szCs w:val="16"/>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6"/>
                <w:szCs w:val="16"/>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0" w:type="dxa"/>
            <w:vAlign w:val="bottom"/>
          </w:tcPr>
          <w:p>
            <w:pPr>
              <w:spacing w:after="0"/>
              <w:rPr>
                <w:sz w:val="1"/>
                <w:szCs w:val="1"/>
                <w:color w:val="auto"/>
              </w:rPr>
            </w:pPr>
          </w:p>
        </w:tc>
      </w:tr>
      <w:tr>
        <w:trPr>
          <w:trHeight w:val="132"/>
        </w:trPr>
        <w:tc>
          <w:tcPr>
            <w:tcW w:w="2840" w:type="dxa"/>
            <w:vAlign w:val="bottom"/>
            <w:tcBorders>
              <w:top w:val="single" w:sz="8" w:color="auto"/>
            </w:tcBorders>
            <w:shd w:val="clear" w:color="auto" w:fill="CCEEFF"/>
          </w:tcPr>
          <w:p>
            <w:pPr>
              <w:ind w:left="20"/>
              <w:spacing w:after="0" w:line="132"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120" w:type="dxa"/>
            <w:vAlign w:val="bottom"/>
            <w:tcBorders>
              <w:top w:val="single" w:sz="8" w:color="CCEEFF"/>
            </w:tcBorders>
            <w:shd w:val="clear" w:color="auto" w:fill="CCEEFF"/>
          </w:tcPr>
          <w:p>
            <w:pPr>
              <w:spacing w:after="0"/>
              <w:rPr>
                <w:sz w:val="11"/>
                <w:szCs w:val="11"/>
                <w:color w:val="auto"/>
              </w:rPr>
            </w:pPr>
          </w:p>
        </w:tc>
        <w:tc>
          <w:tcPr>
            <w:tcW w:w="30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3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Equities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5,691</w:t>
            </w:r>
          </w:p>
        </w:tc>
        <w:tc>
          <w:tcPr>
            <w:tcW w:w="120" w:type="dxa"/>
            <w:vAlign w:val="bottom"/>
          </w:tcPr>
          <w:p>
            <w:pPr>
              <w:spacing w:after="0"/>
              <w:rPr>
                <w:sz w:val="11"/>
                <w:szCs w:val="11"/>
                <w:color w:val="auto"/>
              </w:rPr>
            </w:pPr>
          </w:p>
        </w:tc>
        <w:tc>
          <w:tcPr>
            <w:tcW w:w="20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583,764</w:t>
            </w:r>
          </w:p>
        </w:tc>
        <w:tc>
          <w:tcPr>
            <w:tcW w:w="100" w:type="dxa"/>
            <w:vAlign w:val="bottom"/>
          </w:tcPr>
          <w:p>
            <w:pPr>
              <w:spacing w:after="0"/>
              <w:rPr>
                <w:sz w:val="11"/>
                <w:szCs w:val="11"/>
                <w:color w:val="auto"/>
              </w:rPr>
            </w:pPr>
          </w:p>
        </w:tc>
        <w:tc>
          <w:tcPr>
            <w:tcW w:w="20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100" w:type="dxa"/>
            <w:vAlign w:val="bottom"/>
          </w:tcPr>
          <w:p>
            <w:pPr>
              <w:spacing w:after="0"/>
              <w:rPr>
                <w:sz w:val="11"/>
                <w:szCs w:val="11"/>
                <w:color w:val="auto"/>
              </w:rPr>
            </w:pPr>
          </w:p>
        </w:tc>
        <w:tc>
          <w:tcPr>
            <w:tcW w:w="220" w:type="dxa"/>
            <w:vAlign w:val="bottom"/>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940,143</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Commodity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1,143,741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171,504</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9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Currency futures</w:t>
            </w:r>
          </w:p>
        </w:tc>
        <w:tc>
          <w:tcPr>
            <w:tcW w:w="310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2,978,573</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212,120</w:t>
            </w:r>
          </w:p>
        </w:tc>
        <w:tc>
          <w:tcPr>
            <w:tcW w:w="0" w:type="dxa"/>
            <w:vAlign w:val="bottom"/>
          </w:tcPr>
          <w:p>
            <w:pPr>
              <w:spacing w:after="0"/>
              <w:rPr>
                <w:sz w:val="1"/>
                <w:szCs w:val="1"/>
                <w:color w:val="auto"/>
              </w:rPr>
            </w:pPr>
          </w:p>
        </w:tc>
      </w:tr>
      <w:tr>
        <w:trPr>
          <w:trHeight w:val="188"/>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960" w:type="dxa"/>
            <w:vAlign w:val="bottom"/>
            <w:gridSpan w:val="2"/>
            <w:shd w:val="clear" w:color="auto" w:fill="CCEEFF"/>
          </w:tcPr>
          <w:p>
            <w:pPr>
              <w:ind w:left="20"/>
              <w:spacing w:after="0" w:line="140" w:lineRule="exact"/>
              <w:rPr>
                <w:sz w:val="20"/>
                <w:szCs w:val="20"/>
                <w:color w:val="auto"/>
              </w:rPr>
            </w:pPr>
            <w:r>
              <w:rPr>
                <w:rFonts w:ascii="Times New Roman" w:cs="Times New Roman" w:eastAsia="Times New Roman" w:hAnsi="Times New Roman"/>
                <w:sz w:val="14"/>
                <w:szCs w:val="14"/>
                <w:color w:val="auto"/>
              </w:rPr>
              <w:t>Fixed income futures</w:t>
            </w:r>
          </w:p>
        </w:tc>
        <w:tc>
          <w:tcPr>
            <w:tcW w:w="3100" w:type="dxa"/>
            <w:vAlign w:val="bottom"/>
            <w:gridSpan w:val="2"/>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Payables to broker-dealers and clearing</w:t>
            </w:r>
          </w:p>
        </w:tc>
        <w:tc>
          <w:tcPr>
            <w:tcW w:w="1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615,185</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383,154</w:t>
            </w:r>
          </w:p>
        </w:tc>
        <w:tc>
          <w:tcPr>
            <w:tcW w:w="0" w:type="dxa"/>
            <w:vAlign w:val="bottom"/>
          </w:tcPr>
          <w:p>
            <w:pPr>
              <w:spacing w:after="0"/>
              <w:rPr>
                <w:sz w:val="1"/>
                <w:szCs w:val="1"/>
                <w:color w:val="auto"/>
              </w:rPr>
            </w:pPr>
          </w:p>
        </w:tc>
      </w:tr>
      <w:tr>
        <w:trPr>
          <w:trHeight w:val="193"/>
        </w:trPr>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organizations</w:t>
            </w:r>
          </w:p>
        </w:tc>
        <w:tc>
          <w:tcPr>
            <w:tcW w:w="18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2,517,159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216,992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2,637,691</w:t>
            </w:r>
          </w:p>
        </w:tc>
        <w:tc>
          <w:tcPr>
            <w:tcW w:w="0" w:type="dxa"/>
            <w:vAlign w:val="bottom"/>
          </w:tcPr>
          <w:p>
            <w:pPr>
              <w:spacing w:after="0"/>
              <w:rPr>
                <w:sz w:val="1"/>
                <w:szCs w:val="1"/>
                <w:color w:val="auto"/>
              </w:rPr>
            </w:pPr>
          </w:p>
        </w:tc>
      </w:tr>
      <w:tr>
        <w:trPr>
          <w:trHeight w:val="204"/>
        </w:trPr>
        <w:tc>
          <w:tcPr>
            <w:tcW w:w="2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Financial instruments sold, not yet purchased</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490,175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45,526,573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198,463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28,008,595</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right="420" w:firstLine="629"/>
        <w:spacing w:after="0" w:line="296" w:lineRule="auto"/>
        <w:rPr>
          <w:sz w:val="20"/>
          <w:szCs w:val="20"/>
          <w:color w:val="auto"/>
        </w:rPr>
      </w:pPr>
      <w:r>
        <w:rPr>
          <w:rFonts w:ascii="Times New Roman" w:cs="Times New Roman" w:eastAsia="Times New Roman" w:hAnsi="Times New Roman"/>
          <w:sz w:val="17"/>
          <w:szCs w:val="17"/>
          <w:color w:val="auto"/>
        </w:rPr>
        <w:t>Amounts included in receivables from and payables to broker-dealers and clearing organizations represent net variation margin on long and short futures contracts as well as amounts receivable or payable on interest rate swaps.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970" w:right="379" w:bottom="1440" w:gutter="0" w:footer="0" w:header="0"/>
        </w:sectPr>
      </w:pPr>
    </w:p>
    <w:bookmarkStart w:id="29" w:name="page30"/>
    <w:bookmarkEnd w:id="29"/>
    <w:p>
      <w:pPr>
        <w:ind w:right="20" w:firstLine="629"/>
        <w:spacing w:after="0" w:line="270" w:lineRule="auto"/>
        <w:rPr>
          <w:sz w:val="20"/>
          <w:szCs w:val="20"/>
          <w:color w:val="auto"/>
        </w:rPr>
      </w:pPr>
      <w:r>
        <w:rPr>
          <w:rFonts w:ascii="Times New Roman" w:cs="Times New Roman" w:eastAsia="Times New Roman" w:hAnsi="Times New Roman"/>
          <w:sz w:val="17"/>
          <w:szCs w:val="17"/>
          <w:color w:val="auto"/>
        </w:rPr>
        <w:t>The following table summarizes the net gain (loss) from derivative instruments not designated as hedging instruments under ASC 815, which are recorded in total revenues, and from those designated as hedging instruments under ASC 815, which are initially recorded in other comprehensive income in the accompanying Condensed Consolidated Statements of Comprehensive Income for the three months ended March 31, 2026 and 2025.</w:t>
      </w:r>
    </w:p>
    <w:p>
      <w:pPr>
        <w:spacing w:after="0" w:line="2" w:lineRule="exact"/>
        <w:rPr>
          <w:sz w:val="20"/>
          <w:szCs w:val="20"/>
          <w:color w:val="auto"/>
        </w:rPr>
      </w:pPr>
    </w:p>
    <w:tbl>
      <w:tblPr>
        <w:tblLayout w:type="fixed"/>
        <w:tblInd w:w="164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2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Statements Location</w:t>
            </w: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980" w:type="dxa"/>
            <w:vAlign w:val="bottom"/>
            <w:gridSpan w:val="2"/>
            <w:vMerge w:val="continue"/>
          </w:tcPr>
          <w:p>
            <w:pPr>
              <w:spacing w:after="0"/>
              <w:rPr>
                <w:sz w:val="15"/>
                <w:szCs w:val="15"/>
                <w:color w:val="auto"/>
              </w:rPr>
            </w:pPr>
          </w:p>
        </w:tc>
        <w:tc>
          <w:tcPr>
            <w:tcW w:w="24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32"/>
        </w:trPr>
        <w:tc>
          <w:tcPr>
            <w:tcW w:w="2860" w:type="dxa"/>
            <w:vAlign w:val="bottom"/>
            <w:tcBorders>
              <w:top w:val="single" w:sz="8" w:color="auto"/>
            </w:tcBorders>
            <w:shd w:val="clear" w:color="auto" w:fill="CCEEFF"/>
          </w:tcPr>
          <w:p>
            <w:pPr>
              <w:ind w:left="20"/>
              <w:spacing w:after="0" w:line="132" w:lineRule="exact"/>
              <w:rPr>
                <w:sz w:val="20"/>
                <w:szCs w:val="20"/>
                <w:color w:val="auto"/>
              </w:rPr>
            </w:pPr>
            <w:r>
              <w:rPr>
                <w:rFonts w:ascii="Times New Roman" w:cs="Times New Roman" w:eastAsia="Times New Roman" w:hAnsi="Times New Roman"/>
                <w:sz w:val="14"/>
                <w:szCs w:val="14"/>
                <w:b w:val="1"/>
                <w:bCs w:val="1"/>
                <w:color w:val="auto"/>
              </w:rPr>
              <w:t>Derivative instruments not designated as</w:t>
            </w:r>
          </w:p>
        </w:tc>
        <w:tc>
          <w:tcPr>
            <w:tcW w:w="120" w:type="dxa"/>
            <w:vAlign w:val="bottom"/>
            <w:tcBorders>
              <w:top w:val="single" w:sz="8" w:color="CCEEFF"/>
            </w:tcBorders>
            <w:shd w:val="clear" w:color="auto" w:fill="CCEEFF"/>
          </w:tcPr>
          <w:p>
            <w:pPr>
              <w:spacing w:after="0"/>
              <w:rPr>
                <w:sz w:val="11"/>
                <w:szCs w:val="11"/>
                <w:color w:val="auto"/>
              </w:rPr>
            </w:pPr>
          </w:p>
        </w:tc>
        <w:tc>
          <w:tcPr>
            <w:tcW w:w="23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hedging instruments:</w:t>
            </w:r>
          </w:p>
        </w:tc>
        <w:tc>
          <w:tcPr>
            <w:tcW w:w="2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Futures</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(97,273)</w:t>
            </w:r>
          </w:p>
        </w:tc>
        <w:tc>
          <w:tcPr>
            <w:tcW w:w="120" w:type="dxa"/>
            <w:vAlign w:val="bottom"/>
          </w:tcPr>
          <w:p>
            <w:pPr>
              <w:spacing w:after="0"/>
              <w:rPr>
                <w:sz w:val="16"/>
                <w:szCs w:val="16"/>
                <w:color w:val="auto"/>
              </w:rPr>
            </w:pP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(30,231)</w:t>
            </w:r>
          </w:p>
        </w:tc>
        <w:tc>
          <w:tcPr>
            <w:tcW w:w="0" w:type="dxa"/>
            <w:vAlign w:val="bottom"/>
          </w:tcPr>
          <w:p>
            <w:pPr>
              <w:spacing w:after="0"/>
              <w:rPr>
                <w:sz w:val="1"/>
                <w:szCs w:val="1"/>
                <w:color w:val="auto"/>
              </w:rPr>
            </w:pPr>
          </w:p>
        </w:tc>
      </w:tr>
      <w:tr>
        <w:trPr>
          <w:trHeight w:val="204"/>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Currency forwards</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47,223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89,027</w:t>
            </w:r>
          </w:p>
        </w:tc>
        <w:tc>
          <w:tcPr>
            <w:tcW w:w="0" w:type="dxa"/>
            <w:vAlign w:val="bottom"/>
          </w:tcPr>
          <w:p>
            <w:pPr>
              <w:spacing w:after="0"/>
              <w:rPr>
                <w:sz w:val="1"/>
                <w:szCs w:val="1"/>
                <w:color w:val="auto"/>
              </w:rPr>
            </w:pPr>
          </w:p>
        </w:tc>
      </w:tr>
      <w:tr>
        <w:trPr>
          <w:trHeight w:val="18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Options</w:t>
            </w: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45,988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8,582</w:t>
            </w:r>
          </w:p>
        </w:tc>
        <w:tc>
          <w:tcPr>
            <w:tcW w:w="0" w:type="dxa"/>
            <w:vAlign w:val="bottom"/>
          </w:tcPr>
          <w:p>
            <w:pPr>
              <w:spacing w:after="0"/>
              <w:rPr>
                <w:sz w:val="1"/>
                <w:szCs w:val="1"/>
                <w:color w:val="auto"/>
              </w:rPr>
            </w:pPr>
          </w:p>
        </w:tc>
      </w:tr>
      <w:tr>
        <w:trPr>
          <w:trHeight w:val="142"/>
        </w:trPr>
        <w:tc>
          <w:tcPr>
            <w:tcW w:w="29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Terminated interest rate swaps (2)</w:t>
            </w:r>
          </w:p>
        </w:tc>
        <w:tc>
          <w:tcPr>
            <w:tcW w:w="248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Financing interest expense on long-term</w:t>
            </w:r>
          </w:p>
        </w:tc>
        <w:tc>
          <w:tcPr>
            <w:tcW w:w="2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(2,910)</w:t>
            </w:r>
          </w:p>
        </w:tc>
        <w:tc>
          <w:tcPr>
            <w:tcW w:w="0" w:type="dxa"/>
            <w:vAlign w:val="bottom"/>
          </w:tcPr>
          <w:p>
            <w:pPr>
              <w:spacing w:after="0"/>
              <w:rPr>
                <w:sz w:val="1"/>
                <w:szCs w:val="1"/>
                <w:color w:val="auto"/>
              </w:rPr>
            </w:pPr>
          </w:p>
        </w:tc>
      </w:tr>
      <w:tr>
        <w:trPr>
          <w:trHeight w:val="188"/>
        </w:trPr>
        <w:tc>
          <w:tcPr>
            <w:tcW w:w="2980" w:type="dxa"/>
            <w:vAlign w:val="bottom"/>
            <w:gridSpan w:val="2"/>
            <w:vMerge w:val="continue"/>
            <w:shd w:val="clear" w:color="auto" w:fill="CCEEFF"/>
          </w:tcPr>
          <w:p>
            <w:pPr>
              <w:spacing w:after="0"/>
              <w:rPr>
                <w:sz w:val="16"/>
                <w:szCs w:val="16"/>
                <w:color w:val="auto"/>
              </w:rPr>
            </w:pP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2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64,468</w:t>
            </w:r>
          </w:p>
        </w:tc>
        <w:tc>
          <w:tcPr>
            <w:tcW w:w="0" w:type="dxa"/>
            <w:vAlign w:val="bottom"/>
          </w:tcPr>
          <w:p>
            <w:pPr>
              <w:spacing w:after="0"/>
              <w:rPr>
                <w:sz w:val="1"/>
                <w:szCs w:val="1"/>
                <w:color w:val="auto"/>
              </w:rPr>
            </w:pPr>
          </w:p>
        </w:tc>
      </w:tr>
      <w:tr>
        <w:trPr>
          <w:trHeight w:val="20"/>
        </w:trPr>
        <w:tc>
          <w:tcPr>
            <w:tcW w:w="2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980" w:type="dxa"/>
            <w:vAlign w:val="bottom"/>
            <w:gridSpan w:val="2"/>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Derivative instruments designated as hedging</w:t>
            </w:r>
          </w:p>
        </w:tc>
        <w:tc>
          <w:tcPr>
            <w:tcW w:w="2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 (1)</w:t>
            </w:r>
          </w:p>
        </w:tc>
        <w:tc>
          <w:tcPr>
            <w:tcW w:w="2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26"/>
        </w:trPr>
        <w:tc>
          <w:tcPr>
            <w:tcW w:w="2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ind w:firstLine="5"/>
        <w:spacing w:after="0" w:line="253" w:lineRule="auto"/>
        <w:tabs>
          <w:tab w:leader="none" w:pos="19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entered into a two-year $1,525 million floating-to-fixed interest rate agreement in December 2023 (the “December 2023 Swap”). The two-year interest rate swap met the criteria to be considered as a qualifying cash flow hedge under ASC 815 as of December 2023, and the mark-to-market gains (losses) on the instrument was deferred within Other comprehensive income on the Condensed Consolidated Statements of Comprehensive Income. In November 2025, the designation of the interest rate swap as a cash flow hedge was discontinued upon the termination of the December 2023 Swap in accordance with its contractual terms, and no further gains or losses related to this instrument are recorded in Other comprehensive income. See Note 9 “Borrowings” for further details.</w:t>
      </w:r>
    </w:p>
    <w:p>
      <w:pPr>
        <w:spacing w:after="0" w:line="1" w:lineRule="exact"/>
        <w:rPr>
          <w:rFonts w:ascii="Times New Roman" w:cs="Times New Roman" w:eastAsia="Times New Roman" w:hAnsi="Times New Roman"/>
          <w:sz w:val="14"/>
          <w:szCs w:val="14"/>
          <w:color w:val="auto"/>
        </w:rPr>
      </w:pPr>
    </w:p>
    <w:p>
      <w:pPr>
        <w:ind w:right="600" w:firstLine="5"/>
        <w:spacing w:after="0" w:line="267" w:lineRule="auto"/>
        <w:tabs>
          <w:tab w:leader="none" w:pos="198"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records the amortization of AOCI balances related to its previously terminated interest rate swaps in Financing interest expense on long-term borrowings on the Condensed Consolidated Statements of Comprehensive Income. See Note 9 “Borrowings” for further details on the previously terminated swaps.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Variable Interest Entities</w:t>
      </w:r>
    </w:p>
    <w:p>
      <w:pPr>
        <w:spacing w:after="0" w:line="34" w:lineRule="exact"/>
        <w:rPr>
          <w:sz w:val="20"/>
          <w:szCs w:val="20"/>
          <w:color w:val="auto"/>
        </w:rPr>
      </w:pPr>
    </w:p>
    <w:p>
      <w:pPr>
        <w:jc w:val="both"/>
        <w:ind w:right="140" w:firstLine="629"/>
        <w:spacing w:after="0" w:line="265" w:lineRule="auto"/>
        <w:rPr>
          <w:sz w:val="20"/>
          <w:szCs w:val="20"/>
          <w:color w:val="auto"/>
        </w:rPr>
      </w:pPr>
      <w:r>
        <w:rPr>
          <w:rFonts w:ascii="Times New Roman" w:cs="Times New Roman" w:eastAsia="Times New Roman" w:hAnsi="Times New Roman"/>
          <w:sz w:val="17"/>
          <w:szCs w:val="17"/>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99"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90" w:lineRule="exact"/>
        <w:rPr>
          <w:sz w:val="20"/>
          <w:szCs w:val="20"/>
          <w:color w:val="auto"/>
        </w:rPr>
      </w:pPr>
    </w:p>
    <w:p>
      <w:pPr>
        <w:ind w:right="120" w:firstLine="629"/>
        <w:spacing w:after="0" w:line="276" w:lineRule="auto"/>
        <w:rPr>
          <w:sz w:val="20"/>
          <w:szCs w:val="20"/>
          <w:color w:val="auto"/>
        </w:rPr>
      </w:pPr>
      <w:r>
        <w:rPr>
          <w:rFonts w:ascii="Times New Roman" w:cs="Times New Roman" w:eastAsia="Times New Roman" w:hAnsi="Times New Roman"/>
          <w:sz w:val="17"/>
          <w:szCs w:val="17"/>
          <w:color w:val="auto"/>
        </w:rPr>
        <w:t>The Company has an interest in a joint venture (“JV”) that builds and maintains communication networks and related assets globally. The Company and its JV partners each pay monthly fees for the use of the communication networks in connection with their respective trading activities, and the JV may sell excess bandwidth that is not utilized by the JV members to third parties. As of March 31, 2026, the Company held a noncontrolling interest of 50.0% in the JV.</w:t>
      </w:r>
    </w:p>
    <w:p>
      <w:pPr>
        <w:spacing w:after="0" w:line="190" w:lineRule="exact"/>
        <w:rPr>
          <w:sz w:val="20"/>
          <w:szCs w:val="20"/>
          <w:color w:val="auto"/>
        </w:rPr>
      </w:pPr>
    </w:p>
    <w:p>
      <w:pPr>
        <w:ind w:right="40" w:firstLine="629"/>
        <w:spacing w:after="0" w:line="296" w:lineRule="auto"/>
        <w:rPr>
          <w:sz w:val="20"/>
          <w:szCs w:val="20"/>
          <w:color w:val="auto"/>
        </w:rPr>
      </w:pPr>
      <w:r>
        <w:rPr>
          <w:rFonts w:ascii="Times New Roman" w:cs="Times New Roman" w:eastAsia="Times New Roman" w:hAnsi="Times New Roman"/>
          <w:sz w:val="17"/>
          <w:szCs w:val="17"/>
          <w:color w:val="auto"/>
        </w:rPr>
        <w:t>The Company has an interest in a JV that offers derivatives trading technology and execution services to broker-dealers, professional traders and select hedge funds. As of March 31, 2026, the Company held approximately a 9.8% noncontrolling interest in this JV.</w:t>
      </w:r>
    </w:p>
    <w:p>
      <w:pPr>
        <w:spacing w:after="0" w:line="173"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The Company has an interest in a JV that operates a member-owned equities exchange with the goal of increasing competition and transparency, while reducing fixed costs and simplifying execution of equity trading in the U.S. As of March 31, 2026, the Company held approximately a 12.7% noncontrolling interest in this JV.</w:t>
      </w:r>
    </w:p>
    <w:p>
      <w:pPr>
        <w:spacing w:after="0" w:line="190" w:lineRule="exact"/>
        <w:rPr>
          <w:sz w:val="20"/>
          <w:szCs w:val="20"/>
          <w:color w:val="auto"/>
        </w:rPr>
      </w:pPr>
    </w:p>
    <w:p>
      <w:pPr>
        <w:ind w:right="180" w:firstLine="629"/>
        <w:spacing w:after="0" w:line="276" w:lineRule="auto"/>
        <w:rPr>
          <w:sz w:val="20"/>
          <w:szCs w:val="20"/>
          <w:color w:val="auto"/>
        </w:rPr>
      </w:pPr>
      <w:r>
        <w:rPr>
          <w:rFonts w:ascii="Times New Roman" w:cs="Times New Roman" w:eastAsia="Times New Roman" w:hAnsi="Times New Roman"/>
          <w:sz w:val="17"/>
          <w:szCs w:val="17"/>
          <w:color w:val="auto"/>
        </w:rPr>
        <w:t>The Company has an interest in a JV that was formed for the purpose of developing and operating a cryptocurrency trading platform with the goal of increasing competition and transparency, while improving trading performance and reducing operational risk. As of March 31, 2026, the Company held approximately a 8.5% noncontrolling interest in this JV.</w:t>
      </w:r>
    </w:p>
    <w:p>
      <w:pPr>
        <w:spacing w:after="0" w:line="190" w:lineRule="exact"/>
        <w:rPr>
          <w:sz w:val="20"/>
          <w:szCs w:val="20"/>
          <w:color w:val="auto"/>
        </w:rPr>
      </w:pPr>
    </w:p>
    <w:p>
      <w:pPr>
        <w:ind w:right="140" w:firstLine="629"/>
        <w:spacing w:after="0" w:line="276" w:lineRule="auto"/>
        <w:rPr>
          <w:sz w:val="20"/>
          <w:szCs w:val="20"/>
          <w:color w:val="auto"/>
        </w:rPr>
      </w:pPr>
      <w:r>
        <w:rPr>
          <w:rFonts w:ascii="Times New Roman" w:cs="Times New Roman" w:eastAsia="Times New Roman" w:hAnsi="Times New Roman"/>
          <w:sz w:val="17"/>
          <w:szCs w:val="17"/>
          <w:color w:val="auto"/>
        </w:rPr>
        <w:t>The Company’s JVs noted above meet the criteria to be considered VIEs, which it does not consolidate. The Company records its interest in the JVs under the equity method of accounting and records its investment in the JVs within Other assets and its amounts payable for communication services provided by the telecommunications JV within Accounts payable, accrued</w:t>
      </w: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30" w:name="page31"/>
    <w:bookmarkEnd w:id="30"/>
    <w:p>
      <w:pPr>
        <w:ind w:right="60"/>
        <w:spacing w:after="0" w:line="276" w:lineRule="auto"/>
        <w:rPr>
          <w:sz w:val="20"/>
          <w:szCs w:val="20"/>
          <w:color w:val="auto"/>
        </w:rPr>
      </w:pPr>
      <w:r>
        <w:rPr>
          <w:rFonts w:ascii="Times New Roman" w:cs="Times New Roman" w:eastAsia="Times New Roman" w:hAnsi="Times New Roman"/>
          <w:sz w:val="17"/>
          <w:szCs w:val="17"/>
          <w:color w:val="auto"/>
        </w:rPr>
        <w:t>expenses and other liabilities on the Statements of Financial Condition as applicable. The Company records its pro-rata share of the JVs’ earnings or losses within Other, net and fees related to the use of communication services provided by the telecommunications JV within Communications and data processing on the Condensed Consolidated Statements of Comprehensive Income.</w:t>
      </w:r>
    </w:p>
    <w:p>
      <w:pPr>
        <w:spacing w:after="0" w:line="190" w:lineRule="exact"/>
        <w:rPr>
          <w:sz w:val="20"/>
          <w:szCs w:val="20"/>
          <w:color w:val="auto"/>
        </w:rPr>
      </w:pPr>
    </w:p>
    <w:p>
      <w:pPr>
        <w:ind w:right="220" w:firstLine="629"/>
        <w:spacing w:after="0" w:line="296" w:lineRule="auto"/>
        <w:rPr>
          <w:sz w:val="20"/>
          <w:szCs w:val="20"/>
          <w:color w:val="auto"/>
        </w:rPr>
      </w:pPr>
      <w:r>
        <w:rPr>
          <w:rFonts w:ascii="Times New Roman" w:cs="Times New Roman" w:eastAsia="Times New Roman" w:hAnsi="Times New Roman"/>
          <w:sz w:val="17"/>
          <w:szCs w:val="17"/>
          <w:color w:val="auto"/>
        </w:rPr>
        <w:t>The Company’s exposure to the obligations of these VIEs is generally limited to its interests in each respective JV, which is the carrying value of the equity investment in each JV.</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Company’s nonconsolidated VIEs at March 31, 2026:</w:t>
      </w:r>
    </w:p>
    <w:p>
      <w:pPr>
        <w:spacing w:after="0" w:line="296"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Maximum Exposure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6"/>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7"/>
                <w:szCs w:val="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VIEs' assets</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91,113</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91,113</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426,759</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Company’s nonconsolidated VIEs at December 31, 2025:</w:t>
      </w:r>
    </w:p>
    <w:p>
      <w:pPr>
        <w:spacing w:after="0" w:line="349" w:lineRule="exact"/>
        <w:rPr>
          <w:sz w:val="20"/>
          <w:szCs w:val="20"/>
          <w:color w:val="auto"/>
        </w:rPr>
      </w:pPr>
    </w:p>
    <w:tbl>
      <w:tblPr>
        <w:tblLayout w:type="fixed"/>
        <w:tblInd w:w="14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8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Maximum Exposure</w:t>
            </w: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3"/>
                <w:szCs w:val="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Asset</w:t>
            </w: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Liability</w:t>
            </w: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VIEs' assets</w:t>
            </w:r>
          </w:p>
        </w:tc>
        <w:tc>
          <w:tcPr>
            <w:tcW w:w="0" w:type="dxa"/>
            <w:vAlign w:val="bottom"/>
          </w:tcPr>
          <w:p>
            <w:pPr>
              <w:spacing w:after="0"/>
              <w:rPr>
                <w:sz w:val="1"/>
                <w:szCs w:val="1"/>
                <w:color w:val="auto"/>
              </w:rPr>
            </w:pPr>
          </w:p>
        </w:tc>
      </w:tr>
      <w:tr>
        <w:trPr>
          <w:trHeight w:val="190"/>
        </w:trPr>
        <w:tc>
          <w:tcPr>
            <w:tcW w:w="4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to Loss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investment</w:t>
            </w:r>
          </w:p>
        </w:tc>
        <w:tc>
          <w:tcPr>
            <w:tcW w:w="880" w:type="dxa"/>
            <w:vAlign w:val="bottom"/>
            <w:tcBorders>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92,127</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92,127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422,006</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The Company formed a JV to support the growth and expansion of a multi-asset request-for-quote communication platform in 2022. Upon the formation of the JV, the Company held a 51% controlling interest. The JV met the criteria to be considered a VIE, and based on the standard for control set forth above, the Company consolidated this entity and recorded the interest that the Company did not own as noncontrolling interest in the Condensed Consolidated Financial Statements. On May 9, 2025, the Company completed the sale of a 49% interest in the multi-asset request-for-quote communication platform JV. Upon the closing of the sale, the Company retains a minority interest of approximately 2% in RFQ-hub. The Company ceased to control, and deconsolidated, RFQ-hub at such time. See Note 3 “Sale of RFQ-hub” for further details.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Revenues from Contracts with Customers</w:t>
      </w:r>
    </w:p>
    <w:p>
      <w:pPr>
        <w:spacing w:after="0" w:line="252" w:lineRule="exact"/>
        <w:rPr>
          <w:sz w:val="20"/>
          <w:szCs w:val="20"/>
          <w:color w:val="auto"/>
        </w:rPr>
      </w:pPr>
    </w:p>
    <w:p>
      <w:pPr>
        <w:ind w:right="100" w:firstLine="629"/>
        <w:spacing w:after="0" w:line="296" w:lineRule="auto"/>
        <w:rPr>
          <w:sz w:val="20"/>
          <w:szCs w:val="20"/>
          <w:color w:val="auto"/>
        </w:rPr>
      </w:pPr>
      <w:r>
        <w:rPr>
          <w:rFonts w:ascii="Times New Roman" w:cs="Times New Roman" w:eastAsia="Times New Roman" w:hAnsi="Times New Roman"/>
          <w:sz w:val="17"/>
          <w:szCs w:val="17"/>
          <w:color w:val="auto"/>
        </w:rPr>
        <w:t>For more information on revenue recognition and the nature of services provided, see Note 2 “Summary of Significant Accounting Policies” and Note 14 “Revenues from Contracts with Customers” to the Consolidated Financial Statements of the Company’s 2025 Annual Report on Form 10-K.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Disaggregation of Revenues</w:t>
      </w:r>
    </w:p>
    <w:p>
      <w:pPr>
        <w:spacing w:after="0" w:line="252" w:lineRule="exact"/>
        <w:rPr>
          <w:sz w:val="20"/>
          <w:szCs w:val="20"/>
          <w:color w:val="auto"/>
        </w:rPr>
      </w:pPr>
    </w:p>
    <w:p>
      <w:pPr>
        <w:ind w:right="46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tables present the Company’s revenue from contracts with customers disaggregated by service, and timing of revenue recognition, reconciled to the Company’s segments, 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31" w:name="page32"/>
    <w:bookmarkEnd w:id="31"/>
    <w:tbl>
      <w:tblPr>
        <w:tblLayout w:type="fixed"/>
        <w:tblInd w:w="64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Pr>
          <w:p>
            <w:pPr>
              <w:spacing w:after="0"/>
              <w:rPr>
                <w:sz w:val="15"/>
                <w:szCs w:val="15"/>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4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15"/>
                <w:szCs w:val="15"/>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140,595</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149,270</w:t>
            </w:r>
          </w:p>
        </w:tc>
        <w:tc>
          <w:tcPr>
            <w:tcW w:w="0" w:type="dxa"/>
            <w:vAlign w:val="bottom"/>
          </w:tcPr>
          <w:p>
            <w:pPr>
              <w:spacing w:after="0"/>
              <w:rPr>
                <w:sz w:val="1"/>
                <w:szCs w:val="1"/>
                <w:color w:val="auto"/>
              </w:rPr>
            </w:pPr>
          </w:p>
        </w:tc>
      </w:tr>
      <w:tr>
        <w:trPr>
          <w:trHeight w:val="204"/>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27,830</w:t>
            </w:r>
          </w:p>
        </w:tc>
        <w:tc>
          <w:tcPr>
            <w:tcW w:w="0" w:type="dxa"/>
            <w:vAlign w:val="bottom"/>
          </w:tcPr>
          <w:p>
            <w:pPr>
              <w:spacing w:after="0"/>
              <w:rPr>
                <w:sz w:val="1"/>
                <w:szCs w:val="1"/>
                <w:color w:val="auto"/>
              </w:rPr>
            </w:pPr>
          </w:p>
        </w:tc>
      </w:tr>
      <w:tr>
        <w:trPr>
          <w:trHeight w:val="190"/>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9,525</w:t>
            </w:r>
          </w:p>
        </w:tc>
        <w:tc>
          <w:tcPr>
            <w:tcW w:w="0" w:type="dxa"/>
            <w:vAlign w:val="bottom"/>
          </w:tcPr>
          <w:p>
            <w:pPr>
              <w:spacing w:after="0"/>
              <w:rPr>
                <w:sz w:val="1"/>
                <w:szCs w:val="1"/>
                <w:color w:val="auto"/>
              </w:rPr>
            </w:pPr>
          </w:p>
        </w:tc>
      </w:tr>
      <w:tr>
        <w:trPr>
          <w:trHeight w:val="196"/>
        </w:trPr>
        <w:tc>
          <w:tcPr>
            <w:tcW w:w="410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8,675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177,950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186,625</w:t>
            </w:r>
          </w:p>
        </w:tc>
        <w:tc>
          <w:tcPr>
            <w:tcW w:w="0" w:type="dxa"/>
            <w:vAlign w:val="bottom"/>
          </w:tcPr>
          <w:p>
            <w:pPr>
              <w:spacing w:after="0"/>
              <w:rPr>
                <w:sz w:val="1"/>
                <w:szCs w:val="1"/>
                <w:color w:val="auto"/>
              </w:rPr>
            </w:pPr>
          </w:p>
        </w:tc>
      </w:tr>
      <w:tr>
        <w:trPr>
          <w:trHeight w:val="262"/>
        </w:trPr>
        <w:tc>
          <w:tcPr>
            <w:tcW w:w="4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907,022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(7,501)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908,702</w:t>
            </w:r>
          </w:p>
        </w:tc>
        <w:tc>
          <w:tcPr>
            <w:tcW w:w="0" w:type="dxa"/>
            <w:vAlign w:val="bottom"/>
          </w:tcPr>
          <w:p>
            <w:pPr>
              <w:spacing w:after="0"/>
              <w:rPr>
                <w:sz w:val="1"/>
                <w:szCs w:val="1"/>
                <w:color w:val="auto"/>
              </w:rPr>
            </w:pPr>
          </w:p>
        </w:tc>
      </w:tr>
      <w:tr>
        <w:trPr>
          <w:trHeight w:val="262"/>
        </w:trPr>
        <w:tc>
          <w:tcPr>
            <w:tcW w:w="40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915,697</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187,131</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(7,501)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1,095,327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915,697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168,081</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ind w:left="720"/>
              <w:spacing w:after="0"/>
              <w:rPr>
                <w:sz w:val="20"/>
                <w:szCs w:val="20"/>
                <w:color w:val="auto"/>
              </w:rPr>
            </w:pPr>
            <w:r>
              <w:rPr>
                <w:rFonts w:ascii="Times New Roman" w:cs="Times New Roman" w:eastAsia="Times New Roman" w:hAnsi="Times New Roman"/>
                <w:sz w:val="14"/>
                <w:szCs w:val="14"/>
                <w:color w:val="auto"/>
              </w:rPr>
              <w:t>(7,501)</w:t>
            </w:r>
          </w:p>
        </w:tc>
        <w:tc>
          <w:tcPr>
            <w:tcW w:w="10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1,076,277</w:t>
            </w:r>
          </w:p>
        </w:tc>
        <w:tc>
          <w:tcPr>
            <w:tcW w:w="0" w:type="dxa"/>
            <w:vAlign w:val="bottom"/>
          </w:tcPr>
          <w:p>
            <w:pPr>
              <w:spacing w:after="0"/>
              <w:rPr>
                <w:sz w:val="1"/>
                <w:szCs w:val="1"/>
                <w:color w:val="auto"/>
              </w:rPr>
            </w:pPr>
          </w:p>
        </w:tc>
      </w:tr>
      <w:tr>
        <w:trPr>
          <w:trHeight w:val="197"/>
        </w:trPr>
        <w:tc>
          <w:tcPr>
            <w:tcW w:w="41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19,050</w:t>
            </w:r>
          </w:p>
        </w:tc>
        <w:tc>
          <w:tcPr>
            <w:tcW w:w="0" w:type="dxa"/>
            <w:vAlign w:val="bottom"/>
          </w:tcPr>
          <w:p>
            <w:pPr>
              <w:spacing w:after="0"/>
              <w:rPr>
                <w:sz w:val="1"/>
                <w:szCs w:val="1"/>
                <w:color w:val="auto"/>
              </w:rPr>
            </w:pPr>
          </w:p>
        </w:tc>
      </w:tr>
      <w:tr>
        <w:trPr>
          <w:trHeight w:val="196"/>
        </w:trPr>
        <w:tc>
          <w:tcPr>
            <w:tcW w:w="4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915,697</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187,131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(7,501)</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1,095,327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tbl>
      <w:tblPr>
        <w:tblLayout w:type="fixed"/>
        <w:tblInd w:w="64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1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00" w:type="dxa"/>
            <w:vAlign w:val="bottom"/>
          </w:tcPr>
          <w:p>
            <w:pPr>
              <w:spacing w:after="0"/>
              <w:rPr>
                <w:sz w:val="15"/>
                <w:szCs w:val="15"/>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24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20" w:type="dxa"/>
            <w:vAlign w:val="bottom"/>
          </w:tcPr>
          <w:p>
            <w:pPr>
              <w:spacing w:after="0"/>
              <w:rPr>
                <w:sz w:val="15"/>
                <w:szCs w:val="15"/>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Commissions,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97,434</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114,746</w:t>
            </w:r>
          </w:p>
        </w:tc>
        <w:tc>
          <w:tcPr>
            <w:tcW w:w="0" w:type="dxa"/>
            <w:vAlign w:val="bottom"/>
          </w:tcPr>
          <w:p>
            <w:pPr>
              <w:spacing w:after="0"/>
              <w:rPr>
                <w:sz w:val="1"/>
                <w:szCs w:val="1"/>
                <w:color w:val="auto"/>
              </w:rPr>
            </w:pPr>
          </w:p>
        </w:tc>
      </w:tr>
      <w:tr>
        <w:trPr>
          <w:trHeight w:val="204"/>
        </w:trPr>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Workflow technology</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27,071</w:t>
            </w:r>
          </w:p>
        </w:tc>
        <w:tc>
          <w:tcPr>
            <w:tcW w:w="0" w:type="dxa"/>
            <w:vAlign w:val="bottom"/>
          </w:tcPr>
          <w:p>
            <w:pPr>
              <w:spacing w:after="0"/>
              <w:rPr>
                <w:sz w:val="1"/>
                <w:szCs w:val="1"/>
                <w:color w:val="auto"/>
              </w:rPr>
            </w:pPr>
          </w:p>
        </w:tc>
      </w:tr>
      <w:tr>
        <w:trPr>
          <w:trHeight w:val="190"/>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Analytics</w:t>
            </w:r>
          </w:p>
        </w:tc>
        <w:tc>
          <w:tcPr>
            <w:tcW w:w="140" w:type="dxa"/>
            <w:vAlign w:val="bottom"/>
          </w:tcPr>
          <w:p>
            <w:pPr>
              <w:spacing w:after="0"/>
              <w:rPr>
                <w:sz w:val="16"/>
                <w:szCs w:val="16"/>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9,490</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 from contracts with customers</w:t>
            </w: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17,312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133,995</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151,307</w:t>
            </w:r>
          </w:p>
        </w:tc>
        <w:tc>
          <w:tcPr>
            <w:tcW w:w="0" w:type="dxa"/>
            <w:vAlign w:val="bottom"/>
          </w:tcPr>
          <w:p>
            <w:pPr>
              <w:spacing w:after="0"/>
              <w:rPr>
                <w:sz w:val="1"/>
                <w:szCs w:val="1"/>
                <w:color w:val="auto"/>
              </w:rPr>
            </w:pPr>
          </w:p>
        </w:tc>
      </w:tr>
      <w:tr>
        <w:trPr>
          <w:trHeight w:val="262"/>
        </w:trPr>
        <w:tc>
          <w:tcPr>
            <w:tcW w:w="4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Other sources of revenue</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673,860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5,689</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686,562</w:t>
            </w:r>
          </w:p>
        </w:tc>
        <w:tc>
          <w:tcPr>
            <w:tcW w:w="0" w:type="dxa"/>
            <w:vAlign w:val="bottom"/>
          </w:tcPr>
          <w:p>
            <w:pPr>
              <w:spacing w:after="0"/>
              <w:rPr>
                <w:sz w:val="1"/>
                <w:szCs w:val="1"/>
                <w:color w:val="auto"/>
              </w:rPr>
            </w:pPr>
          </w:p>
        </w:tc>
      </w:tr>
      <w:tr>
        <w:trPr>
          <w:trHeight w:val="262"/>
        </w:trPr>
        <w:tc>
          <w:tcPr>
            <w:tcW w:w="4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12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691,172</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141,008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837,869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Services transferred at a point in time</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691,172</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123,068</w:t>
            </w:r>
          </w:p>
        </w:tc>
        <w:tc>
          <w:tcPr>
            <w:tcW w:w="100" w:type="dxa"/>
            <w:vAlign w:val="bottom"/>
          </w:tcPr>
          <w:p>
            <w:pPr>
              <w:spacing w:after="0"/>
              <w:rPr>
                <w:sz w:val="16"/>
                <w:szCs w:val="16"/>
                <w:color w:val="auto"/>
              </w:rPr>
            </w:pP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5,689</w:t>
            </w:r>
          </w:p>
        </w:tc>
        <w:tc>
          <w:tcPr>
            <w:tcW w:w="120" w:type="dxa"/>
            <w:vAlign w:val="bottom"/>
          </w:tcPr>
          <w:p>
            <w:pPr>
              <w:spacing w:after="0"/>
              <w:rPr>
                <w:sz w:val="16"/>
                <w:szCs w:val="16"/>
                <w:color w:val="auto"/>
              </w:rPr>
            </w:pP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819,929</w:t>
            </w:r>
          </w:p>
        </w:tc>
        <w:tc>
          <w:tcPr>
            <w:tcW w:w="0" w:type="dxa"/>
            <w:vAlign w:val="bottom"/>
          </w:tcPr>
          <w:p>
            <w:pPr>
              <w:spacing w:after="0"/>
              <w:rPr>
                <w:sz w:val="1"/>
                <w:szCs w:val="1"/>
                <w:color w:val="auto"/>
              </w:rPr>
            </w:pPr>
          </w:p>
        </w:tc>
      </w:tr>
      <w:tr>
        <w:trPr>
          <w:trHeight w:val="197"/>
        </w:trPr>
        <w:tc>
          <w:tcPr>
            <w:tcW w:w="41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Services transferred over time</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17,940</w:t>
            </w:r>
          </w:p>
        </w:tc>
        <w:tc>
          <w:tcPr>
            <w:tcW w:w="0" w:type="dxa"/>
            <w:vAlign w:val="bottom"/>
          </w:tcPr>
          <w:p>
            <w:pPr>
              <w:spacing w:after="0"/>
              <w:rPr>
                <w:sz w:val="1"/>
                <w:szCs w:val="1"/>
                <w:color w:val="auto"/>
              </w:rPr>
            </w:pPr>
          </w:p>
        </w:tc>
      </w:tr>
      <w:tr>
        <w:trPr>
          <w:trHeight w:val="196"/>
        </w:trPr>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691,172</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141,008</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5,689</w:t>
            </w:r>
          </w:p>
        </w:tc>
        <w:tc>
          <w:tcPr>
            <w:tcW w:w="12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837,869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Remaining Performance Obligations and Revenue Recognized from Past Performance Obligations</w:t>
      </w:r>
    </w:p>
    <w:p>
      <w:pPr>
        <w:spacing w:after="0" w:line="252" w:lineRule="exact"/>
        <w:rPr>
          <w:sz w:val="20"/>
          <w:szCs w:val="20"/>
          <w:color w:val="auto"/>
        </w:rPr>
      </w:pPr>
    </w:p>
    <w:p>
      <w:pPr>
        <w:ind w:right="780" w:firstLine="629"/>
        <w:spacing w:after="0" w:line="296" w:lineRule="auto"/>
        <w:rPr>
          <w:sz w:val="20"/>
          <w:szCs w:val="20"/>
          <w:color w:val="auto"/>
        </w:rPr>
      </w:pPr>
      <w:r>
        <w:rPr>
          <w:rFonts w:ascii="Times New Roman" w:cs="Times New Roman" w:eastAsia="Times New Roman" w:hAnsi="Times New Roman"/>
          <w:sz w:val="17"/>
          <w:szCs w:val="17"/>
          <w:color w:val="auto"/>
        </w:rPr>
        <w:t>As of March 31, 2026 and 2025, the aggregate amount of the transaction price allocated to the performance obligations relating to workflow technology and analytics revenues that are unsatisfied (or partially unsatisfied) was not material.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Assets and Contract Liabilities</w:t>
      </w:r>
    </w:p>
    <w:p>
      <w:pPr>
        <w:spacing w:after="0" w:line="252"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w:t>
      </w:r>
    </w:p>
    <w:p>
      <w:pPr>
        <w:spacing w:after="0" w:line="190" w:lineRule="exact"/>
        <w:rPr>
          <w:sz w:val="20"/>
          <w:szCs w:val="20"/>
          <w:color w:val="auto"/>
        </w:rPr>
      </w:pPr>
    </w:p>
    <w:p>
      <w:pPr>
        <w:ind w:right="200" w:firstLine="629"/>
        <w:spacing w:after="0" w:line="296" w:lineRule="auto"/>
        <w:rPr>
          <w:sz w:val="20"/>
          <w:szCs w:val="20"/>
          <w:color w:val="auto"/>
        </w:rPr>
      </w:pPr>
      <w:r>
        <w:rPr>
          <w:rFonts w:ascii="Times New Roman" w:cs="Times New Roman" w:eastAsia="Times New Roman" w:hAnsi="Times New Roman"/>
          <w:sz w:val="17"/>
          <w:szCs w:val="17"/>
          <w:color w:val="auto"/>
        </w:rPr>
        <w:t>Receivables related to revenues from contracts with customers amounted to $67.5 million and $64.5 million as of March 31, 2026 and December 31, 2025, respectively. The Company did not identify any contract assets. There were no impairment losses on receivables as of March 31, 2026.</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Deferred revenue primarily relates to deferred commissions allocated to analytics products and subscription fees billed</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93" w:right="359" w:bottom="1440" w:gutter="0" w:footer="0" w:header="0"/>
        </w:sectPr>
      </w:pPr>
    </w:p>
    <w:bookmarkStart w:id="32" w:name="page33"/>
    <w:bookmarkEnd w:id="32"/>
    <w:p>
      <w:pPr>
        <w:jc w:val="both"/>
        <w:ind w:right="120"/>
        <w:spacing w:after="0" w:line="276" w:lineRule="auto"/>
        <w:rPr>
          <w:sz w:val="20"/>
          <w:szCs w:val="20"/>
          <w:color w:val="auto"/>
        </w:rPr>
      </w:pPr>
      <w:r>
        <w:rPr>
          <w:rFonts w:ascii="Times New Roman" w:cs="Times New Roman" w:eastAsia="Times New Roman" w:hAnsi="Times New Roman"/>
          <w:sz w:val="17"/>
          <w:szCs w:val="17"/>
          <w:color w:val="auto"/>
        </w:rPr>
        <w:t>in advance of satisfying the performance obligations. Deferred revenue related to contracts with customers was $10.1 million and $9.2 million as of March 31, 2026 and December 31, 2025, respectively. The Company recognized the full amount of revenue during the three months ended March 31, 2026 and 2025, that had been recorded as deferred revenue in the respective prior year.</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has not identified any costs to obtain or fulfill its contracts under ASC 606.</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Income Taxes</w:t>
      </w:r>
    </w:p>
    <w:p>
      <w:pPr>
        <w:spacing w:after="0" w:line="239" w:lineRule="exact"/>
        <w:rPr>
          <w:sz w:val="20"/>
          <w:szCs w:val="20"/>
          <w:color w:val="auto"/>
        </w:rPr>
      </w:pPr>
    </w:p>
    <w:p>
      <w:pPr>
        <w:ind w:firstLine="629"/>
        <w:spacing w:after="0" w:line="244" w:lineRule="auto"/>
        <w:rPr>
          <w:sz w:val="20"/>
          <w:szCs w:val="20"/>
          <w:color w:val="auto"/>
        </w:rPr>
      </w:pPr>
      <w:r>
        <w:rPr>
          <w:rFonts w:ascii="Times New Roman" w:cs="Times New Roman" w:eastAsia="Times New Roman" w:hAnsi="Times New Roman"/>
          <w:sz w:val="17"/>
          <w:szCs w:val="17"/>
          <w:color w:val="auto"/>
        </w:rPr>
        <w:t>The Company is subject to U.S. federal, state and local income tax at the rate applicable to corporations for the share of income that is not attributable to the noncontrolling interest in Virtu Financial. These noncontrolling interests are subject to U.S. taxation at the partner level. Accordingly, for the three months ended March 31, 2026 and 2025, the income attributable to these noncontrolling interests was reported in the Condensed Consolidated Statements of Comprehensive Income, but the related U.S. income tax expense attributable to these noncontrolling interests was not reported by the Company as it is the obligation of the individual partners. The Company’s non-U.S. subsidiaries are subject to foreign income taxes in the jurisdictions in which they operate. The Company’s provisions for income taxes and effective tax rates were $63.0 million, and 15.4%, and $34.1 million, and 15.2% for the three months ended March 31, 2026 and 2025, respectively. Income tax expense is also affected by the differing effective tax rates in foreign, state and local jurisdictions where certain of the Company’s subsidiaries are subject to corporate taxation.</w:t>
      </w:r>
    </w:p>
    <w:p>
      <w:pPr>
        <w:spacing w:after="0" w:line="218"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Included in Other assets on the Condensed Consolidated Statements of Financial Condition at March 31, 2026 and December 31, 2025 are current income tax receivables of $2.1 million and $36.8 million, respectively. The balances at March 31, 2026 and December 31, 2025 primarily comprised prepayments of income tax and income tax benefits due to the Company from federal, state, local, and foreign tax jurisdictions based on income before taxes. Included in Accounts payable, accrued expenses and other liabilities on the Condensed Consolidated Statements of Financial Condition at March 31, 2026 and December 31, 2025 are current tax liabilities of $49.2 million and $37.8 million, respectively. The balances at March 31, 2026 and December 31, 2025 primarily comprise income taxes owed to federal, state and local, and foreign tax jurisdictions based on income before taxes.</w:t>
      </w:r>
    </w:p>
    <w:p>
      <w:pPr>
        <w:spacing w:after="0" w:line="198" w:lineRule="exact"/>
        <w:rPr>
          <w:sz w:val="20"/>
          <w:szCs w:val="20"/>
          <w:color w:val="auto"/>
        </w:rPr>
      </w:pPr>
    </w:p>
    <w:p>
      <w:pPr>
        <w:jc w:val="both"/>
        <w:ind w:right="560" w:firstLine="629"/>
        <w:spacing w:after="0" w:line="276" w:lineRule="auto"/>
        <w:rPr>
          <w:sz w:val="20"/>
          <w:szCs w:val="20"/>
          <w:color w:val="auto"/>
        </w:rPr>
      </w:pPr>
      <w:r>
        <w:rPr>
          <w:rFonts w:ascii="Times New Roman" w:cs="Times New Roman" w:eastAsia="Times New Roman" w:hAnsi="Times New Roman"/>
          <w:sz w:val="17"/>
          <w:szCs w:val="17"/>
          <w:color w:val="auto"/>
        </w:rPr>
        <w:t>Deferred income taxes arise primarily due to the amortization of the deferred tax assets recognized in connection with the IPO (see Note 5 “Tax Receivable Agreements”),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190" w:lineRule="exact"/>
        <w:rPr>
          <w:sz w:val="20"/>
          <w:szCs w:val="20"/>
          <w:color w:val="auto"/>
        </w:rPr>
      </w:pPr>
    </w:p>
    <w:p>
      <w:pPr>
        <w:ind w:right="100" w:firstLine="629"/>
        <w:spacing w:after="0" w:line="266" w:lineRule="auto"/>
        <w:rPr>
          <w:sz w:val="20"/>
          <w:szCs w:val="20"/>
          <w:color w:val="auto"/>
        </w:rPr>
      </w:pPr>
      <w:r>
        <w:rPr>
          <w:rFonts w:ascii="Times New Roman" w:cs="Times New Roman" w:eastAsia="Times New Roman" w:hAnsi="Times New Roman"/>
          <w:sz w:val="17"/>
          <w:szCs w:val="17"/>
          <w:color w:val="auto"/>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March 31, 2026 and December 31, 2025, the Company did not have any U.S. federal, state or local net operating loss carryforwards and therefore the Company did not record a deferred tax asset related to any federal net operating loss carryforwards.</w:t>
      </w:r>
    </w:p>
    <w:p>
      <w:pPr>
        <w:spacing w:after="0" w:line="200" w:lineRule="exact"/>
        <w:rPr>
          <w:sz w:val="20"/>
          <w:szCs w:val="20"/>
          <w:color w:val="auto"/>
        </w:rPr>
      </w:pPr>
    </w:p>
    <w:p>
      <w:pPr>
        <w:spacing w:after="0" w:line="210" w:lineRule="exact"/>
        <w:rPr>
          <w:sz w:val="20"/>
          <w:szCs w:val="20"/>
          <w:color w:val="auto"/>
        </w:rPr>
      </w:pPr>
    </w:p>
    <w:p>
      <w:pPr>
        <w:ind w:firstLine="629"/>
        <w:spacing w:after="0" w:line="268" w:lineRule="auto"/>
        <w:rPr>
          <w:sz w:val="20"/>
          <w:szCs w:val="20"/>
          <w:color w:val="auto"/>
        </w:rPr>
      </w:pPr>
      <w:r>
        <w:rPr>
          <w:rFonts w:ascii="Times New Roman" w:cs="Times New Roman" w:eastAsia="Times New Roman" w:hAnsi="Times New Roman"/>
          <w:sz w:val="17"/>
          <w:szCs w:val="17"/>
          <w:color w:val="auto"/>
        </w:rPr>
        <w:t>The Company has non-U.S. net operating losses at March 31, 2026 and December 31, 2025, of $42.1 million and $46.8 million, respectively, and has recorded related deferred tax assets of $7.0 million and $7.9 million, respectively. A full valuation allowance was recorded against these deferred tax assets at March 31, 2026 and December 31, 2025 as it is more likely than not that these deferred tax assets will not be realized. No valuation allowance against the remaining deferred taxes was recorded as of March 31, 2026 and December 31, 2025 because it is more likely than not that these deferred tax assets will be fully realized.</w:t>
      </w:r>
    </w:p>
    <w:p>
      <w:pPr>
        <w:spacing w:after="0" w:line="200" w:lineRule="exact"/>
        <w:rPr>
          <w:sz w:val="20"/>
          <w:szCs w:val="20"/>
          <w:color w:val="auto"/>
        </w:rPr>
      </w:pPr>
    </w:p>
    <w:p>
      <w:pPr>
        <w:spacing w:after="0" w:line="210"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Company is subject to taxation in U.S. federal, state, local and foreign jurisdictions. As of March 31, 2026, the Company’s tax years for 2022 through 2024 and 2018 through 2024 are subject to examination by U.S. and non-U.S. tax authorities, respectively. In addition, the Company is subject to state and local income tax examinations in various jurisdictions for the tax years 2018 through 2024. The final outcome of these examinations is not yet determinable. However, the Company anticipates that adjustments related to these examinations, if any, will not result in a material change to its financial condition, results of operations and cash flows.</w:t>
      </w:r>
    </w:p>
    <w:p>
      <w:pPr>
        <w:spacing w:after="0" w:line="196" w:lineRule="exact"/>
        <w:rPr>
          <w:sz w:val="20"/>
          <w:szCs w:val="20"/>
          <w:color w:val="auto"/>
        </w:rPr>
      </w:pPr>
    </w:p>
    <w:p>
      <w:pPr>
        <w:ind w:right="480" w:firstLine="629"/>
        <w:spacing w:after="0" w:line="296" w:lineRule="auto"/>
        <w:rPr>
          <w:sz w:val="20"/>
          <w:szCs w:val="20"/>
          <w:color w:val="auto"/>
        </w:rPr>
      </w:pPr>
      <w:r>
        <w:rPr>
          <w:rFonts w:ascii="Times New Roman" w:cs="Times New Roman" w:eastAsia="Times New Roman" w:hAnsi="Times New Roman"/>
          <w:sz w:val="17"/>
          <w:szCs w:val="17"/>
          <w:color w:val="auto"/>
        </w:rPr>
        <w:t>The Company’s policy for recording interest and penalties associated with audits is to record such items as a component of income or loss before income taxes and noncontrolling interest. Penalties, if any, are recorded in Operations and</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3" w:name="page34"/>
    <w:bookmarkEnd w:id="33"/>
    <w:p>
      <w:pPr>
        <w:ind w:right="720"/>
        <w:spacing w:after="0" w:line="296" w:lineRule="auto"/>
        <w:rPr>
          <w:sz w:val="20"/>
          <w:szCs w:val="20"/>
          <w:color w:val="auto"/>
        </w:rPr>
      </w:pPr>
      <w:r>
        <w:rPr>
          <w:rFonts w:ascii="Times New Roman" w:cs="Times New Roman" w:eastAsia="Times New Roman" w:hAnsi="Times New Roman"/>
          <w:sz w:val="17"/>
          <w:szCs w:val="17"/>
          <w:color w:val="auto"/>
        </w:rPr>
        <w:t>administrative expense and interest received or paid is recorded in Other, net or Operations and administrative expense in the Condensed Consolidated Statements of Comprehensive Income, respectively.</w:t>
      </w:r>
    </w:p>
    <w:p>
      <w:pPr>
        <w:spacing w:after="0" w:line="173" w:lineRule="exact"/>
        <w:rPr>
          <w:sz w:val="20"/>
          <w:szCs w:val="20"/>
          <w:color w:val="auto"/>
        </w:rPr>
      </w:pPr>
    </w:p>
    <w:p>
      <w:pPr>
        <w:ind w:right="120" w:firstLine="629"/>
        <w:spacing w:after="0" w:line="276" w:lineRule="auto"/>
        <w:rPr>
          <w:sz w:val="20"/>
          <w:szCs w:val="20"/>
          <w:color w:val="auto"/>
        </w:rPr>
      </w:pPr>
      <w:r>
        <w:rPr>
          <w:rFonts w:ascii="Times New Roman" w:cs="Times New Roman" w:eastAsia="Times New Roman" w:hAnsi="Times New Roman"/>
          <w:sz w:val="17"/>
          <w:szCs w:val="17"/>
          <w:color w:val="auto"/>
        </w:rPr>
        <w:t>The Company had $19.4 million of unrecognized tax benefits as of March 31, 2026, all of which would affect the Company’s effective tax rate if recognized. The Company has determined that there are no uncertain tax positions that would have a material impact on the Company’s financial position as of March 31, 2026.</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Commitments, Contingencies and Guarantees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and Regulatory Proceedings</w:t>
      </w:r>
    </w:p>
    <w:p>
      <w:pPr>
        <w:spacing w:after="0" w:line="241" w:lineRule="exact"/>
        <w:rPr>
          <w:sz w:val="20"/>
          <w:szCs w:val="20"/>
          <w:color w:val="auto"/>
        </w:rPr>
      </w:pPr>
    </w:p>
    <w:p>
      <w:pPr>
        <w:ind w:firstLine="629"/>
        <w:spacing w:after="0" w:line="243" w:lineRule="auto"/>
        <w:rPr>
          <w:sz w:val="20"/>
          <w:szCs w:val="20"/>
          <w:color w:val="auto"/>
        </w:rPr>
      </w:pPr>
      <w:r>
        <w:rPr>
          <w:rFonts w:ascii="Times New Roman" w:cs="Times New Roman" w:eastAsia="Times New Roman" w:hAnsi="Times New Roman"/>
          <w:sz w:val="17"/>
          <w:szCs w:val="17"/>
          <w:color w:val="auto"/>
        </w:rPr>
        <w:t>In the ordinary course of business, the nature of the Company’s business subjects it to claims, lawsuits, regulatory examinations or investigations and other proceedings, any of which could result in the imposition of fines, penalties or other sanctions against the Company. The Company and its subsidiaries are subject to several of these matters at the present time. As previously disclosed in prior regulatory filings, the U.S. Securities and Exchange Commission (“SEC”) undertook an investigation of aspects of the Company’s internal information access barriers. The Company cooperated with this civil investigation and engaged in settlement discussions but was unable to reach a settlement. In September 2023, the SEC filed an action against the Company in federal court in the Southern District of New York, alleging violations of federal securities laws with respect to the Company’s information barriers policies and procedures for a specified time period in and around January 2018 to April 2019 and related statements made by the Company during such period. In December 2025, the matter was resolved as the Company voluntarily consented to the entry of a final order without admitting or denying the SEC’s allegations with respect to its policies and procedures. Pursuant to the order, the Company paid a penalty in the amount of $2.5 million and consented to an injunction with respect to violations of Section 15(g) of the Securities Exchange Act of 1934, while the SEC’s claims with respect to the Company’s statements were dismissed with prejudice.</w:t>
      </w:r>
    </w:p>
    <w:p>
      <w:pPr>
        <w:spacing w:after="0" w:line="208" w:lineRule="exact"/>
        <w:rPr>
          <w:sz w:val="20"/>
          <w:szCs w:val="20"/>
          <w:color w:val="auto"/>
        </w:rPr>
      </w:pPr>
    </w:p>
    <w:p>
      <w:pPr>
        <w:ind w:right="20" w:firstLine="629"/>
        <w:spacing w:after="0" w:line="242" w:lineRule="auto"/>
        <w:rPr>
          <w:sz w:val="20"/>
          <w:szCs w:val="20"/>
          <w:color w:val="auto"/>
        </w:rPr>
      </w:pPr>
      <w:r>
        <w:rPr>
          <w:rFonts w:ascii="Times New Roman" w:cs="Times New Roman" w:eastAsia="Times New Roman" w:hAnsi="Times New Roman"/>
          <w:sz w:val="17"/>
          <w:szCs w:val="17"/>
          <w:color w:val="auto"/>
        </w:rPr>
        <w:t xml:space="preserve">In matters related to the SEC investigation noted above, the Company and certain of its current and former executive officers were named as defendants on May 19, 2023 in </w:t>
      </w:r>
      <w:r>
        <w:rPr>
          <w:rFonts w:ascii="Times New Roman" w:cs="Times New Roman" w:eastAsia="Times New Roman" w:hAnsi="Times New Roman"/>
          <w:sz w:val="17"/>
          <w:szCs w:val="17"/>
          <w:i w:val="1"/>
          <w:iCs w:val="1"/>
          <w:color w:val="auto"/>
        </w:rPr>
        <w:t>Hiebert v. Virtu Financial, Inc.,</w:t>
      </w:r>
      <w:r>
        <w:rPr>
          <w:rFonts w:ascii="Times New Roman" w:cs="Times New Roman" w:eastAsia="Times New Roman" w:hAnsi="Times New Roman"/>
          <w:sz w:val="17"/>
          <w:szCs w:val="17"/>
          <w:color w:val="auto"/>
        </w:rPr>
        <w:t xml:space="preserve"> No. 23-cv-03770 and on October 31, 2023 in </w:t>
      </w:r>
      <w:r>
        <w:rPr>
          <w:rFonts w:ascii="Times New Roman" w:cs="Times New Roman" w:eastAsia="Times New Roman" w:hAnsi="Times New Roman"/>
          <w:sz w:val="17"/>
          <w:szCs w:val="17"/>
          <w:i w:val="1"/>
          <w:iCs w:val="1"/>
          <w:color w:val="auto"/>
        </w:rPr>
        <w:t>City of Birmingham Retirement and Relief System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v. Virtu Financial, Inc., </w:t>
      </w:r>
      <w:r>
        <w:rPr>
          <w:rFonts w:ascii="Times New Roman" w:cs="Times New Roman" w:eastAsia="Times New Roman" w:hAnsi="Times New Roman"/>
          <w:sz w:val="17"/>
          <w:szCs w:val="17"/>
          <w:color w:val="auto"/>
        </w:rPr>
        <w:t>No. 23-cv-08123. The complaints were each filed by purported stockholders in the Eastern District of New York on behalf of a putative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class and assert that the Company made materially false and misleading statements and omissions in its public filings in violation of federal securities laws. The complaints were subsequently consolidated and recaptioned in </w:t>
      </w:r>
      <w:r>
        <w:rPr>
          <w:rFonts w:ascii="Times New Roman" w:cs="Times New Roman" w:eastAsia="Times New Roman" w:hAnsi="Times New Roman"/>
          <w:sz w:val="17"/>
          <w:szCs w:val="17"/>
          <w:i w:val="1"/>
          <w:iCs w:val="1"/>
          <w:color w:val="auto"/>
        </w:rPr>
        <w:t>re Virtu Financial, Inc. Securities Litigation</w:t>
      </w:r>
      <w:r>
        <w:rPr>
          <w:rFonts w:ascii="Times New Roman" w:cs="Times New Roman" w:eastAsia="Times New Roman" w:hAnsi="Times New Roman"/>
          <w:sz w:val="17"/>
          <w:szCs w:val="17"/>
          <w:color w:val="auto"/>
        </w:rPr>
        <w:t xml:space="preserve">, No. 23-cv-03770. The Company believes the defendants have meritorious defenses against claims that its public disclosures were inadequate or misleading. The Company maintains that such disclosures were true and accurate and compliant with applicable law, and the defendants are defending themselves vigorously. The Company also has received requests for information related to the SEC investigation pursuant to Section 220 of the Delaware General Corporation Law from counsel for purported stockholders. On March 26, 2025, members of the Company’s Board of Directors and certain current and former executives were named in a derivative complaint in </w:t>
      </w:r>
      <w:r>
        <w:rPr>
          <w:rFonts w:ascii="Times New Roman" w:cs="Times New Roman" w:eastAsia="Times New Roman" w:hAnsi="Times New Roman"/>
          <w:sz w:val="17"/>
          <w:szCs w:val="17"/>
          <w:i w:val="1"/>
          <w:iCs w:val="1"/>
          <w:color w:val="auto"/>
        </w:rPr>
        <w:t>Adams 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Viola et al.</w:t>
      </w:r>
      <w:r>
        <w:rPr>
          <w:rFonts w:ascii="Times New Roman" w:cs="Times New Roman" w:eastAsia="Times New Roman" w:hAnsi="Times New Roman"/>
          <w:sz w:val="17"/>
          <w:szCs w:val="17"/>
          <w:color w:val="auto"/>
        </w:rPr>
        <w:t>, No. 1:25-cv-1688 filed on behalf of the Company in the Eastern District of New York in which it is asserted that the defendants breached fiduciary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duties to the Company related to the FS matter. A similar derivative complaint was filed on April 9, 2025 in </w:t>
      </w:r>
      <w:r>
        <w:rPr>
          <w:rFonts w:ascii="Times New Roman" w:cs="Times New Roman" w:eastAsia="Times New Roman" w:hAnsi="Times New Roman"/>
          <w:sz w:val="17"/>
          <w:szCs w:val="17"/>
          <w:i w:val="1"/>
          <w:iCs w:val="1"/>
          <w:color w:val="auto"/>
        </w:rPr>
        <w:t>Deisz v. Viola et al.</w:t>
      </w:r>
      <w:r>
        <w:rPr>
          <w:rFonts w:ascii="Times New Roman" w:cs="Times New Roman" w:eastAsia="Times New Roman" w:hAnsi="Times New Roman"/>
          <w:sz w:val="17"/>
          <w:szCs w:val="17"/>
          <w:color w:val="auto"/>
        </w:rPr>
        <w:t xml:space="preserve">, 25-CV-1958 in the Eastern District of New York against current and former members of the Board of Directors and executives. The derivative complaints were subsequently consolidated and recaptioned </w:t>
      </w:r>
      <w:r>
        <w:rPr>
          <w:rFonts w:ascii="Times New Roman" w:cs="Times New Roman" w:eastAsia="Times New Roman" w:hAnsi="Times New Roman"/>
          <w:sz w:val="17"/>
          <w:szCs w:val="17"/>
          <w:i w:val="1"/>
          <w:iCs w:val="1"/>
          <w:color w:val="auto"/>
        </w:rPr>
        <w:t>In re Virtu Financial Inc. Derivative Litigation</w:t>
      </w:r>
      <w:r>
        <w:rPr>
          <w:rFonts w:ascii="Times New Roman" w:cs="Times New Roman" w:eastAsia="Times New Roman" w:hAnsi="Times New Roman"/>
          <w:sz w:val="17"/>
          <w:szCs w:val="17"/>
          <w:color w:val="auto"/>
        </w:rPr>
        <w:t xml:space="preserve">. On December 11, 2025, a complaint making similar allegations against current and former directors and officers, captioned </w:t>
      </w:r>
      <w:r>
        <w:rPr>
          <w:rFonts w:ascii="Times New Roman" w:cs="Times New Roman" w:eastAsia="Times New Roman" w:hAnsi="Times New Roman"/>
          <w:sz w:val="17"/>
          <w:szCs w:val="17"/>
          <w:i w:val="1"/>
          <w:iCs w:val="1"/>
          <w:color w:val="auto"/>
        </w:rPr>
        <w:t>Curti v. Viola et al.,</w:t>
      </w:r>
      <w:r>
        <w:rPr>
          <w:rFonts w:ascii="Times New Roman" w:cs="Times New Roman" w:eastAsia="Times New Roman" w:hAnsi="Times New Roman"/>
          <w:sz w:val="17"/>
          <w:szCs w:val="17"/>
          <w:color w:val="auto"/>
        </w:rPr>
        <w:t xml:space="preserve"> No. 2025-1441-KSJM, was filed in Delaware Chancery Court. The defendants in these cases deny that they breached any fiduciary duties related to the FS matter and are defending themselves vigorously.</w:t>
      </w:r>
    </w:p>
    <w:p>
      <w:pPr>
        <w:spacing w:after="0" w:line="211" w:lineRule="exact"/>
        <w:rPr>
          <w:sz w:val="20"/>
          <w:szCs w:val="20"/>
          <w:color w:val="auto"/>
        </w:rPr>
      </w:pPr>
    </w:p>
    <w:p>
      <w:pPr>
        <w:ind w:right="40" w:firstLine="629"/>
        <w:spacing w:after="0" w:line="248" w:lineRule="auto"/>
        <w:rPr>
          <w:sz w:val="20"/>
          <w:szCs w:val="20"/>
          <w:color w:val="auto"/>
        </w:rPr>
      </w:pPr>
      <w:r>
        <w:rPr>
          <w:rFonts w:ascii="Times New Roman" w:cs="Times New Roman" w:eastAsia="Times New Roman" w:hAnsi="Times New Roman"/>
          <w:sz w:val="17"/>
          <w:szCs w:val="17"/>
          <w:color w:val="auto"/>
        </w:rPr>
        <w:t xml:space="preserve">On November 30, 2020, the Company was named as a defendant in </w:t>
      </w:r>
      <w:r>
        <w:rPr>
          <w:rFonts w:ascii="Times New Roman" w:cs="Times New Roman" w:eastAsia="Times New Roman" w:hAnsi="Times New Roman"/>
          <w:sz w:val="17"/>
          <w:szCs w:val="17"/>
          <w:i w:val="1"/>
          <w:iCs w:val="1"/>
          <w:color w:val="auto"/>
        </w:rPr>
        <w:t>In re United States Oil Fund, LP Securities Litigation</w:t>
      </w:r>
      <w:r>
        <w:rPr>
          <w:rFonts w:ascii="Times New Roman" w:cs="Times New Roman" w:eastAsia="Times New Roman" w:hAnsi="Times New Roman"/>
          <w:sz w:val="17"/>
          <w:szCs w:val="17"/>
          <w:color w:val="auto"/>
        </w:rPr>
        <w:t>, No. 20-cv-4740. The consolidated amended complaint was filed in federal district court in New York on behalf of a putative class, and asserts claims against the Company and numerous other financial institutions under Section 11 of the Securities Act of 1933 in connection with trading in United States Oil Fund, LP, a crude oil ETF. The complaint also names the ETF, its sponsor, and related individuals as defendants. The complaint did not specify the amount of alleged damages. Defendants moved to dismiss the consolidated amended complaint on January 29, 2021; the motion was granted on September 29, 2025. In November, 2025, the plaintiffs moved for leave to file a proposed second amended complaint, briefing was completed on the motion and it is currently pending before the court. The Company believes that the claims are without merit and plans to continue defending itself vigorously if necessary.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34" w:name="page35"/>
    <w:bookmarkEnd w:id="34"/>
    <w:p>
      <w:pPr>
        <w:ind w:firstLine="629"/>
        <w:spacing w:after="0" w:line="244" w:lineRule="auto"/>
        <w:rPr>
          <w:sz w:val="20"/>
          <w:szCs w:val="20"/>
          <w:color w:val="auto"/>
        </w:rPr>
      </w:pPr>
      <w:r>
        <w:rPr>
          <w:rFonts w:ascii="Times New Roman" w:cs="Times New Roman" w:eastAsia="Times New Roman" w:hAnsi="Times New Roman"/>
          <w:sz w:val="17"/>
          <w:szCs w:val="17"/>
          <w:color w:val="auto"/>
        </w:rPr>
        <w:t xml:space="preserve">On March 7, 2022, the Company was named as a defendant in </w:t>
      </w:r>
      <w:r>
        <w:rPr>
          <w:rFonts w:ascii="Times New Roman" w:cs="Times New Roman" w:eastAsia="Times New Roman" w:hAnsi="Times New Roman"/>
          <w:sz w:val="17"/>
          <w:szCs w:val="17"/>
          <w:i w:val="1"/>
          <w:iCs w:val="1"/>
          <w:color w:val="auto"/>
        </w:rPr>
        <w:t>Iron Workers Local No. 55 Pension Fund v. Virtu Financial, Inc.</w:t>
      </w:r>
      <w:r>
        <w:rPr>
          <w:rFonts w:ascii="Times New Roman" w:cs="Times New Roman" w:eastAsia="Times New Roman" w:hAnsi="Times New Roman"/>
          <w:sz w:val="17"/>
          <w:szCs w:val="17"/>
          <w:color w:val="auto"/>
        </w:rPr>
        <w:t xml:space="preserve">, No. 2022-0211-PAF pending in the Court of Chancery of the State of Delaware. The complaint (the 220 Complaint”), filed by a purported stockholder, seeks to compel the inspection of certain Company books and records pursuant to Section 220 of the Delaware General Corporation Law. The 220 Complaint alleged that the stockholder sought Company information to investigate (a) whether wrongdoing or mismanagement occurred in connection with distributions made to the partners of Virtu Financial pursuant to the Company’s Up-C corporate structure; (b) the independence and disinterestedness of the Company’s directors and/or officers and whether the directors breached their fiduciary duties; and (c) potential damages relating thereto. The Company made substantial productions of documents and other information in response to plaintiff's requests. In January 2025, the plaintiff voluntarily dismissed the 220 Complaint and filed a complaint in the Court of Chancery of the State of Delaware naming the Company and its directors, officers, and controlling stockholder as defendants, captioned </w:t>
      </w:r>
      <w:r>
        <w:rPr>
          <w:rFonts w:ascii="Times New Roman" w:cs="Times New Roman" w:eastAsia="Times New Roman" w:hAnsi="Times New Roman"/>
          <w:sz w:val="17"/>
          <w:szCs w:val="17"/>
          <w:i w:val="1"/>
          <w:iCs w:val="1"/>
          <w:color w:val="auto"/>
        </w:rPr>
        <w:t>Iron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Workers Local No. 55 Pension Fund v. Viola et al.</w:t>
      </w:r>
      <w:r>
        <w:rPr>
          <w:rFonts w:ascii="Times New Roman" w:cs="Times New Roman" w:eastAsia="Times New Roman" w:hAnsi="Times New Roman"/>
          <w:sz w:val="17"/>
          <w:szCs w:val="17"/>
          <w:color w:val="auto"/>
        </w:rPr>
        <w:t>, No. 2025-0058-JTL, alleging breaches of fiduciary duties which purportedly have caused harm to holders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Company’s Class A common stock. The defendants in these cases deny they breached their fiduciary duties and are defending themselves vigorously.</w:t>
      </w:r>
    </w:p>
    <w:p>
      <w:pPr>
        <w:spacing w:after="0" w:line="200" w:lineRule="exact"/>
        <w:rPr>
          <w:sz w:val="20"/>
          <w:szCs w:val="20"/>
          <w:color w:val="auto"/>
        </w:rPr>
      </w:pPr>
    </w:p>
    <w:p>
      <w:pPr>
        <w:ind w:right="80" w:firstLine="629"/>
        <w:spacing w:after="0" w:line="248" w:lineRule="auto"/>
        <w:rPr>
          <w:sz w:val="20"/>
          <w:szCs w:val="20"/>
          <w:color w:val="auto"/>
        </w:rPr>
      </w:pPr>
      <w:r>
        <w:rPr>
          <w:rFonts w:ascii="Times New Roman" w:cs="Times New Roman" w:eastAsia="Times New Roman" w:hAnsi="Times New Roman"/>
          <w:sz w:val="17"/>
          <w:szCs w:val="17"/>
          <w:color w:val="auto"/>
        </w:rPr>
        <w:t xml:space="preserve">On October 17, 2022, the Company’s subsidiary, along with several other parties, was named as a defendant in </w:t>
      </w:r>
      <w:r>
        <w:rPr>
          <w:rFonts w:ascii="Times New Roman" w:cs="Times New Roman" w:eastAsia="Times New Roman" w:hAnsi="Times New Roman"/>
          <w:sz w:val="17"/>
          <w:szCs w:val="17"/>
          <w:i w:val="1"/>
          <w:iCs w:val="1"/>
          <w:color w:val="auto"/>
        </w:rPr>
        <w:t>Mallinckrodt PLC, et al. (Reorganized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Debtors); Opioid Master Disbursement Trust II v. Argos Capital Appreciation Master Fund LP et al </w:t>
      </w:r>
      <w:r>
        <w:rPr>
          <w:rFonts w:ascii="Times New Roman" w:cs="Times New Roman" w:eastAsia="Times New Roman" w:hAnsi="Times New Roman"/>
          <w:sz w:val="17"/>
          <w:szCs w:val="17"/>
          <w:color w:val="auto"/>
        </w:rPr>
        <w:t>No. 20-12522. The complaint alleges that Mallinckrodt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PLC engaged in a share repurchase program from 2015 through 2018 pursuant to which it repurchased its own shares in various open market transactions, a period during which it was allegedly insolvent. The debtor plaintiff is seeking to unwind the transactions consummated under the program, alleging such transactions constituted fraudulent transfers by the debtor. The Company believes it has meritorious defenses against any unwinding of transactions, and the court granted its motion to dismiss in March 2025. The debtor plaintiff appealed the dismissal to the United States District Court for the District of Delaware, and the district court affirmed the bankruptcy court’s dismissal in November 2025.</w:t>
      </w:r>
    </w:p>
    <w:p>
      <w:pPr>
        <w:spacing w:after="0" w:line="197" w:lineRule="exact"/>
        <w:rPr>
          <w:sz w:val="20"/>
          <w:szCs w:val="20"/>
          <w:color w:val="auto"/>
        </w:rPr>
      </w:pPr>
    </w:p>
    <w:p>
      <w:pPr>
        <w:ind w:firstLine="629"/>
        <w:spacing w:after="0" w:line="243" w:lineRule="auto"/>
        <w:rPr>
          <w:sz w:val="20"/>
          <w:szCs w:val="20"/>
          <w:color w:val="auto"/>
        </w:rPr>
      </w:pPr>
      <w:r>
        <w:rPr>
          <w:rFonts w:ascii="Times New Roman" w:cs="Times New Roman" w:eastAsia="Times New Roman" w:hAnsi="Times New Roman"/>
          <w:sz w:val="17"/>
          <w:szCs w:val="17"/>
          <w:color w:val="auto"/>
        </w:rPr>
        <w:t>On December 1, 2022, the Company’s subsidiary, along with several other parties, was named as a defendant in N</w:t>
      </w:r>
      <w:r>
        <w:rPr>
          <w:rFonts w:ascii="Times New Roman" w:cs="Times New Roman" w:eastAsia="Times New Roman" w:hAnsi="Times New Roman"/>
          <w:sz w:val="17"/>
          <w:szCs w:val="17"/>
          <w:i w:val="1"/>
          <w:iCs w:val="1"/>
          <w:color w:val="auto"/>
        </w:rPr>
        <w:t>orthwest Biotherapeutics, Inc. 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Canaccord Genuity LLC, et al </w:t>
      </w:r>
      <w:r>
        <w:rPr>
          <w:rFonts w:ascii="Times New Roman" w:cs="Times New Roman" w:eastAsia="Times New Roman" w:hAnsi="Times New Roman"/>
          <w:sz w:val="17"/>
          <w:szCs w:val="17"/>
          <w:color w:val="auto"/>
        </w:rPr>
        <w:t>No. 1:22-cv-10185, filed in United States District Court in the Southern District of New York. The initial complaint alleged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defendants engaged in market manipulation in the plaintiff’s stock during a period from 2018 to 2022. A first amended complaint was filed on April 10, 2023, bringing substantially the same allegations as the initial complaint. The first amended complaint was dismissed with leave to amend on February 14, 2024. Plaintiff filed a second amended complaint on March 18, 2024. Neither the operative complaint nor prior iterations specify the amount of alleged damages. On March 27, 2025, the district court partially granted the defendants’ motion to dismiss. On November 14, 2025, the Company’s subsidiary, along with another market maker, was named as a defendant in </w:t>
      </w:r>
      <w:r>
        <w:rPr>
          <w:rFonts w:ascii="Times New Roman" w:cs="Times New Roman" w:eastAsia="Times New Roman" w:hAnsi="Times New Roman"/>
          <w:sz w:val="17"/>
          <w:szCs w:val="17"/>
          <w:i w:val="1"/>
          <w:iCs w:val="1"/>
          <w:color w:val="auto"/>
        </w:rPr>
        <w:t>Genius Group Limited v. Citadel Securities LLC, et al</w:t>
      </w:r>
      <w:r>
        <w:rPr>
          <w:rFonts w:ascii="Times New Roman" w:cs="Times New Roman" w:eastAsia="Times New Roman" w:hAnsi="Times New Roman"/>
          <w:sz w:val="17"/>
          <w:szCs w:val="17"/>
          <w:color w:val="auto"/>
        </w:rPr>
        <w:t xml:space="preserve"> No. 1:25-CV-09546, filed in United States District Court in the Southern District of New York. The putative class action complaint alleges that defendants engaged in market manipulation of the plaintiff’s stock during a period from 2022 to 2025. On January 7, 2026, the Company, along with several other parties, was named as a defendant in </w:t>
      </w:r>
      <w:r>
        <w:rPr>
          <w:rFonts w:ascii="Times New Roman" w:cs="Times New Roman" w:eastAsia="Times New Roman" w:hAnsi="Times New Roman"/>
          <w:sz w:val="17"/>
          <w:szCs w:val="17"/>
          <w:i w:val="1"/>
          <w:iCs w:val="1"/>
          <w:color w:val="auto"/>
        </w:rPr>
        <w:t>Asia Broadband, Inc. v. Virtu</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Financial Inc. et al </w:t>
      </w:r>
      <w:r>
        <w:rPr>
          <w:rFonts w:ascii="Times New Roman" w:cs="Times New Roman" w:eastAsia="Times New Roman" w:hAnsi="Times New Roman"/>
          <w:sz w:val="17"/>
          <w:szCs w:val="17"/>
          <w:color w:val="auto"/>
        </w:rPr>
        <w:t>No. 2:26-cv-00175, filed in United States District Court in the Central District of California. The putative class action complaint alleges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defendants engaged in market manipulation of the plaintiff’s stock during a period from 2021 to 2025. The Company believes that all of these claims are without merit and is defending itself vigorously.</w:t>
      </w:r>
    </w:p>
    <w:p>
      <w:pPr>
        <w:spacing w:after="0" w:line="207" w:lineRule="exact"/>
        <w:rPr>
          <w:sz w:val="20"/>
          <w:szCs w:val="20"/>
          <w:color w:val="auto"/>
        </w:rPr>
      </w:pPr>
    </w:p>
    <w:p>
      <w:pPr>
        <w:ind w:right="60" w:firstLine="629"/>
        <w:spacing w:after="0" w:line="244" w:lineRule="auto"/>
        <w:rPr>
          <w:sz w:val="20"/>
          <w:szCs w:val="20"/>
          <w:color w:val="auto"/>
        </w:rPr>
      </w:pPr>
      <w:r>
        <w:rPr>
          <w:rFonts w:ascii="Times New Roman" w:cs="Times New Roman" w:eastAsia="Times New Roman" w:hAnsi="Times New Roman"/>
          <w:sz w:val="17"/>
          <w:szCs w:val="17"/>
          <w:color w:val="auto"/>
        </w:rPr>
        <w:t xml:space="preserve">On October 7, 2024, the Company and its 50% owned subsidiary, NLN Holdings, LLC, along with several other defendants, were named in a lawsuit brought by Skywave Networks, LLC in the United States District Court for the Northern District of Illinois, </w:t>
      </w:r>
      <w:r>
        <w:rPr>
          <w:rFonts w:ascii="Times New Roman" w:cs="Times New Roman" w:eastAsia="Times New Roman" w:hAnsi="Times New Roman"/>
          <w:sz w:val="17"/>
          <w:szCs w:val="17"/>
          <w:i w:val="1"/>
          <w:iCs w:val="1"/>
          <w:color w:val="auto"/>
        </w:rPr>
        <w:t>Skywave Networks, LLC v. DiSomma, et al.,</w:t>
      </w:r>
      <w:r>
        <w:rPr>
          <w:rFonts w:ascii="Times New Roman" w:cs="Times New Roman" w:eastAsia="Times New Roman" w:hAnsi="Times New Roman"/>
          <w:sz w:val="17"/>
          <w:szCs w:val="17"/>
          <w:color w:val="auto"/>
        </w:rPr>
        <w:t xml:space="preserve"> 1:24-cv-09650 (N.D.Ill.). The complaint alleges that defendants engaged in violations of federal law, 18 U.S.C. sec. 1962, in connection with the application for and utilization of various licenses issued by the Federal Communications Commission, purportedly harming plaintiffs’ attempts to offer certain network communications capacity on a commercial basis. The complaint does not specify any amount of alleged damages. On February 13, 2025, the plaintiffs filed a First Amended Complaint which does not specify any amount of alleged damages. On December 2, 2025, the court granted the Company’s motion to dismiss the complaint. On December 31, 2025, the Plaintiffs filed a notice of appeal with the 7th Circuit Court of Appeals. The Company believes that the claims are without merit and intends to continue to defend itself vigorously.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853" w:right="399" w:bottom="1440" w:gutter="0" w:footer="0" w:header="0"/>
        </w:sectPr>
      </w:pPr>
    </w:p>
    <w:bookmarkStart w:id="35" w:name="page36"/>
    <w:bookmarkEnd w:id="35"/>
    <w:p>
      <w:pPr>
        <w:ind w:firstLine="629"/>
        <w:spacing w:after="0" w:line="243" w:lineRule="auto"/>
        <w:rPr>
          <w:sz w:val="20"/>
          <w:szCs w:val="20"/>
          <w:color w:val="auto"/>
        </w:rPr>
      </w:pPr>
      <w:r>
        <w:rPr>
          <w:rFonts w:ascii="Times New Roman" w:cs="Times New Roman" w:eastAsia="Times New Roman" w:hAnsi="Times New Roman"/>
          <w:sz w:val="17"/>
          <w:szCs w:val="17"/>
          <w:color w:val="auto"/>
        </w:rPr>
        <w:t>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and utilizes its judgment in accordance with applicable accounting standards in booking any associated estimated liability. It is not presently possible to determine the ultimate exposure to these matters and it is possible that the resolution of the outstanding matters will significantly exceed any estimated liabilities accrued by the Company. In addition, there are numerous factors that result in a greater degree of complexity in class-action lawsuits as compared to other types of litigation. There can be no assurance that these various legal proceedings will not significantly exceed any estimated liability accrued by the Company or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855"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i w:val="1"/>
          <w:iCs w:val="1"/>
          <w:color w:val="auto"/>
        </w:rPr>
        <w:t>Other Legal and Regulatory Matters</w:t>
      </w:r>
    </w:p>
    <w:p>
      <w:pPr>
        <w:spacing w:after="0" w:line="241" w:lineRule="exact"/>
        <w:rPr>
          <w:sz w:val="20"/>
          <w:szCs w:val="20"/>
          <w:color w:val="auto"/>
        </w:rPr>
      </w:pPr>
    </w:p>
    <w:p>
      <w:pPr>
        <w:ind w:right="20" w:firstLine="629"/>
        <w:spacing w:after="0" w:line="241" w:lineRule="auto"/>
        <w:rPr>
          <w:sz w:val="20"/>
          <w:szCs w:val="20"/>
          <w:color w:val="auto"/>
        </w:rPr>
      </w:pPr>
      <w:r>
        <w:rPr>
          <w:rFonts w:ascii="Times New Roman" w:cs="Times New Roman" w:eastAsia="Times New Roman" w:hAnsi="Times New Roman"/>
          <w:sz w:val="17"/>
          <w:szCs w:val="17"/>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increased 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alternative trading systems and off-exchange trading more generally, high frequency trading, short selling, market fragmentation, colocation, and access to market data feeds. In 2022 and 2023, the SEC under the prior administration proposed several rule changes focused on equity market structure reform, certain of which have been adopted, while others remain pending while others have been withdrawn. The SEC has recently (i) adopted rule amendments to minimum pricing increments under Rule 612 of Regulation NMS, access fee caps under Rule 610 of Regulation NMS, acceleration of the implementation of certain Market Data Infrastructure Rules, and an amendment to the odd-lot information definition adopted under the MDI rules (collectively referred to as the “tick size, access fees and infrastructure rule proposals”), which had a previous compliance date commencing in November 2025, and the compliance date for tick size and access fees rule changes have been delayed until November 2026, and the infrastructure rule proposal concerning odd lots has been delayed until May 2026, (ii) adopted amendments to Rule 605 of Regulation NMS, which had an initial compliance date on or about December 15, 2025 which has been postponed until August 1, 2026, and (iii) approved a funding model submitted by several exchanges in relation to the Consolidated Audit Trail (CAT) which provided for fee collection commencing in November 2024 but which was ultimately struck down by the 11th Circuit Court of Appeals. On March 16, 2026, the SEC approved a revised CAT funding model on a two-year limited basis. On March 25, 2026, a petition was filed in the 11th Circuit Court of Appeals for a review of the revised plan. On April 16, 2026, the SEC issued a concept release seeking public comment on the CAT as part of the SEC’s comprehensive review.</w:t>
      </w:r>
    </w:p>
    <w:p>
      <w:pPr>
        <w:spacing w:after="0" w:line="214" w:lineRule="exact"/>
        <w:rPr>
          <w:sz w:val="20"/>
          <w:szCs w:val="20"/>
          <w:color w:val="auto"/>
        </w:rPr>
      </w:pPr>
    </w:p>
    <w:p>
      <w:pPr>
        <w:ind w:right="40" w:firstLine="629"/>
        <w:spacing w:after="0" w:line="253" w:lineRule="auto"/>
        <w:rPr>
          <w:sz w:val="20"/>
          <w:szCs w:val="20"/>
          <w:color w:val="auto"/>
        </w:rPr>
      </w:pPr>
      <w:r>
        <w:rPr>
          <w:rFonts w:ascii="Times New Roman" w:cs="Times New Roman" w:eastAsia="Times New Roman" w:hAnsi="Times New Roman"/>
          <w:sz w:val="17"/>
          <w:szCs w:val="17"/>
          <w:color w:val="auto"/>
        </w:rPr>
        <w:t>In June of 2025, under Chair Atkins, the SEC withdrew the following previously pending proposals: (i) Proposed Rule 615 of Regulation NMS (i.e., the Order Competition Rule), (ii) Regulation Best Execution, (iii) a series of amendments to the definition of Exchange and Alternative Trading Systems (ATS),</w:t>
      </w:r>
    </w:p>
    <w:p>
      <w:pPr>
        <w:spacing w:after="0" w:line="1" w:lineRule="exact"/>
        <w:rPr>
          <w:sz w:val="20"/>
          <w:szCs w:val="20"/>
          <w:color w:val="auto"/>
        </w:rPr>
      </w:pPr>
    </w:p>
    <w:p>
      <w:pPr>
        <w:ind w:firstLine="5"/>
        <w:spacing w:after="0" w:line="241" w:lineRule="auto"/>
        <w:tabs>
          <w:tab w:leader="none" w:pos="2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proposed amendments to expand and update Regulation Systems Compliance and Integrity (SCI), and (v) a proposal to restrict volume based tiered pricing by equity exchanges in certain cases. Further, the FTC took steps to dismiss its appeal and accede to a vacatur of its previously announced final rule banning most non-compete clauses in employer-employee contracts. Other recent developments in law and regulation relating to digital assets and cryptocurrency include the adoption of the Guiding and Establishing National innovation for U.S. Stablecoins Act (the “GENIUS Act”) and the proposal of the Digital Asset Market Clarity Act (the “CLARITY Act”) and the “Responsible Financial Innovation Act of 2025” in the United States, and the adoption of the Markets in Crypto-Assets Regulation (MiCAR) in the EU. These remaining pending or potential rule changes in law, rule or regulation, to the extent adopted, along with those that have recently been adopted, could adversely affect the Company’s business or the Company’s industry, though may also have positive impacts. As indicated above, from time to time, the Company is the subject of requests for information and documents from the SEC, the Financial Industry Regulatory Authority (“FINRA”), state attorneys general, and other regulators and governmental authorities. It is the Company’s practice to cooperate and comply with the requests for information and documents. Additional information regarding legal and regulatory risks is described within the “Risk Factors” section under the sub header of “Legal and Regulatory Risks” in the Company’s Annual Report on Form 10-K for the year ended December 31, 2025.</w:t>
      </w:r>
    </w:p>
    <w:p>
      <w:pPr>
        <w:spacing w:after="0" w:line="218"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As indicated above, the Company is currently the subject of various regulatory reviews and investigations by state, federal and foreign regulators and SROs, including the SEC and FINRA. In some instances, these matters may result in a disciplinary action and/or a civil or administrative action. Further, as noted in the above Legal and Regulatory Proceedings section, there is inherent difficulty in predicting the outcome of regulatory examinations or investigations, and the Company cannot estimate losses or ranges of losses for these matters above what has already been accrued for.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Representations and Warranties; Indemnification Arrangements</w:t>
      </w:r>
    </w:p>
    <w:p>
      <w:pPr>
        <w:spacing w:after="0" w:line="254" w:lineRule="exact"/>
        <w:rPr>
          <w:sz w:val="20"/>
          <w:szCs w:val="20"/>
          <w:color w:val="auto"/>
        </w:rPr>
      </w:pPr>
    </w:p>
    <w:p>
      <w:pPr>
        <w:jc w:val="both"/>
        <w:ind w:right="540" w:firstLine="629"/>
        <w:spacing w:after="0" w:line="270" w:lineRule="auto"/>
        <w:rPr>
          <w:sz w:val="20"/>
          <w:szCs w:val="20"/>
          <w:color w:val="auto"/>
        </w:rPr>
      </w:pPr>
      <w:r>
        <w:rPr>
          <w:rFonts w:ascii="Times New Roman" w:cs="Times New Roman" w:eastAsia="Times New Roman" w:hAnsi="Times New Roman"/>
          <w:sz w:val="17"/>
          <w:szCs w:val="17"/>
          <w:color w:val="auto"/>
        </w:rPr>
        <w:t>In the normal course of its operations, the Company enters into contracts that contain a variety of representations and warranties in addition to indemnification obligations, including indemnification obligations in connection with the Acquisition of KCG and the ITG Acquisition. The Company’s maximum exposure under these arrangements is currently unknown, as such exposure could relate to claims not yet brought or events which have not yet occurred.</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7" w:name="page38"/>
    <w:bookmarkEnd w:id="37"/>
    <w:p>
      <w:pPr>
        <w:ind w:firstLine="629"/>
        <w:spacing w:after="0" w:line="267" w:lineRule="auto"/>
        <w:rPr>
          <w:sz w:val="20"/>
          <w:szCs w:val="20"/>
          <w:color w:val="auto"/>
        </w:rPr>
      </w:pPr>
      <w:r>
        <w:rPr>
          <w:rFonts w:ascii="Times New Roman" w:cs="Times New Roman" w:eastAsia="Times New Roman" w:hAnsi="Times New Roman"/>
          <w:sz w:val="17"/>
          <w:szCs w:val="17"/>
          <w:color w:val="auto"/>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claims.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Leases</w:t>
      </w:r>
    </w:p>
    <w:p>
      <w:pPr>
        <w:spacing w:after="0" w:line="252" w:lineRule="exact"/>
        <w:rPr>
          <w:sz w:val="20"/>
          <w:szCs w:val="20"/>
          <w:color w:val="auto"/>
        </w:rPr>
      </w:pPr>
    </w:p>
    <w:p>
      <w:pPr>
        <w:jc w:val="both"/>
        <w:ind w:right="160" w:firstLine="629"/>
        <w:spacing w:after="0" w:line="276" w:lineRule="auto"/>
        <w:rPr>
          <w:sz w:val="20"/>
          <w:szCs w:val="20"/>
          <w:color w:val="auto"/>
        </w:rPr>
      </w:pPr>
      <w:r>
        <w:rPr>
          <w:rFonts w:ascii="Times New Roman" w:cs="Times New Roman" w:eastAsia="Times New Roman" w:hAnsi="Times New Roman"/>
          <w:sz w:val="17"/>
          <w:szCs w:val="17"/>
          <w:color w:val="auto"/>
        </w:rPr>
        <w:t>The Company primarily enters into lessee arrangements for corporate office space, data centers, and technology equipment. For more information on lease accounting, see Note 2 “Summary of Significant Accounting Policies” and Note 17 “Leases” to the Consolidated Financial Statements of the Company’s 2025 Annual Report on Form 10-K.</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Lease assets and liabilities are summarized as follows:</w:t>
      </w:r>
    </w:p>
    <w:p>
      <w:pPr>
        <w:sectPr>
          <w:pgSz w:w="11900" w:h="16838" w:orient="portrait"/>
          <w:cols w:equalWidth="0" w:num="1">
            <w:col w:w="11240"/>
          </w:cols>
          <w:pgMar w:left="320" w:top="1103" w:right="339" w:bottom="1440" w:gutter="0" w:footer="0" w:header="0"/>
        </w:sectPr>
      </w:pPr>
    </w:p>
    <w:p>
      <w:pPr>
        <w:spacing w:after="0" w:line="2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Operating leases</w:t>
      </w:r>
    </w:p>
    <w:p>
      <w:pPr>
        <w:spacing w:after="0" w:line="35" w:lineRule="exact"/>
        <w:rPr>
          <w:sz w:val="20"/>
          <w:szCs w:val="20"/>
          <w:color w:val="auto"/>
        </w:rPr>
      </w:pPr>
    </w:p>
    <w:p>
      <w:pPr>
        <w:ind w:left="220" w:right="80"/>
        <w:spacing w:after="0" w:line="324" w:lineRule="auto"/>
        <w:rPr>
          <w:sz w:val="20"/>
          <w:szCs w:val="20"/>
          <w:color w:val="auto"/>
        </w:rPr>
      </w:pPr>
      <w:r>
        <w:rPr>
          <w:rFonts w:ascii="Times New Roman" w:cs="Times New Roman" w:eastAsia="Times New Roman" w:hAnsi="Times New Roman"/>
          <w:sz w:val="14"/>
          <w:szCs w:val="14"/>
          <w:color w:val="auto"/>
        </w:rPr>
        <w:t>Operating lease right-of-use assets Operating lease liabilities</w:t>
      </w:r>
    </w:p>
    <w:p>
      <w:pPr>
        <w:spacing w:after="0" w:line="22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Finance leases</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Property and equipment, at cost</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Accumulated depreciation</w:t>
      </w:r>
    </w:p>
    <w:p>
      <w:pPr>
        <w:spacing w:after="0" w:line="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Finance lease liabilities</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400" w:type="dxa"/>
            <w:vAlign w:val="bottom"/>
            <w:gridSpan w:val="2"/>
          </w:tcPr>
          <w:p>
            <w:pPr>
              <w:ind w:left="1260"/>
              <w:spacing w:after="0"/>
              <w:rPr>
                <w:sz w:val="20"/>
                <w:szCs w:val="20"/>
                <w:color w:val="auto"/>
              </w:rPr>
            </w:pPr>
            <w:r>
              <w:rPr>
                <w:rFonts w:ascii="Times New Roman" w:cs="Times New Roman" w:eastAsia="Times New Roman" w:hAnsi="Times New Roman"/>
                <w:sz w:val="14"/>
                <w:szCs w:val="14"/>
                <w:b w:val="1"/>
                <w:bCs w:val="1"/>
                <w:color w:val="auto"/>
              </w:rPr>
              <w:t>Financial Statement Location</w:t>
            </w:r>
          </w:p>
        </w:tc>
        <w:tc>
          <w:tcPr>
            <w:tcW w:w="26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20" w:type="dxa"/>
            <w:vAlign w:val="bottom"/>
          </w:tcPr>
          <w:p>
            <w:pPr>
              <w:spacing w:after="0"/>
              <w:rPr>
                <w:sz w:val="16"/>
                <w:szCs w:val="16"/>
                <w:color w:val="auto"/>
              </w:rPr>
            </w:pPr>
          </w:p>
        </w:tc>
        <w:tc>
          <w:tcPr>
            <w:tcW w:w="1640" w:type="dxa"/>
            <w:vAlign w:val="bottom"/>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4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363"/>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201,273</w:t>
            </w:r>
          </w:p>
        </w:tc>
        <w:tc>
          <w:tcPr>
            <w:tcW w:w="100" w:type="dxa"/>
            <w:vAlign w:val="bottom"/>
          </w:tcPr>
          <w:p>
            <w:pPr>
              <w:spacing w:after="0"/>
              <w:rPr>
                <w:sz w:val="24"/>
                <w:szCs w:val="24"/>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213,707</w:t>
            </w:r>
          </w:p>
        </w:tc>
      </w:tr>
      <w:tr>
        <w:trPr>
          <w:trHeight w:val="196"/>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247,500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261,169</w:t>
            </w:r>
          </w:p>
        </w:tc>
      </w:tr>
      <w:tr>
        <w:trPr>
          <w:trHeight w:val="655"/>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2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35,966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36,611</w:t>
            </w:r>
          </w:p>
        </w:tc>
      </w:tr>
      <w:tr>
        <w:trPr>
          <w:trHeight w:val="196"/>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equipment, and capitalized software, net</w:t>
            </w:r>
          </w:p>
        </w:tc>
        <w:tc>
          <w:tcPr>
            <w:tcW w:w="2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(17,703)</w:t>
            </w:r>
          </w:p>
        </w:tc>
      </w:tr>
      <w:tr>
        <w:trPr>
          <w:trHeight w:val="196"/>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17,951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-774700</wp:posOffset>
            </wp:positionV>
            <wp:extent cx="7028180" cy="1244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28180" cy="12446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-483235</wp:posOffset>
            </wp:positionV>
            <wp:extent cx="7028180" cy="1244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28180" cy="12446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-233680</wp:posOffset>
            </wp:positionV>
            <wp:extent cx="7028180" cy="1244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28180" cy="124460"/>
                    </a:xfrm>
                    <a:prstGeom prst="rect">
                      <a:avLst/>
                    </a:prstGeom>
                    <a:noFill/>
                  </pic:spPr>
                </pic:pic>
              </a:graphicData>
            </a:graphic>
          </wp:anchor>
        </w:drawing>
        <w:drawing>
          <wp:anchor simplePos="0" relativeHeight="251657728" behindDoc="1" locked="0" layoutInCell="0" allowOverlap="1">
            <wp:simplePos x="0" y="0"/>
            <wp:positionH relativeFrom="column">
              <wp:posOffset>-1818005</wp:posOffset>
            </wp:positionH>
            <wp:positionV relativeFrom="paragraph">
              <wp:posOffset>-1032510</wp:posOffset>
            </wp:positionV>
            <wp:extent cx="7028180" cy="1333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28180" cy="133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280"/>
          </w:cols>
          <w:pgMar w:left="320" w:top="1103" w:right="339" w:bottom="1440" w:gutter="0" w:footer="0" w:header="0"/>
          <w:type w:val="continuous"/>
        </w:sectPr>
      </w:pP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Weighted average remaining lease term and discount rate are as follows:</w:t>
      </w:r>
    </w:p>
    <w:p>
      <w:pPr>
        <w:spacing w:after="0" w:line="283" w:lineRule="exact"/>
        <w:rPr>
          <w:sz w:val="20"/>
          <w:szCs w:val="20"/>
          <w:color w:val="auto"/>
        </w:rPr>
      </w:pPr>
    </w:p>
    <w:tbl>
      <w:tblPr>
        <w:tblLayout w:type="fixed"/>
        <w:tblInd w:w="1440" w:type="dxa"/>
        <w:tblCellMar>
          <w:top w:w="0" w:type="dxa"/>
          <w:left w:w="0" w:type="dxa"/>
          <w:bottom w:w="0" w:type="dxa"/>
          <w:right w:w="0" w:type="dxa"/>
        </w:tblCellMar>
      </w:tblPr>
      <w:tr>
        <w:trPr>
          <w:trHeight w:val="184"/>
        </w:trPr>
        <w:tc>
          <w:tcPr>
            <w:tcW w:w="4300" w:type="dxa"/>
            <w:vAlign w:val="bottom"/>
          </w:tcPr>
          <w:p>
            <w:pPr>
              <w:spacing w:after="0"/>
              <w:rPr>
                <w:sz w:val="16"/>
                <w:szCs w:val="16"/>
                <w:color w:val="auto"/>
              </w:rPr>
            </w:pPr>
          </w:p>
        </w:tc>
        <w:tc>
          <w:tcPr>
            <w:tcW w:w="20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0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4300" w:type="dxa"/>
            <w:vAlign w:val="bottom"/>
            <w:tcBorders>
              <w:bottom w:val="single" w:sz="8" w:color="CCEEFF"/>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176"/>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1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r>
      <w:tr>
        <w:trPr>
          <w:trHeight w:val="189"/>
        </w:trPr>
        <w:tc>
          <w:tcPr>
            <w:tcW w:w="4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2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4.21 years</w:t>
            </w: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 years</w:t>
            </w:r>
          </w:p>
        </w:tc>
      </w:tr>
      <w:tr>
        <w:trPr>
          <w:trHeight w:val="204"/>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Finance leases</w:t>
            </w:r>
          </w:p>
        </w:tc>
        <w:tc>
          <w:tcPr>
            <w:tcW w:w="2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2.37 years</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 years</w:t>
            </w:r>
          </w:p>
        </w:tc>
      </w:tr>
      <w:tr>
        <w:trPr>
          <w:trHeight w:val="189"/>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04"/>
        </w:trPr>
        <w:tc>
          <w:tcPr>
            <w:tcW w:w="4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Operating leases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5.94 %</w:t>
            </w:r>
          </w:p>
        </w:tc>
        <w:tc>
          <w:tcPr>
            <w:tcW w:w="10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5.95 %</w:t>
            </w:r>
          </w:p>
        </w:tc>
      </w:tr>
      <w:tr>
        <w:trPr>
          <w:trHeight w:val="182"/>
        </w:trPr>
        <w:tc>
          <w:tcPr>
            <w:tcW w:w="4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Finance leases</w:t>
            </w:r>
          </w:p>
        </w:tc>
        <w:tc>
          <w:tcPr>
            <w:tcW w:w="1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5.81 %</w:t>
            </w:r>
          </w:p>
        </w:tc>
        <w:tc>
          <w:tcPr>
            <w:tcW w:w="100" w:type="dxa"/>
            <w:vAlign w:val="bottom"/>
          </w:tcPr>
          <w:p>
            <w:pPr>
              <w:spacing w:after="0"/>
              <w:rPr>
                <w:sz w:val="15"/>
                <w:szCs w:val="15"/>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5.83 %</w:t>
            </w:r>
          </w:p>
        </w:tc>
      </w:tr>
    </w:tbl>
    <w:p>
      <w:pPr>
        <w:spacing w:after="0" w:line="3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components of lease expense are as follows:</w:t>
      </w:r>
    </w:p>
    <w:p>
      <w:pPr>
        <w:spacing w:after="0" w:line="283" w:lineRule="exact"/>
        <w:rPr>
          <w:sz w:val="20"/>
          <w:szCs w:val="20"/>
          <w:color w:val="auto"/>
        </w:rPr>
      </w:pPr>
    </w:p>
    <w:tbl>
      <w:tblPr>
        <w:tblLayout w:type="fixed"/>
        <w:tblInd w:w="190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60" w:type="dxa"/>
            <w:vAlign w:val="bottom"/>
            <w:gridSpan w:val="4"/>
          </w:tcPr>
          <w:p>
            <w:pPr>
              <w:jc w:val="right"/>
              <w:ind w:right="75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3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9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3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9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Fixed</w:t>
            </w: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18,528</w:t>
            </w:r>
          </w:p>
        </w:tc>
        <w:tc>
          <w:tcPr>
            <w:tcW w:w="120" w:type="dxa"/>
            <w:vAlign w:val="bottom"/>
          </w:tcPr>
          <w:p>
            <w:pPr>
              <w:spacing w:after="0"/>
              <w:rPr>
                <w:sz w:val="16"/>
                <w:szCs w:val="16"/>
                <w:color w:val="auto"/>
              </w:rPr>
            </w:pPr>
          </w:p>
        </w:tc>
        <w:tc>
          <w:tcPr>
            <w:tcW w:w="400" w:type="dxa"/>
            <w:vAlign w:val="bottom"/>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17,531</w:t>
            </w:r>
          </w:p>
        </w:tc>
        <w:tc>
          <w:tcPr>
            <w:tcW w:w="0" w:type="dxa"/>
            <w:vAlign w:val="bottom"/>
          </w:tcPr>
          <w:p>
            <w:pPr>
              <w:spacing w:after="0"/>
              <w:rPr>
                <w:sz w:val="1"/>
                <w:szCs w:val="1"/>
                <w:color w:val="auto"/>
              </w:rPr>
            </w:pPr>
          </w:p>
        </w:tc>
      </w:tr>
      <w:tr>
        <w:trPr>
          <w:trHeight w:val="197"/>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w:t>
            </w: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2,382</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1,456</w:t>
            </w:r>
          </w:p>
        </w:tc>
        <w:tc>
          <w:tcPr>
            <w:tcW w:w="0" w:type="dxa"/>
            <w:vAlign w:val="bottom"/>
          </w:tcPr>
          <w:p>
            <w:pPr>
              <w:spacing w:after="0"/>
              <w:rPr>
                <w:sz w:val="1"/>
                <w:szCs w:val="1"/>
                <w:color w:val="auto"/>
              </w:rPr>
            </w:pPr>
          </w:p>
        </w:tc>
      </w:tr>
      <w:tr>
        <w:trPr>
          <w:trHeight w:val="196"/>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20,910</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18,987</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Sublease income</w:t>
            </w:r>
          </w:p>
        </w:tc>
        <w:tc>
          <w:tcPr>
            <w:tcW w:w="4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3,470</w:t>
            </w:r>
          </w:p>
        </w:tc>
        <w:tc>
          <w:tcPr>
            <w:tcW w:w="0" w:type="dxa"/>
            <w:vAlign w:val="bottom"/>
          </w:tcPr>
          <w:p>
            <w:pPr>
              <w:spacing w:after="0"/>
              <w:rPr>
                <w:sz w:val="1"/>
                <w:szCs w:val="1"/>
                <w:color w:val="auto"/>
              </w:rPr>
            </w:pPr>
          </w:p>
        </w:tc>
      </w:tr>
      <w:tr>
        <w:trPr>
          <w:trHeight w:val="217"/>
        </w:trPr>
        <w:tc>
          <w:tcPr>
            <w:tcW w:w="3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Amortization of ROU Asset</w:t>
            </w: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2,031</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2,157</w:t>
            </w:r>
          </w:p>
        </w:tc>
        <w:tc>
          <w:tcPr>
            <w:tcW w:w="0" w:type="dxa"/>
            <w:vAlign w:val="bottom"/>
          </w:tcPr>
          <w:p>
            <w:pPr>
              <w:spacing w:after="0"/>
              <w:rPr>
                <w:sz w:val="1"/>
                <w:szCs w:val="1"/>
                <w:color w:val="auto"/>
              </w:rPr>
            </w:pPr>
          </w:p>
        </w:tc>
      </w:tr>
      <w:tr>
        <w:trPr>
          <w:trHeight w:val="190"/>
        </w:trPr>
        <w:tc>
          <w:tcPr>
            <w:tcW w:w="39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334</w:t>
            </w:r>
          </w:p>
        </w:tc>
        <w:tc>
          <w:tcPr>
            <w:tcW w:w="0" w:type="dxa"/>
            <w:vAlign w:val="bottom"/>
          </w:tcPr>
          <w:p>
            <w:pPr>
              <w:spacing w:after="0"/>
              <w:rPr>
                <w:sz w:val="1"/>
                <w:szCs w:val="1"/>
                <w:color w:val="auto"/>
              </w:rPr>
            </w:pPr>
          </w:p>
        </w:tc>
      </w:tr>
      <w:tr>
        <w:trPr>
          <w:trHeight w:val="221"/>
        </w:trPr>
        <w:tc>
          <w:tcPr>
            <w:tcW w:w="3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Finance lease cost</w:t>
            </w: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2,312</w:t>
            </w: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2,491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8" w:name="page39"/>
    <w:bookmarkEnd w:id="38"/>
    <w:p>
      <w:pPr>
        <w:ind w:left="640"/>
        <w:spacing w:after="0"/>
        <w:rPr>
          <w:sz w:val="20"/>
          <w:szCs w:val="20"/>
          <w:color w:val="auto"/>
        </w:rPr>
      </w:pPr>
      <w:r>
        <w:rPr>
          <w:rFonts w:ascii="Times New Roman" w:cs="Times New Roman" w:eastAsia="Times New Roman" w:hAnsi="Times New Roman"/>
          <w:sz w:val="17"/>
          <w:szCs w:val="17"/>
          <w:color w:val="auto"/>
        </w:rPr>
        <w:t>Future minimum lease payments under operating and finance leases with non-cancelable lease terms, as of March 31, 2026, are as follows:</w:t>
      </w:r>
    </w:p>
    <w:p>
      <w:pPr>
        <w:spacing w:after="0" w:line="283" w:lineRule="exact"/>
        <w:rPr>
          <w:sz w:val="20"/>
          <w:szCs w:val="20"/>
          <w:color w:val="auto"/>
        </w:rPr>
      </w:pPr>
    </w:p>
    <w:tbl>
      <w:tblPr>
        <w:tblLayout w:type="fixed"/>
        <w:tblInd w:w="2580" w:type="dxa"/>
        <w:tblCellMar>
          <w:top w:w="0" w:type="dxa"/>
          <w:left w:w="0" w:type="dxa"/>
          <w:bottom w:w="0" w:type="dxa"/>
          <w:right w:w="0" w:type="dxa"/>
        </w:tblCellMar>
      </w:tblPr>
      <w:tr>
        <w:trPr>
          <w:trHeight w:val="184"/>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420" w:type="dxa"/>
            <w:vAlign w:val="bottom"/>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2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3"/>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tcPr>
          <w:p>
            <w:pPr>
              <w:spacing w:after="0"/>
              <w:rPr>
                <w:sz w:val="15"/>
                <w:szCs w:val="15"/>
                <w:color w:val="auto"/>
              </w:rPr>
            </w:pP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61,361</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6,726</w:t>
            </w:r>
          </w:p>
        </w:tc>
      </w:tr>
      <w:tr>
        <w:trPr>
          <w:trHeight w:val="20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76,591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7,871</w:t>
            </w:r>
          </w:p>
        </w:tc>
      </w:tr>
      <w:tr>
        <w:trPr>
          <w:trHeight w:val="18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69,435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3,982</w:t>
            </w:r>
          </w:p>
        </w:tc>
      </w:tr>
      <w:tr>
        <w:trPr>
          <w:trHeight w:val="20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23,368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r>
      <w:tr>
        <w:trPr>
          <w:trHeight w:val="18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21,424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4"/>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2031 and thereafter</w:t>
            </w: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28,349</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lease payments</w:t>
            </w:r>
          </w:p>
        </w:tc>
        <w:tc>
          <w:tcPr>
            <w:tcW w:w="24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280,528</w:t>
            </w:r>
          </w:p>
        </w:tc>
        <w:tc>
          <w:tcPr>
            <w:tcW w:w="120" w:type="dxa"/>
            <w:vAlign w:val="bottom"/>
          </w:tcPr>
          <w:p>
            <w:pPr>
              <w:spacing w:after="0"/>
              <w:rPr>
                <w:sz w:val="15"/>
                <w:szCs w:val="15"/>
                <w:color w:val="auto"/>
              </w:rPr>
            </w:pP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19,241</w:t>
            </w:r>
          </w:p>
        </w:tc>
      </w:tr>
      <w:tr>
        <w:trPr>
          <w:trHeight w:val="197"/>
        </w:trPr>
        <w:tc>
          <w:tcPr>
            <w:tcW w:w="25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Less imputed interest</w:t>
            </w: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(33,028)</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r>
      <w:tr>
        <w:trPr>
          <w:trHeight w:val="196"/>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lease liability</w:t>
            </w: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247,500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17,951</w:t>
            </w: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18. Cash</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provides a reconciliation of cash and cash equivalents together with restricted or segregated cash</w:t>
      </w:r>
    </w:p>
    <w:p>
      <w:pPr>
        <w:spacing w:after="0" w:line="32"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as reported within the Condensed Consolidated Statements of Financial Condition to the sum of the same such amounts shown in the Condensed Consolidated Statements of Cash Flows.</w:t>
      </w:r>
    </w:p>
    <w:p>
      <w:pPr>
        <w:spacing w:after="0" w:line="224" w:lineRule="exact"/>
        <w:rPr>
          <w:sz w:val="20"/>
          <w:szCs w:val="20"/>
          <w:color w:val="auto"/>
        </w:rPr>
      </w:pPr>
    </w:p>
    <w:tbl>
      <w:tblPr>
        <w:tblLayout w:type="fixed"/>
        <w:tblInd w:w="1000" w:type="dxa"/>
        <w:tblCellMar>
          <w:top w:w="0" w:type="dxa"/>
          <w:left w:w="0" w:type="dxa"/>
          <w:bottom w:w="0" w:type="dxa"/>
          <w:right w:w="0" w:type="dxa"/>
        </w:tblCellMar>
      </w:tblPr>
      <w:tr>
        <w:trPr>
          <w:trHeight w:val="18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40" w:type="dxa"/>
            <w:vAlign w:val="bottom"/>
          </w:tcPr>
          <w:p>
            <w:pPr>
              <w:spacing w:after="0"/>
              <w:rPr>
                <w:sz w:val="16"/>
                <w:szCs w:val="16"/>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6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973,225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1,061,697</w:t>
            </w:r>
          </w:p>
        </w:tc>
      </w:tr>
      <w:tr>
        <w:trPr>
          <w:trHeight w:val="190"/>
        </w:trPr>
        <w:tc>
          <w:tcPr>
            <w:tcW w:w="6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Cash restricted or segregated under regulations and other</w:t>
            </w: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56,976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64,744</w:t>
            </w:r>
          </w:p>
        </w:tc>
      </w:tr>
      <w:tr>
        <w:trPr>
          <w:trHeight w:val="221"/>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 shown in the statement of cash flows</w:t>
            </w: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1,030,201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1,126,441</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19. Capital Structure</w:t>
      </w:r>
    </w:p>
    <w:p>
      <w:pPr>
        <w:spacing w:after="0" w:line="252"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Mr. Vincent Viola together with certain affiliates controls approximately 87.4% of the combined voting power of our common stock as a result of their ownership of our Class A, Class C and Class D Common Stock. The Company holds approximately a 57.4% interest in Virtu Financial at March 31, 2026.</w:t>
      </w:r>
    </w:p>
    <w:p>
      <w:pPr>
        <w:spacing w:after="0" w:line="196"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During the period prior to the Company’s IPO and certain reorganization transactions consummated in connection with the IPO, Class A-2 profits interests and Class B interests in Virtu Financial were issued to Employee Holdco (as defined below) on behalf of certain key employees and stakeholders. In connection with these reorganization transactions, all Class A-2 profits interests and Class B interests were reclassified into Virtu Financial Units. As of March 31, 2026 and December 31, 2025, there were 3,402,959 and 3,402,959 Virtu Financial Units outstanding held by Employee Holdco, respectively, and 367,123 of such Virtu Financial Units and corresponding Class C Common Stock were exchanged into Class A Common Stock, forfeited or repurchased during the three months ended March 31, 2025, and no units were exchanged, forfeited or repurchased during the three months ended March 31,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Second Amended and Restated 2015 Management Incentive Plan</w:t>
      </w:r>
    </w:p>
    <w:p>
      <w:pPr>
        <w:spacing w:after="0" w:line="254"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June 5, 2020, June 2, 2022, and June 2, 2025. The Second Amended and Restated 2015 Management Incentive Plan provides for the grant of stock options, restricted stock units, and other awards based on an aggregate of 33,500,000 shares of Class A Common Stock, subject to additional sublimits, including limits on the total option grant to any one participant in a single year and the total performance award to any one participant in a single year.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39" w:right="339" w:bottom="1440" w:gutter="0" w:footer="0" w:header="0"/>
        </w:sectPr>
      </w:pPr>
    </w:p>
    <w:bookmarkStart w:id="39" w:name="page40"/>
    <w:bookmarkEnd w:id="39"/>
    <w:p>
      <w:pPr>
        <w:ind w:right="20" w:firstLine="629"/>
        <w:spacing w:after="0" w:line="263" w:lineRule="auto"/>
        <w:rPr>
          <w:sz w:val="20"/>
          <w:szCs w:val="20"/>
          <w:color w:val="auto"/>
        </w:rPr>
      </w:pPr>
      <w:r>
        <w:rPr>
          <w:rFonts w:ascii="Times New Roman" w:cs="Times New Roman" w:eastAsia="Times New Roman" w:hAnsi="Times New Roman"/>
          <w:sz w:val="17"/>
          <w:szCs w:val="17"/>
          <w:color w:val="auto"/>
        </w:rPr>
        <w:t>On November 13, 2020, the Company amended its form award agreement for the issuance of RSUs to provide for the continued vesting of outstanding RSU awards upon the occurrence of a qualified retirement (the “RSU Amendment”). A qualified retirement generally means a voluntary resignation by the participant (i) after five years of service, (ii) the participant attaining the age of 50 and (iii) the sum of the participant’s age and service at the time of termination equaling or exceeding 65. Continued vesting is subject to the participant entering into a 2 year non-compete. The RSU Amendment was authorized and approved by the Compensation Committee of the Company’s Board of Directors. As a result of the RSU Amendment, currently issued and outstanding RSUs held by the Company’s employees, including its executive officers, shall be deemed to be subject to the amended terms of the form award agreement, and any future RSU awards shall also be governed by such amended terms.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54"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On November 6, 2020, the Company’s Board of Directors authorized a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an additional $300 million in Class A Common Stock and Virtu Financial Units and extending the duration of the program through May 4, 2022. On November 3, 2021 the Company’s Board of Directors authorized another expansion of the program by an additional $750 million to $1,220 million and extending the duration of the program through November 3, 2023, which was subsequently extended through December 31, 2024. On April 24, 2024, the Company’s Board of Directors authorized the expansion of the program by an additional</w:t>
      </w:r>
    </w:p>
    <w:p>
      <w:pPr>
        <w:spacing w:after="0" w:line="3"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7"/>
          <w:szCs w:val="17"/>
          <w:color w:val="auto"/>
        </w:rPr>
        <w:t>$500 million to $1,720 million and extended the duration through April 24, 2026. The share repurchase program authorized the Company to repurchase shares from time to time in open market transactions, privately negotiated transactions or by other means. Repurchases were also permitted to be made under Rule</w:t>
      </w:r>
    </w:p>
    <w:p>
      <w:pPr>
        <w:ind w:right="100"/>
        <w:spacing w:after="0" w:line="263" w:lineRule="auto"/>
        <w:rPr>
          <w:sz w:val="20"/>
          <w:szCs w:val="20"/>
          <w:color w:val="auto"/>
        </w:rPr>
      </w:pPr>
      <w:r>
        <w:rPr>
          <w:rFonts w:ascii="Times New Roman" w:cs="Times New Roman" w:eastAsia="Times New Roman" w:hAnsi="Times New Roman"/>
          <w:sz w:val="17"/>
          <w:szCs w:val="17"/>
          <w:color w:val="auto"/>
        </w:rPr>
        <w:t>10b5-1 plans. The timing and amount of repurchase transactions were determined by the Company’s management based on its evaluation of market conditions, share price, cash sources, legal requirements and other factors. From the inception of the program through March 31, 2026, the Company repurchased approximately 53.8 million shares of Class A Common Stock and Virtu Financial Units for approximately $1,417.2 million. As of March 31, 2026, the Company had approximately $302.8 million remaining capacity for future purchases of shares of Class A Common Stock and Virtu Financial Units under the program.</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Exchanges</w:t>
      </w:r>
    </w:p>
    <w:p>
      <w:pPr>
        <w:spacing w:after="0" w:line="254"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During the three months ended March 31, 2025, pursuant to the exchange agreement by and among the Company, Virtu Financial and holders of Virtu Financial Units, certain current and former employees elected to exchange 350,858 units in Virtu Financial held directly or on their behalf by Virtu Employee Holdco LLC (“Employee Holdco”) on a one-for-one basis for shares of Class A Common Stock. There were no employee exchanges during the three months ended March 31, 2026.</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Accumulated Other Comprehensive Income</w:t>
      </w:r>
    </w:p>
    <w:p>
      <w:pPr>
        <w:spacing w:after="0" w:line="2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presents the changes in Other Comprehensive Income for the three months ended March 31, 2026 and 2025:</w:t>
      </w:r>
    </w:p>
    <w:p>
      <w:pPr>
        <w:spacing w:after="0" w:line="257"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9"/>
              </w:rPr>
              <w:t>AOCI Beginning</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90"/>
        </w:trPr>
        <w:tc>
          <w:tcPr>
            <w:tcW w:w="3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4"/>
                <w:szCs w:val="14"/>
                <w:color w:val="auto"/>
                <w:w w:val="97"/>
              </w:rPr>
              <w:t>(4,975)</w:t>
            </w:r>
          </w:p>
        </w:tc>
        <w:tc>
          <w:tcPr>
            <w:tcW w:w="0" w:type="dxa"/>
            <w:vAlign w:val="bottom"/>
          </w:tcPr>
          <w:p>
            <w:pPr>
              <w:spacing w:after="0"/>
              <w:rPr>
                <w:sz w:val="1"/>
                <w:szCs w:val="1"/>
                <w:color w:val="auto"/>
              </w:rPr>
            </w:pPr>
          </w:p>
        </w:tc>
      </w:tr>
      <w:tr>
        <w:trPr>
          <w:trHeight w:val="163"/>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(3,011)</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5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4"/>
                <w:szCs w:val="14"/>
                <w:color w:val="auto"/>
                <w:w w:val="97"/>
              </w:rPr>
              <w:t>(4,975)</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3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4" w:lineRule="exact"/>
              <w:rPr>
                <w:sz w:val="20"/>
                <w:szCs w:val="20"/>
                <w:color w:val="auto"/>
              </w:rPr>
            </w:pPr>
            <w:r>
              <w:rPr>
                <w:rFonts w:ascii="Times New Roman" w:cs="Times New Roman" w:eastAsia="Times New Roman" w:hAnsi="Times New Roman"/>
                <w:sz w:val="14"/>
                <w:szCs w:val="14"/>
                <w:b w:val="1"/>
                <w:bCs w:val="1"/>
                <w:color w:val="auto"/>
                <w:w w:val="99"/>
              </w:rPr>
              <w:t>AOCI Beginning</w:t>
            </w:r>
          </w:p>
        </w:tc>
        <w:tc>
          <w:tcPr>
            <w:tcW w:w="120" w:type="dxa"/>
            <w:vAlign w:val="bottom"/>
          </w:tcPr>
          <w:p>
            <w:pPr>
              <w:spacing w:after="0"/>
              <w:rPr>
                <w:sz w:val="10"/>
                <w:szCs w:val="10"/>
                <w:color w:val="auto"/>
              </w:rPr>
            </w:pPr>
          </w:p>
        </w:tc>
        <w:tc>
          <w:tcPr>
            <w:tcW w:w="1420" w:type="dxa"/>
            <w:vAlign w:val="bottom"/>
            <w:gridSpan w:val="2"/>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Amounts recorded</w:t>
            </w:r>
          </w:p>
        </w:tc>
        <w:tc>
          <w:tcPr>
            <w:tcW w:w="100" w:type="dxa"/>
            <w:vAlign w:val="bottom"/>
          </w:tcPr>
          <w:p>
            <w:pPr>
              <w:spacing w:after="0"/>
              <w:rPr>
                <w:sz w:val="10"/>
                <w:szCs w:val="10"/>
                <w:color w:val="auto"/>
              </w:rPr>
            </w:pPr>
          </w:p>
        </w:tc>
        <w:tc>
          <w:tcPr>
            <w:tcW w:w="146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Amounts reclassified</w:t>
            </w: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AOCI Ending Balance</w:t>
            </w:r>
          </w:p>
        </w:tc>
        <w:tc>
          <w:tcPr>
            <w:tcW w:w="0" w:type="dxa"/>
            <w:vAlign w:val="bottom"/>
          </w:tcPr>
          <w:p>
            <w:pPr>
              <w:spacing w:after="0"/>
              <w:rPr>
                <w:sz w:val="1"/>
                <w:szCs w:val="1"/>
                <w:color w:val="auto"/>
              </w:rPr>
            </w:pPr>
          </w:p>
        </w:tc>
      </w:tr>
      <w:tr>
        <w:trPr>
          <w:trHeight w:val="190"/>
        </w:trPr>
        <w:tc>
          <w:tcPr>
            <w:tcW w:w="3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Balance</w:t>
            </w:r>
          </w:p>
        </w:tc>
        <w:tc>
          <w:tcPr>
            <w:tcW w:w="120" w:type="dxa"/>
            <w:vAlign w:val="bottom"/>
          </w:tcPr>
          <w:p>
            <w:pPr>
              <w:spacing w:after="0"/>
              <w:rPr>
                <w:sz w:val="16"/>
                <w:szCs w:val="16"/>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AOCI</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from AOCI to income</w:t>
            </w: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change in unrealized cash flow hedges gains (losses) (1)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4"/>
                <w:szCs w:val="14"/>
                <w:color w:val="auto"/>
              </w:rPr>
              <w:t>3,732</w:t>
            </w:r>
          </w:p>
        </w:tc>
        <w:tc>
          <w:tcPr>
            <w:tcW w:w="0" w:type="dxa"/>
            <w:vAlign w:val="bottom"/>
          </w:tcPr>
          <w:p>
            <w:pPr>
              <w:spacing w:after="0"/>
              <w:rPr>
                <w:sz w:val="1"/>
                <w:szCs w:val="1"/>
                <w:color w:val="auto"/>
              </w:rPr>
            </w:pPr>
          </w:p>
        </w:tc>
      </w:tr>
      <w:tr>
        <w:trPr>
          <w:trHeight w:val="190"/>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Foreign exchange translation adjustment</w:t>
            </w:r>
          </w:p>
        </w:tc>
        <w:tc>
          <w:tcPr>
            <w:tcW w:w="1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16"/>
                <w:szCs w:val="16"/>
                <w:color w:val="auto"/>
              </w:rPr>
            </w:pPr>
          </w:p>
        </w:tc>
        <w:tc>
          <w:tcPr>
            <w:tcW w:w="900" w:type="dxa"/>
            <w:vAlign w:val="bottom"/>
          </w:tcPr>
          <w:p>
            <w:pPr>
              <w:jc w:val="center"/>
              <w:ind w:left="350"/>
              <w:spacing w:after="0"/>
              <w:rPr>
                <w:sz w:val="20"/>
                <w:szCs w:val="20"/>
                <w:color w:val="auto"/>
              </w:rPr>
            </w:pPr>
            <w:r>
              <w:rPr>
                <w:rFonts w:ascii="Times New Roman" w:cs="Times New Roman" w:eastAsia="Times New Roman" w:hAnsi="Times New Roman"/>
                <w:sz w:val="14"/>
                <w:szCs w:val="14"/>
                <w:color w:val="auto"/>
                <w:w w:val="97"/>
              </w:rPr>
              <w:t>(9,286)</w:t>
            </w: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4"/>
                <w:szCs w:val="14"/>
                <w:color w:val="auto"/>
                <w:w w:val="97"/>
              </w:rPr>
              <w:t>(5,554)</w:t>
            </w:r>
          </w:p>
        </w:tc>
        <w:tc>
          <w:tcPr>
            <w:tcW w:w="0" w:type="dxa"/>
            <w:vAlign w:val="bottom"/>
          </w:tcPr>
          <w:p>
            <w:pPr>
              <w:spacing w:after="0"/>
              <w:rPr>
                <w:sz w:val="1"/>
                <w:szCs w:val="1"/>
                <w:color w:val="auto"/>
              </w:rPr>
            </w:pPr>
          </w:p>
        </w:tc>
      </w:tr>
    </w:tbl>
    <w:p>
      <w:pPr>
        <w:ind w:left="720"/>
        <w:spacing w:after="0"/>
        <w:rPr>
          <w:sz w:val="20"/>
          <w:szCs w:val="20"/>
          <w:color w:val="auto"/>
        </w:rPr>
      </w:pPr>
      <w:r>
        <w:rPr>
          <w:rFonts w:ascii="Times New Roman" w:cs="Times New Roman" w:eastAsia="Times New Roman" w:hAnsi="Times New Roman"/>
          <w:sz w:val="12"/>
          <w:szCs w:val="12"/>
          <w:color w:val="auto"/>
        </w:rPr>
        <w:t>(1) Amounts reclassified from AOCI to income are included within Financing interest expense on long-term borrowings on the Condensed 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2814320</wp:posOffset>
            </wp:positionH>
            <wp:positionV relativeFrom="paragraph">
              <wp:posOffset>-78740</wp:posOffset>
            </wp:positionV>
            <wp:extent cx="38760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76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color w:val="auto"/>
        </w:rPr>
        <w:t>20. Share-based Compensation</w:t>
      </w:r>
    </w:p>
    <w:p>
      <w:pPr>
        <w:spacing w:after="0" w:line="252" w:lineRule="exact"/>
        <w:rPr>
          <w:sz w:val="20"/>
          <w:szCs w:val="20"/>
          <w:color w:val="auto"/>
        </w:rPr>
      </w:pPr>
    </w:p>
    <w:p>
      <w:pPr>
        <w:ind w:right="80" w:firstLine="629"/>
        <w:spacing w:after="0" w:line="276" w:lineRule="auto"/>
        <w:rPr>
          <w:sz w:val="20"/>
          <w:szCs w:val="20"/>
          <w:color w:val="auto"/>
        </w:rPr>
      </w:pPr>
      <w:r>
        <w:rPr>
          <w:rFonts w:ascii="Times New Roman" w:cs="Times New Roman" w:eastAsia="Times New Roman" w:hAnsi="Times New Roman"/>
          <w:sz w:val="17"/>
          <w:szCs w:val="17"/>
          <w:color w:val="auto"/>
        </w:rPr>
        <w:t>Pursuant to the Second Amended and Restated 2015 Management Incentive Plan as described in Note 19 “Capital Structure”, and in connection with the IPO, non-qualified stock options to purchase shares of Class A Common Stock were granted, each of which vests in equal annual installments over a period of 4 years from grant date and expires not later than 10 years from the date of grant. There were no options outstanding as of June 30, 2025.</w:t>
      </w:r>
    </w:p>
    <w:p>
      <w:pPr>
        <w:spacing w:after="0" w:line="190" w:lineRule="exact"/>
        <w:rPr>
          <w:sz w:val="20"/>
          <w:szCs w:val="20"/>
          <w:color w:val="auto"/>
        </w:rPr>
      </w:pPr>
    </w:p>
    <w:p>
      <w:pPr>
        <w:ind w:right="20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summarizes activity related to stock options for the three months ended March 31, 2025. There was no such activity for the three months ended March 31, 2026.</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4"/>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3980" w:type="dxa"/>
            <w:vAlign w:val="bottom"/>
          </w:tcPr>
          <w:p>
            <w:pPr>
              <w:spacing w:after="0"/>
              <w:rPr>
                <w:sz w:val="10"/>
                <w:szCs w:val="10"/>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w w:val="97"/>
              </w:rPr>
              <w:t>Weighted Average</w:t>
            </w:r>
          </w:p>
        </w:tc>
        <w:tc>
          <w:tcPr>
            <w:tcW w:w="100" w:type="dxa"/>
            <w:vAlign w:val="bottom"/>
          </w:tcPr>
          <w:p>
            <w:pPr>
              <w:spacing w:after="0"/>
              <w:rPr>
                <w:sz w:val="10"/>
                <w:szCs w:val="10"/>
                <w:color w:val="auto"/>
              </w:rPr>
            </w:pPr>
          </w:p>
        </w:tc>
        <w:tc>
          <w:tcPr>
            <w:tcW w:w="1100" w:type="dxa"/>
            <w:vAlign w:val="bottom"/>
            <w:vMerge w:val="restart"/>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jc w:val="center"/>
              <w:ind w:right="90"/>
              <w:spacing w:after="0" w:line="126"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20" w:type="dxa"/>
            <w:vAlign w:val="bottom"/>
            <w:gridSpan w:val="2"/>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Remaining Contractual</w:t>
            </w: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ind w:right="90"/>
              <w:spacing w:after="0" w:line="143"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91"/>
        </w:trPr>
        <w:tc>
          <w:tcPr>
            <w:tcW w:w="3980" w:type="dxa"/>
            <w:vAlign w:val="bottom"/>
          </w:tcPr>
          <w:p>
            <w:pPr>
              <w:spacing w:after="0"/>
              <w:rPr>
                <w:sz w:val="16"/>
                <w:szCs w:val="16"/>
                <w:color w:val="auto"/>
              </w:rPr>
            </w:pP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1100" w:type="dxa"/>
            <w:vAlign w:val="bottom"/>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7"/>
              </w:rPr>
              <w:t>Per Share</w:t>
            </w:r>
          </w:p>
        </w:tc>
        <w:tc>
          <w:tcPr>
            <w:tcW w:w="0" w:type="dxa"/>
            <w:vAlign w:val="bottom"/>
          </w:tcPr>
          <w:p>
            <w:pPr>
              <w:spacing w:after="0"/>
              <w:rPr>
                <w:sz w:val="1"/>
                <w:szCs w:val="1"/>
                <w:color w:val="auto"/>
              </w:rPr>
            </w:pPr>
          </w:p>
        </w:tc>
      </w:tr>
      <w:tr>
        <w:trPr>
          <w:trHeight w:val="195"/>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At December 31, 2024</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813,750</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CCEEFF"/>
            </w:tcBorders>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0.24</w:t>
            </w:r>
          </w:p>
        </w:tc>
        <w:tc>
          <w:tcPr>
            <w:tcW w:w="100" w:type="dxa"/>
            <w:vAlign w:val="bottom"/>
            <w:tcBorders>
              <w:top w:val="single" w:sz="8" w:color="CCEEFF"/>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813,750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89"/>
        </w:trPr>
        <w:tc>
          <w:tcPr>
            <w:tcW w:w="3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Exercised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r>
        <w:trPr>
          <w:trHeight w:val="190"/>
        </w:trPr>
        <w:tc>
          <w:tcPr>
            <w:tcW w:w="3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Forfeited or expired</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48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20" w:type="dxa"/>
            <w:vAlign w:val="bottom"/>
            <w:tcBorders>
              <w:bottom w:val="single" w:sz="8" w:color="CCEEFF"/>
            </w:tcBorders>
            <w:gridSpan w:val="2"/>
          </w:tcPr>
          <w:p>
            <w:pPr>
              <w:jc w:val="center"/>
              <w:ind w:left="1090"/>
              <w:spacing w:after="0"/>
              <w:rPr>
                <w:sz w:val="20"/>
                <w:szCs w:val="20"/>
                <w:color w:val="auto"/>
              </w:rPr>
            </w:pPr>
            <w:r>
              <w:rPr>
                <w:rFonts w:ascii="Times New Roman" w:cs="Times New Roman" w:eastAsia="Times New Roman" w:hAnsi="Times New Roman"/>
                <w:sz w:val="14"/>
                <w:szCs w:val="14"/>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At March 31, 2025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693,750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19.00</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ind w:left="1170"/>
              <w:spacing w:after="0"/>
              <w:rPr>
                <w:sz w:val="20"/>
                <w:szCs w:val="20"/>
                <w:color w:val="auto"/>
              </w:rPr>
            </w:pPr>
            <w:r>
              <w:rPr>
                <w:rFonts w:ascii="Times New Roman" w:cs="Times New Roman" w:eastAsia="Times New Roman" w:hAnsi="Times New Roman"/>
                <w:sz w:val="14"/>
                <w:szCs w:val="14"/>
                <w:color w:val="auto"/>
                <w:w w:val="97"/>
              </w:rPr>
              <w:t>0.00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693,750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19.00</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20" w:firstLine="629"/>
        <w:spacing w:after="0" w:line="276" w:lineRule="auto"/>
        <w:rPr>
          <w:sz w:val="20"/>
          <w:szCs w:val="20"/>
          <w:color w:val="auto"/>
        </w:rPr>
      </w:pPr>
      <w:r>
        <w:rPr>
          <w:rFonts w:ascii="Times New Roman" w:cs="Times New Roman" w:eastAsia="Times New Roman" w:hAnsi="Times New Roman"/>
          <w:sz w:val="17"/>
          <w:szCs w:val="17"/>
          <w:color w:val="auto"/>
        </w:rPr>
        <w:t>The expected life was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Class A Common Stock, Restricted Stock Units and Restricted Stock Awards</w:t>
      </w:r>
    </w:p>
    <w:p>
      <w:pPr>
        <w:spacing w:after="0" w:line="254"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Pursuant to the Second Amended and Restated 2015 Management Incentive Plan as described in Note 19 “Capital Structure”, subsequent to the IPO, shares of immediately vested Class A Common Stock, restricted stock units (“RSUs”) and restricted stock awards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three months ended March 31, 2026 and 2025, respectively, there were 717,206 and 528,221 shares of immediately vested Class A Common Stock granted as part of year-end compensation. In addition, the Company accrued compensation expense of $19.2 million and $7.2 million for the three months ended March 31, 2026 and 2025,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0" w:right="339" w:bottom="1440" w:gutter="0" w:footer="0" w:header="0"/>
        </w:sectPr>
      </w:pPr>
    </w:p>
    <w:bookmarkStart w:id="41" w:name="page42"/>
    <w:bookmarkEnd w:id="41"/>
    <w:p>
      <w:pPr>
        <w:ind w:left="640"/>
        <w:spacing w:after="0"/>
        <w:rPr>
          <w:sz w:val="20"/>
          <w:szCs w:val="20"/>
          <w:color w:val="auto"/>
        </w:rPr>
      </w:pPr>
      <w:r>
        <w:rPr>
          <w:rFonts w:ascii="Times New Roman" w:cs="Times New Roman" w:eastAsia="Times New Roman" w:hAnsi="Times New Roman"/>
          <w:sz w:val="17"/>
          <w:szCs w:val="17"/>
          <w:color w:val="auto"/>
        </w:rPr>
        <w:t>The following table summarizes activity related to RSUs and RSAs for the three months ended March 31, 2026 and 2025:</w:t>
      </w:r>
    </w:p>
    <w:p>
      <w:pPr>
        <w:spacing w:after="0" w:line="135"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RSUs and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2"/>
        </w:trPr>
        <w:tc>
          <w:tcPr>
            <w:tcW w:w="74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90"/>
              <w:spacing w:after="0" w:line="143" w:lineRule="exact"/>
              <w:rPr>
                <w:sz w:val="20"/>
                <w:szCs w:val="20"/>
                <w:color w:val="auto"/>
              </w:rPr>
            </w:pPr>
            <w:r>
              <w:rPr>
                <w:rFonts w:ascii="Times New Roman" w:cs="Times New Roman" w:eastAsia="Times New Roman" w:hAnsi="Times New Roman"/>
                <w:sz w:val="14"/>
                <w:szCs w:val="14"/>
                <w:b w:val="1"/>
                <w:bCs w:val="1"/>
                <w:color w:val="auto"/>
                <w:w w:val="98"/>
              </w:rPr>
              <w:t>Average Fair</w:t>
            </w:r>
          </w:p>
        </w:tc>
        <w:tc>
          <w:tcPr>
            <w:tcW w:w="0" w:type="dxa"/>
            <w:vAlign w:val="bottom"/>
          </w:tcPr>
          <w:p>
            <w:pPr>
              <w:spacing w:after="0"/>
              <w:rPr>
                <w:sz w:val="1"/>
                <w:szCs w:val="1"/>
                <w:color w:val="auto"/>
              </w:rPr>
            </w:pPr>
          </w:p>
        </w:tc>
      </w:tr>
      <w:tr>
        <w:trPr>
          <w:trHeight w:val="191"/>
        </w:trPr>
        <w:tc>
          <w:tcPr>
            <w:tcW w:w="74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RSAs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1"/>
              </w:rPr>
              <w:t>Value</w:t>
            </w:r>
          </w:p>
        </w:tc>
        <w:tc>
          <w:tcPr>
            <w:tcW w:w="0" w:type="dxa"/>
            <w:vAlign w:val="bottom"/>
          </w:tcPr>
          <w:p>
            <w:pPr>
              <w:spacing w:after="0"/>
              <w:rPr>
                <w:sz w:val="1"/>
                <w:szCs w:val="1"/>
                <w:color w:val="auto"/>
              </w:rPr>
            </w:pPr>
          </w:p>
        </w:tc>
      </w:tr>
      <w:tr>
        <w:trPr>
          <w:trHeight w:val="195"/>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December 31, 2024</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5,564,532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w:t>
            </w:r>
          </w:p>
        </w:tc>
        <w:tc>
          <w:tcPr>
            <w:tcW w:w="0" w:type="dxa"/>
            <w:vAlign w:val="bottom"/>
          </w:tcPr>
          <w:p>
            <w:pPr>
              <w:spacing w:after="0"/>
              <w:rPr>
                <w:sz w:val="1"/>
                <w:szCs w:val="1"/>
                <w:color w:val="auto"/>
              </w:rPr>
            </w:pPr>
          </w:p>
        </w:tc>
      </w:tr>
      <w:tr>
        <w:trPr>
          <w:trHeight w:val="189"/>
        </w:trPr>
        <w:tc>
          <w:tcPr>
            <w:tcW w:w="7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 (1)</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2,745,479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39.55</w:t>
            </w:r>
          </w:p>
        </w:tc>
        <w:tc>
          <w:tcPr>
            <w:tcW w:w="0" w:type="dxa"/>
            <w:vAlign w:val="bottom"/>
          </w:tcPr>
          <w:p>
            <w:pPr>
              <w:spacing w:after="0"/>
              <w:rPr>
                <w:sz w:val="1"/>
                <w:szCs w:val="1"/>
                <w:color w:val="auto"/>
              </w:rPr>
            </w:pPr>
          </w:p>
        </w:tc>
      </w:tr>
      <w:tr>
        <w:trPr>
          <w:trHeight w:val="204"/>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24.75</w:t>
            </w:r>
          </w:p>
        </w:tc>
        <w:tc>
          <w:tcPr>
            <w:tcW w:w="0" w:type="dxa"/>
            <w:vAlign w:val="bottom"/>
          </w:tcPr>
          <w:p>
            <w:pPr>
              <w:spacing w:after="0"/>
              <w:rPr>
                <w:sz w:val="1"/>
                <w:szCs w:val="1"/>
                <w:color w:val="auto"/>
              </w:rPr>
            </w:pPr>
          </w:p>
        </w:tc>
      </w:tr>
      <w:tr>
        <w:trPr>
          <w:trHeight w:val="190"/>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(2,650,096)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24.96</w:t>
            </w:r>
          </w:p>
        </w:tc>
        <w:tc>
          <w:tcPr>
            <w:tcW w:w="0" w:type="dxa"/>
            <w:vAlign w:val="bottom"/>
          </w:tcPr>
          <w:p>
            <w:pPr>
              <w:spacing w:after="0"/>
              <w:rPr>
                <w:sz w:val="1"/>
                <w:szCs w:val="1"/>
                <w:color w:val="auto"/>
              </w:rPr>
            </w:pPr>
          </w:p>
        </w:tc>
      </w:tr>
      <w:tr>
        <w:trPr>
          <w:trHeight w:val="221"/>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March 31, 2025</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5,575,511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28.97</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December 31, 2025</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5,776,036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30.79</w:t>
            </w:r>
          </w:p>
        </w:tc>
        <w:tc>
          <w:tcPr>
            <w:tcW w:w="0" w:type="dxa"/>
            <w:vAlign w:val="bottom"/>
          </w:tcPr>
          <w:p>
            <w:pPr>
              <w:spacing w:after="0"/>
              <w:rPr>
                <w:sz w:val="1"/>
                <w:szCs w:val="1"/>
                <w:color w:val="auto"/>
              </w:rPr>
            </w:pPr>
          </w:p>
        </w:tc>
      </w:tr>
      <w:tr>
        <w:trPr>
          <w:trHeight w:val="189"/>
        </w:trPr>
        <w:tc>
          <w:tcPr>
            <w:tcW w:w="7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Granted (1)</w:t>
            </w: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2,092,861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39.84</w:t>
            </w:r>
          </w:p>
        </w:tc>
        <w:tc>
          <w:tcPr>
            <w:tcW w:w="0" w:type="dxa"/>
            <w:vAlign w:val="bottom"/>
          </w:tcPr>
          <w:p>
            <w:pPr>
              <w:spacing w:after="0"/>
              <w:rPr>
                <w:sz w:val="1"/>
                <w:szCs w:val="1"/>
                <w:color w:val="auto"/>
              </w:rPr>
            </w:pPr>
          </w:p>
        </w:tc>
      </w:tr>
      <w:tr>
        <w:trPr>
          <w:trHeight w:val="204"/>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(25,040)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35.69</w:t>
            </w:r>
          </w:p>
        </w:tc>
        <w:tc>
          <w:tcPr>
            <w:tcW w:w="0" w:type="dxa"/>
            <w:vAlign w:val="bottom"/>
          </w:tcPr>
          <w:p>
            <w:pPr>
              <w:spacing w:after="0"/>
              <w:rPr>
                <w:sz w:val="1"/>
                <w:szCs w:val="1"/>
                <w:color w:val="auto"/>
              </w:rPr>
            </w:pPr>
          </w:p>
        </w:tc>
      </w:tr>
      <w:tr>
        <w:trPr>
          <w:trHeight w:val="190"/>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Vested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(3,514,983)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0" w:type="dxa"/>
            <w:vAlign w:val="bottom"/>
          </w:tcPr>
          <w:p>
            <w:pPr>
              <w:spacing w:after="0"/>
              <w:rPr>
                <w:sz w:val="1"/>
                <w:szCs w:val="1"/>
                <w:color w:val="auto"/>
              </w:rPr>
            </w:pPr>
          </w:p>
        </w:tc>
      </w:tr>
      <w:tr>
        <w:trPr>
          <w:trHeight w:val="20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At March 31, 2026</w:t>
            </w:r>
          </w:p>
        </w:tc>
        <w:tc>
          <w:tcPr>
            <w:tcW w:w="1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4,328,874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35.77</w:t>
            </w:r>
          </w:p>
        </w:tc>
        <w:tc>
          <w:tcPr>
            <w:tcW w:w="0" w:type="dxa"/>
            <w:vAlign w:val="bottom"/>
          </w:tcPr>
          <w:p>
            <w:pPr>
              <w:spacing w:after="0"/>
              <w:rPr>
                <w:sz w:val="1"/>
                <w:szCs w:val="1"/>
                <w:color w:val="auto"/>
              </w:rPr>
            </w:pPr>
          </w:p>
        </w:tc>
      </w:tr>
    </w:tbl>
    <w:p>
      <w:pPr>
        <w:ind w:left="620" w:right="700" w:firstLine="5"/>
        <w:spacing w:after="0" w:line="236" w:lineRule="auto"/>
        <w:tabs>
          <w:tab w:leader="none" w:pos="793"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Excluded in the number of RSUs and RSAs are 475,000 and 600,000 participating RSAs for the three months ended March 31, 2026 and 2025, where the grant date has not been achieved because the performance conditions have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5076825</wp:posOffset>
            </wp:positionH>
            <wp:positionV relativeFrom="paragraph">
              <wp:posOffset>-163195</wp:posOffset>
            </wp:positionV>
            <wp:extent cx="8731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73125" cy="8255"/>
                    </a:xfrm>
                    <a:prstGeom prst="rect">
                      <a:avLst/>
                    </a:prstGeom>
                    <a:noFill/>
                  </pic:spPr>
                </pic:pic>
              </a:graphicData>
            </a:graphic>
          </wp:anchor>
        </w:drawing>
      </w:r>
    </w:p>
    <w:p>
      <w:pPr>
        <w:spacing w:after="0" w:line="332"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The Company recognized $15.3 million and $15.4 million for the three months ended March 31, 2026 and 2025, respectively, of compensation expense in relation to RSUs. As of March 31, 2026 and December 31, 2025, total unrecognized share-based compensation expense related to unvested RSUs was $128.0 million and $95.9 million, respectively, and this amount is to be recognized over a weighted average period of 1.5 years and 1.0 year, respectively. Awards in which the specific performance conditions have not been met are not included in unrecognized share-based compensation expense.</w:t>
      </w:r>
    </w:p>
    <w:p>
      <w:pPr>
        <w:spacing w:after="0" w:line="194"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On November 13, 2020, the Company adopted the Virtu Financial, Inc. Deferred Compensation Plan (the “DCP”). The DCP permits eligible executive officers and other employees to defer cash or equity-based compensation beginning in the calendar year ending December 31, 2021, subject to certain limitations and restrictions. Deferrals of cash compensation may also be directed to notional investments in certain of the employee investment opportunities.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21. Regulatory Requirement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 Subsidiary</w:t>
      </w:r>
    </w:p>
    <w:p>
      <w:pPr>
        <w:spacing w:after="0" w:line="252"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The Company’s U.S. broker-dealer subsidiary, Virtu Americas LLC (“VAL”), is subject to the SEC Uniform Net Capital Rule 15c3-1, which requires the maintenance of minimum net capital as detailed in the table below. Pursuant to New York Stock Exchange (“NYSE”) rules, VAL was also required to maintain $1.1 million of capital in connection with the operation of its designated market maker (“DMM”) business as of March 31, 2026. The required amount is determined under the exchange rules as the greater of (i) $1.0 million or (ii) $75,000 for every 0.1% of NYSE transaction dollar volume in each of the securities for which the Company is registered as the DMM.</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regulatory capital and regulatory capital requirements of the Company’s U.S. subsidiary as of March 31, 2026 was as follows:</w:t>
      </w:r>
    </w:p>
    <w:p>
      <w:pPr>
        <w:spacing w:after="0" w:line="3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Americas LLC</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527,645</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3,065</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524,580</w:t>
            </w:r>
          </w:p>
        </w:tc>
        <w:tc>
          <w:tcPr>
            <w:tcW w:w="0" w:type="dxa"/>
            <w:vAlign w:val="bottom"/>
          </w:tcPr>
          <w:p>
            <w:pPr>
              <w:spacing w:after="0"/>
              <w:rPr>
                <w:sz w:val="1"/>
                <w:szCs w:val="1"/>
                <w:color w:val="auto"/>
              </w:rPr>
            </w:pPr>
          </w:p>
        </w:tc>
      </w:tr>
    </w:tbl>
    <w:p>
      <w:pPr>
        <w:spacing w:after="0" w:line="361" w:lineRule="exact"/>
        <w:rPr>
          <w:sz w:val="20"/>
          <w:szCs w:val="20"/>
          <w:color w:val="auto"/>
        </w:rPr>
      </w:pPr>
    </w:p>
    <w:p>
      <w:pPr>
        <w:ind w:right="160" w:firstLine="629"/>
        <w:spacing w:after="0" w:line="276" w:lineRule="auto"/>
        <w:rPr>
          <w:sz w:val="20"/>
          <w:szCs w:val="20"/>
          <w:color w:val="auto"/>
        </w:rPr>
      </w:pPr>
      <w:r>
        <w:rPr>
          <w:rFonts w:ascii="Times New Roman" w:cs="Times New Roman" w:eastAsia="Times New Roman" w:hAnsi="Times New Roman"/>
          <w:sz w:val="17"/>
          <w:szCs w:val="17"/>
          <w:color w:val="auto"/>
        </w:rPr>
        <w:t xml:space="preserve">As of March 31, 2026, VAL had $47.9 million of cash in special reserve bank accounts for the benefit of customers pursuant to SEC Rule 15c3-3, </w:t>
      </w:r>
      <w:r>
        <w:rPr>
          <w:rFonts w:ascii="Times New Roman" w:cs="Times New Roman" w:eastAsia="Times New Roman" w:hAnsi="Times New Roman"/>
          <w:sz w:val="17"/>
          <w:szCs w:val="17"/>
          <w:i w:val="1"/>
          <w:iCs w:val="1"/>
          <w:color w:val="auto"/>
        </w:rPr>
        <w:t xml:space="preserve">Computation for Determination of Reserve Requirements, </w:t>
      </w:r>
      <w:r>
        <w:rPr>
          <w:rFonts w:ascii="Times New Roman" w:cs="Times New Roman" w:eastAsia="Times New Roman" w:hAnsi="Times New Roman"/>
          <w:sz w:val="17"/>
          <w:szCs w:val="17"/>
          <w:color w:val="auto"/>
        </w:rPr>
        <w:t>and $8.8 million of cash in reserve bank accounts for the benefit of proprietary accounts of brokers.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balances are included within Cash restricted or segregated under regulations and other on the Condensed Consolidated Statements of Financial Condition.</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regulatory capital and regulatory capital requirements of the Company’s U.S. subsidiaries as of December 31, 2025 was as follows:</w:t>
      </w:r>
    </w:p>
    <w:p>
      <w:pPr>
        <w:spacing w:after="0" w:line="3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Virtu Americas LLC</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561,242</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560,242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2" w:name="page43"/>
    <w:bookmarkEnd w:id="42"/>
    <w:p>
      <w:pPr>
        <w:jc w:val="both"/>
        <w:ind w:right="140" w:firstLine="629"/>
        <w:spacing w:after="0" w:line="296" w:lineRule="auto"/>
        <w:rPr>
          <w:sz w:val="20"/>
          <w:szCs w:val="20"/>
          <w:color w:val="auto"/>
        </w:rPr>
      </w:pPr>
      <w:r>
        <w:rPr>
          <w:rFonts w:ascii="Times New Roman" w:cs="Times New Roman" w:eastAsia="Times New Roman" w:hAnsi="Times New Roman"/>
          <w:sz w:val="17"/>
          <w:szCs w:val="17"/>
          <w:color w:val="auto"/>
        </w:rPr>
        <w:t xml:space="preserve">As of December 31, 2025, VAL had $55.5 million of cash in special reserve bank accounts for the benefit of customers pursuant to SEC Rule 15c3-3, </w:t>
      </w:r>
      <w:r>
        <w:rPr>
          <w:rFonts w:ascii="Times New Roman" w:cs="Times New Roman" w:eastAsia="Times New Roman" w:hAnsi="Times New Roman"/>
          <w:sz w:val="17"/>
          <w:szCs w:val="17"/>
          <w:i w:val="1"/>
          <w:iCs w:val="1"/>
          <w:color w:val="auto"/>
        </w:rPr>
        <w:t xml:space="preserve">Computation for Determination of Reserve Requirements, </w:t>
      </w:r>
      <w:r>
        <w:rPr>
          <w:rFonts w:ascii="Times New Roman" w:cs="Times New Roman" w:eastAsia="Times New Roman" w:hAnsi="Times New Roman"/>
          <w:sz w:val="17"/>
          <w:szCs w:val="17"/>
          <w:color w:val="auto"/>
        </w:rPr>
        <w:t>and $8.7 million of cash in reserve bank accounts for the benefit of proprietary accounts of brokers.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Subsidiaries</w:t>
      </w:r>
    </w:p>
    <w:p>
      <w:pPr>
        <w:spacing w:after="0" w:line="239" w:lineRule="exact"/>
        <w:rPr>
          <w:sz w:val="20"/>
          <w:szCs w:val="20"/>
          <w:color w:val="auto"/>
        </w:rPr>
      </w:pPr>
    </w:p>
    <w:p>
      <w:pPr>
        <w:ind w:right="240" w:firstLine="629"/>
        <w:spacing w:after="0" w:line="254" w:lineRule="auto"/>
        <w:rPr>
          <w:sz w:val="20"/>
          <w:szCs w:val="20"/>
          <w:color w:val="auto"/>
        </w:rPr>
      </w:pPr>
      <w:r>
        <w:rPr>
          <w:rFonts w:ascii="Times New Roman" w:cs="Times New Roman" w:eastAsia="Times New Roman" w:hAnsi="Times New Roman"/>
          <w:sz w:val="17"/>
          <w:szCs w:val="17"/>
          <w:color w:val="auto"/>
        </w:rPr>
        <w:t>The Company’s foreign subsidiaries are subject to regulatory capital requirements set by local regulatory bodies, including the Canadian Investment Regulatory Organization (“CIRO”), the Central Bank of Ireland (“CBI”), the Financial Conduct Authority (“FCA”) in the United Kingdom, the Australian Securities and Investments Commission (“ASIC”), the Securities and Futures Commission in Hong Kong (“SFC”), and the Monetary Authority of Singapore (“MAS”).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regulatory net capital balances and regulatory capital requirements applicable to the Company’s foreign subsidiaries as of March 31, 2026 were as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follows:</w:t>
      </w:r>
    </w:p>
    <w:p>
      <w:pPr>
        <w:spacing w:after="0" w:line="11"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Canada Corp</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12,554</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00" w:type="dxa"/>
            <w:vAlign w:val="bottom"/>
          </w:tcPr>
          <w:p>
            <w:pPr>
              <w:spacing w:after="0"/>
              <w:rPr>
                <w:sz w:val="16"/>
                <w:szCs w:val="16"/>
                <w:color w:val="auto"/>
              </w:rPr>
            </w:pPr>
          </w:p>
        </w:tc>
        <w:tc>
          <w:tcPr>
            <w:tcW w:w="640" w:type="dxa"/>
            <w:vAlign w:val="bottom"/>
          </w:tcPr>
          <w:p>
            <w:pPr>
              <w:jc w:val="right"/>
              <w:ind w:right="49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12,374</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Europe Trading Limited (1)</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27,818</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57,414</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Financial Ireland Limited (1)</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120,881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63,884</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56,997</w:t>
            </w:r>
          </w:p>
        </w:tc>
        <w:tc>
          <w:tcPr>
            <w:tcW w:w="0" w:type="dxa"/>
            <w:vAlign w:val="bottom"/>
          </w:tcPr>
          <w:p>
            <w:pPr>
              <w:spacing w:after="0"/>
              <w:rPr>
                <w:sz w:val="1"/>
                <w:szCs w:val="1"/>
                <w:color w:val="auto"/>
              </w:rPr>
            </w:pPr>
          </w:p>
        </w:tc>
      </w:tr>
      <w:tr>
        <w:trPr>
          <w:trHeight w:val="19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UK Limited (1)</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w:t>
            </w:r>
          </w:p>
        </w:tc>
        <w:tc>
          <w:tcPr>
            <w:tcW w:w="0" w:type="dxa"/>
            <w:vAlign w:val="bottom"/>
          </w:tcPr>
          <w:p>
            <w:pPr>
              <w:spacing w:after="0"/>
              <w:rPr>
                <w:sz w:val="1"/>
                <w:szCs w:val="1"/>
                <w:color w:val="auto"/>
              </w:rPr>
            </w:pPr>
          </w:p>
        </w:tc>
      </w:tr>
      <w:tr>
        <w:trPr>
          <w:trHeight w:val="19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Australia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23,156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19,304</w:t>
            </w: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Hong Kong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5,610</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Singapore Pte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Financial Singapore Pte. Ltd.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305,805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217,926</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87,879</w:t>
            </w:r>
          </w:p>
        </w:tc>
        <w:tc>
          <w:tcPr>
            <w:tcW w:w="0" w:type="dxa"/>
            <w:vAlign w:val="bottom"/>
          </w:tcPr>
          <w:p>
            <w:pPr>
              <w:spacing w:after="0"/>
              <w:rPr>
                <w:sz w:val="1"/>
                <w:szCs w:val="1"/>
                <w:color w:val="auto"/>
              </w:rPr>
            </w:pPr>
          </w:p>
        </w:tc>
      </w:tr>
      <w:tr>
        <w:trPr>
          <w:trHeight w:val="177"/>
        </w:trPr>
        <w:tc>
          <w:tcPr>
            <w:tcW w:w="5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(1) Preliminary</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300" w:firstLine="629"/>
        <w:spacing w:after="0" w:line="296" w:lineRule="auto"/>
        <w:rPr>
          <w:sz w:val="20"/>
          <w:szCs w:val="20"/>
          <w:color w:val="auto"/>
        </w:rPr>
      </w:pPr>
      <w:r>
        <w:rPr>
          <w:rFonts w:ascii="Times New Roman" w:cs="Times New Roman" w:eastAsia="Times New Roman" w:hAnsi="Times New Roman"/>
          <w:sz w:val="17"/>
          <w:szCs w:val="17"/>
          <w:color w:val="auto"/>
        </w:rPr>
        <w:t>As of March 31, 2026, Virtu Europe Trading Limited had $0.1 million of segregated funds on deposit for trade clearing and settlement activity, and Virtu ITG Hong Kong Ltd. had $30 thousand of segregated balances under a collateral account control agreement for the benefit of certain customers.</w:t>
      </w:r>
    </w:p>
    <w:p>
      <w:pPr>
        <w:spacing w:after="0" w:line="173" w:lineRule="exact"/>
        <w:rPr>
          <w:sz w:val="20"/>
          <w:szCs w:val="20"/>
          <w:color w:val="auto"/>
        </w:rPr>
      </w:pPr>
    </w:p>
    <w:p>
      <w:pPr>
        <w:ind w:firstLine="629"/>
        <w:spacing w:after="0" w:line="277" w:lineRule="auto"/>
        <w:rPr>
          <w:sz w:val="20"/>
          <w:szCs w:val="20"/>
          <w:color w:val="auto"/>
        </w:rPr>
      </w:pPr>
      <w:r>
        <w:rPr>
          <w:rFonts w:ascii="Times New Roman" w:cs="Times New Roman" w:eastAsia="Times New Roman" w:hAnsi="Times New Roman"/>
          <w:sz w:val="17"/>
          <w:szCs w:val="17"/>
          <w:color w:val="auto"/>
        </w:rPr>
        <w:t>The regulatory net capital balances and regulatory capital requirements applicable to the Company’s foreign subsidiaries as of December 31, 2025 were as follows:</w:t>
      </w:r>
    </w:p>
    <w:tbl>
      <w:tblPr>
        <w:tblLayout w:type="fixed"/>
        <w:tblInd w:w="180" w:type="dxa"/>
        <w:tblCellMar>
          <w:top w:w="0" w:type="dxa"/>
          <w:left w:w="0" w:type="dxa"/>
          <w:bottom w:w="0" w:type="dxa"/>
          <w:right w:w="0" w:type="dxa"/>
        </w:tblCellMar>
      </w:tblPr>
      <w:tr>
        <w:trPr>
          <w:trHeight w:val="143"/>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15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Regulatory Capital</w:t>
            </w:r>
          </w:p>
        </w:tc>
        <w:tc>
          <w:tcPr>
            <w:tcW w:w="180" w:type="dxa"/>
            <w:vAlign w:val="bottom"/>
          </w:tcPr>
          <w:p>
            <w:pPr>
              <w:spacing w:after="0"/>
              <w:rPr>
                <w:sz w:val="12"/>
                <w:szCs w:val="12"/>
                <w:color w:val="auto"/>
              </w:rPr>
            </w:pPr>
          </w:p>
        </w:tc>
        <w:tc>
          <w:tcPr>
            <w:tcW w:w="1600" w:type="dxa"/>
            <w:vAlign w:val="bottom"/>
            <w:gridSpan w:val="2"/>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rPr>
              <w:t>Regulatory Capital</w:t>
            </w:r>
          </w:p>
        </w:tc>
        <w:tc>
          <w:tcPr>
            <w:tcW w:w="1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Excess Regulatory Capital</w:t>
            </w:r>
          </w:p>
        </w:tc>
        <w:tc>
          <w:tcPr>
            <w:tcW w:w="0" w:type="dxa"/>
            <w:vAlign w:val="bottom"/>
          </w:tcPr>
          <w:p>
            <w:pPr>
              <w:spacing w:after="0"/>
              <w:rPr>
                <w:sz w:val="1"/>
                <w:szCs w:val="1"/>
                <w:color w:val="auto"/>
              </w:rPr>
            </w:pPr>
          </w:p>
        </w:tc>
      </w:tr>
      <w:tr>
        <w:trPr>
          <w:trHeight w:val="190"/>
        </w:trPr>
        <w:tc>
          <w:tcPr>
            <w:tcW w:w="57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Requirement</w:t>
            </w: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Canada Corp</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15,133</w:t>
            </w:r>
          </w:p>
        </w:tc>
        <w:tc>
          <w:tcPr>
            <w:tcW w:w="100" w:type="dxa"/>
            <w:vAlign w:val="bottom"/>
          </w:tcPr>
          <w:p>
            <w:pPr>
              <w:spacing w:after="0"/>
              <w:rPr>
                <w:sz w:val="16"/>
                <w:szCs w:val="16"/>
                <w:color w:val="auto"/>
              </w:rPr>
            </w:pP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6"/>
                <w:szCs w:val="16"/>
                <w:color w:val="auto"/>
              </w:rPr>
            </w:pPr>
          </w:p>
        </w:tc>
        <w:tc>
          <w:tcPr>
            <w:tcW w:w="640" w:type="dxa"/>
            <w:vAlign w:val="bottom"/>
          </w:tcPr>
          <w:p>
            <w:pPr>
              <w:jc w:val="right"/>
              <w:ind w:right="49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14,951</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Ireland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Europe Trading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86,656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28,283</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58,373</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Financial Ireland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122,901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64,951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57,950</w:t>
            </w:r>
          </w:p>
        </w:tc>
        <w:tc>
          <w:tcPr>
            <w:tcW w:w="0" w:type="dxa"/>
            <w:vAlign w:val="bottom"/>
          </w:tcPr>
          <w:p>
            <w:pPr>
              <w:spacing w:after="0"/>
              <w:rPr>
                <w:sz w:val="1"/>
                <w:szCs w:val="1"/>
                <w:color w:val="auto"/>
              </w:rPr>
            </w:pPr>
          </w:p>
        </w:tc>
      </w:tr>
      <w:tr>
        <w:trPr>
          <w:trHeight w:val="19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United Kingdom</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UK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0" w:type="dxa"/>
            <w:vAlign w:val="bottom"/>
          </w:tcPr>
          <w:p>
            <w:pPr>
              <w:spacing w:after="0"/>
              <w:rPr>
                <w:sz w:val="1"/>
                <w:szCs w:val="1"/>
                <w:color w:val="auto"/>
              </w:rPr>
            </w:pPr>
          </w:p>
        </w:tc>
      </w:tr>
      <w:tr>
        <w:trPr>
          <w:trHeight w:val="19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Australia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13,262</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22,249</w:t>
            </w:r>
          </w:p>
        </w:tc>
        <w:tc>
          <w:tcPr>
            <w:tcW w:w="0" w:type="dxa"/>
            <w:vAlign w:val="bottom"/>
          </w:tcPr>
          <w:p>
            <w:pPr>
              <w:spacing w:after="0"/>
              <w:rPr>
                <w:sz w:val="1"/>
                <w:szCs w:val="1"/>
                <w:color w:val="auto"/>
              </w:rPr>
            </w:pPr>
          </w:p>
        </w:tc>
      </w:tr>
      <w:tr>
        <w:trPr>
          <w:trHeight w:val="189"/>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ITG Hong Kong Limited</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7,614</w:t>
            </w:r>
          </w:p>
        </w:tc>
        <w:tc>
          <w:tcPr>
            <w:tcW w:w="0" w:type="dxa"/>
            <w:vAlign w:val="bottom"/>
          </w:tcPr>
          <w:p>
            <w:pPr>
              <w:spacing w:after="0"/>
              <w:rPr>
                <w:sz w:val="1"/>
                <w:szCs w:val="1"/>
                <w:color w:val="auto"/>
              </w:rPr>
            </w:pPr>
          </w:p>
        </w:tc>
      </w:tr>
      <w:tr>
        <w:trPr>
          <w:trHeight w:val="204"/>
        </w:trPr>
        <w:tc>
          <w:tcPr>
            <w:tcW w:w="5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Virtu ITG Singapore Pte Limited</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w:t>
            </w:r>
          </w:p>
        </w:tc>
        <w:tc>
          <w:tcPr>
            <w:tcW w:w="0" w:type="dxa"/>
            <w:vAlign w:val="bottom"/>
          </w:tcPr>
          <w:p>
            <w:pPr>
              <w:spacing w:after="0"/>
              <w:rPr>
                <w:sz w:val="1"/>
                <w:szCs w:val="1"/>
                <w:color w:val="auto"/>
              </w:rPr>
            </w:pPr>
          </w:p>
        </w:tc>
      </w:tr>
      <w:tr>
        <w:trPr>
          <w:trHeight w:val="182"/>
        </w:trPr>
        <w:tc>
          <w:tcPr>
            <w:tcW w:w="57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Virtu Financial Singapore Pte. Ltd.</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278,288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198,100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80,188</w:t>
            </w:r>
          </w:p>
        </w:tc>
        <w:tc>
          <w:tcPr>
            <w:tcW w:w="0" w:type="dxa"/>
            <w:vAlign w:val="bottom"/>
          </w:tcPr>
          <w:p>
            <w:pPr>
              <w:spacing w:after="0"/>
              <w:rPr>
                <w:sz w:val="1"/>
                <w:szCs w:val="1"/>
                <w:color w:val="auto"/>
              </w:rPr>
            </w:pPr>
          </w:p>
        </w:tc>
      </w:tr>
    </w:tbl>
    <w:p>
      <w:pPr>
        <w:spacing w:after="0" w:line="336" w:lineRule="exact"/>
        <w:rPr>
          <w:sz w:val="20"/>
          <w:szCs w:val="20"/>
          <w:color w:val="auto"/>
        </w:rPr>
      </w:pPr>
    </w:p>
    <w:p>
      <w:pPr>
        <w:ind w:right="40" w:firstLine="629"/>
        <w:spacing w:after="0" w:line="296" w:lineRule="auto"/>
        <w:rPr>
          <w:sz w:val="20"/>
          <w:szCs w:val="20"/>
          <w:color w:val="auto"/>
        </w:rPr>
      </w:pPr>
      <w:r>
        <w:rPr>
          <w:rFonts w:ascii="Times New Roman" w:cs="Times New Roman" w:eastAsia="Times New Roman" w:hAnsi="Times New Roman"/>
          <w:sz w:val="17"/>
          <w:szCs w:val="17"/>
          <w:color w:val="auto"/>
        </w:rPr>
        <w:t>As of December 31, 2025, Virtu Europe Trading Limited had $0.3 million of segregated funds on deposit for trade clearing and settlement activity, and Virtu ITG Hong Kong Ltd had $30 thousand of segregated balances under a collateral account control agreement for the benefit of certain customers.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color w:val="auto"/>
        </w:rPr>
        <w:t>22. Geographic Information and Business Segments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Company has two operating segments: (i) Market Making and (ii) Execution Services; and one non-operating segment: Corporate.</w:t>
      </w:r>
    </w:p>
    <w:p>
      <w:pPr>
        <w:spacing w:after="0" w:line="250" w:lineRule="exact"/>
        <w:rPr>
          <w:sz w:val="20"/>
          <w:szCs w:val="20"/>
          <w:color w:val="auto"/>
        </w:rPr>
      </w:pPr>
    </w:p>
    <w:p>
      <w:pPr>
        <w:ind w:right="80" w:firstLine="629"/>
        <w:spacing w:after="0" w:line="265" w:lineRule="auto"/>
        <w:rPr>
          <w:sz w:val="20"/>
          <w:szCs w:val="20"/>
          <w:color w:val="auto"/>
        </w:rPr>
      </w:pPr>
      <w:r>
        <w:rPr>
          <w:rFonts w:ascii="Times New Roman" w:cs="Times New Roman" w:eastAsia="Times New Roman" w:hAnsi="Times New Roman"/>
          <w:sz w:val="17"/>
          <w:szCs w:val="17"/>
          <w:color w:val="auto"/>
        </w:rPr>
        <w:t>The Market Making segment principally consists of market making in the cash, futures, and options markets across global equities, fixed income, currencies, cryptocurrencies,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Electronic Communications Networks (“ECNs”) and alternative trading systems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w:t>
      </w:r>
    </w:p>
    <w:p>
      <w:pPr>
        <w:spacing w:after="0" w:line="198" w:lineRule="exact"/>
        <w:rPr>
          <w:sz w:val="20"/>
          <w:szCs w:val="20"/>
          <w:color w:val="auto"/>
        </w:rPr>
      </w:pPr>
    </w:p>
    <w:p>
      <w:pPr>
        <w:ind w:right="20" w:firstLine="629"/>
        <w:spacing w:after="0" w:line="260" w:lineRule="auto"/>
        <w:rPr>
          <w:sz w:val="20"/>
          <w:szCs w:val="20"/>
          <w:color w:val="auto"/>
        </w:rPr>
      </w:pPr>
      <w:r>
        <w:rPr>
          <w:rFonts w:ascii="Times New Roman" w:cs="Times New Roman" w:eastAsia="Times New Roman" w:hAnsi="Times New Roman"/>
          <w:sz w:val="17"/>
          <w:szCs w:val="17"/>
          <w:color w:val="auto"/>
        </w:rPr>
        <w:t>The Execution Services segment comprises client-based trading and trading venues, offering execution services in global equities, options, futures and fixed income on behalf of institutions, banks and broker-dealers. The Company earns commissions as an agent on behalf of clients as well as between principals to transactions; in addition, the Company will commit capital on behalf of clients as needed. Client-based, execution-only trading in the segment 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 The segment also includes the results of the Company’s capital markets business, in which the Company acts as an agent for issuers in connection with at-the-market offerings and buyback programs.</w:t>
      </w:r>
    </w:p>
    <w:p>
      <w:pPr>
        <w:spacing w:after="0" w:line="209" w:lineRule="exact"/>
        <w:rPr>
          <w:sz w:val="20"/>
          <w:szCs w:val="20"/>
          <w:color w:val="auto"/>
        </w:rPr>
      </w:pPr>
    </w:p>
    <w:p>
      <w:pPr>
        <w:jc w:val="both"/>
        <w:ind w:right="260" w:firstLine="629"/>
        <w:spacing w:after="0" w:line="276" w:lineRule="auto"/>
        <w:rPr>
          <w:sz w:val="20"/>
          <w:szCs w:val="20"/>
          <w:color w:val="auto"/>
        </w:rPr>
      </w:pPr>
      <w:r>
        <w:rPr>
          <w:rFonts w:ascii="Times New Roman" w:cs="Times New Roman" w:eastAsia="Times New Roman" w:hAnsi="Times New Roman"/>
          <w:sz w:val="17"/>
          <w:szCs w:val="17"/>
          <w:color w:val="auto"/>
        </w:rPr>
        <w:t>The Corporate segment contains the Company’s investments, principally in strategic trading-related opportunities and maintains corporate overhead expenses and all other income and expenses that are not attributable to the Company’s other segments. The segment is not considered a reportable operating segment as its results are not regularly reviewed by the Company’s Chief Operating Decision Makers (“CODMs”).</w:t>
      </w:r>
    </w:p>
    <w:p>
      <w:pPr>
        <w:spacing w:after="0" w:line="190"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color w:val="auto"/>
        </w:rPr>
        <w:t>The accounting policies of the segments are the same as those described in Note 2 “Summary of Significant Accounting Policies”. The Company’s CODMs are the Chief Executive Officer and the Chief Operating Officers. The CODMs use a top-line approach in regards to evaluating segment performance and making business decisions on resource allocations, focusing on each segment's trading-related activities. Revenues, including breakdown of key trading-driven components of revenues, trading-related operating expenses, and pre-tax earnings by segment are regularly provided to the CODMs. The CODMs review trading-related results by monitoring period-over-period trends and considering variances between actuals and expectations. Corporate overhead and other shared expenses, as well as assets and liabilities by segment are not used for evaluating segment performance or in deciding how to allocate resources to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1" w:right="359" w:bottom="1440" w:gutter="0" w:footer="0" w:header="0"/>
        </w:sectPr>
      </w:pPr>
    </w:p>
    <w:bookmarkStart w:id="44" w:name="page45"/>
    <w:bookmarkEnd w:id="44"/>
    <w:p>
      <w:pPr>
        <w:ind w:firstLine="629"/>
        <w:spacing w:after="0" w:line="296" w:lineRule="auto"/>
        <w:rPr>
          <w:sz w:val="20"/>
          <w:szCs w:val="20"/>
          <w:color w:val="auto"/>
        </w:rPr>
      </w:pPr>
      <w:r>
        <w:rPr>
          <w:rFonts w:ascii="Times New Roman" w:cs="Times New Roman" w:eastAsia="Times New Roman" w:hAnsi="Times New Roman"/>
          <w:sz w:val="17"/>
          <w:szCs w:val="17"/>
          <w:color w:val="auto"/>
        </w:rPr>
        <w:t>The Company’s total revenues, operating expenses, and income (loss) before income taxes and noncontrolling interest (“Pre-tax earnings”) by segment for the three months ended March 31, 2026 and 2025 are summarized in the following table:</w:t>
      </w:r>
    </w:p>
    <w:p>
      <w:pPr>
        <w:spacing w:after="0" w:line="49"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Corporate (1)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Consolidated Total</w:t>
            </w:r>
          </w:p>
        </w:tc>
      </w:tr>
      <w:tr>
        <w:trPr>
          <w:trHeight w:val="23"/>
        </w:trPr>
        <w:tc>
          <w:tcPr>
            <w:tcW w:w="5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4"/>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3"/>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915,697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187,131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(7,501)</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1,095,327</w:t>
            </w:r>
          </w:p>
        </w:tc>
      </w:tr>
      <w:tr>
        <w:trPr>
          <w:trHeight w:val="189"/>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4"/>
        </w:trPr>
        <w:tc>
          <w:tcPr>
            <w:tcW w:w="5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Brokerage, exchange, clearance fees and payments for order flow, net</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102,758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36,070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138,828</w:t>
            </w:r>
          </w:p>
        </w:tc>
      </w:tr>
      <w:tr>
        <w:trPr>
          <w:trHeight w:val="189"/>
        </w:trPr>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176,341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177,927</w:t>
            </w:r>
          </w:p>
        </w:tc>
      </w:tr>
      <w:tr>
        <w:trPr>
          <w:trHeight w:val="204"/>
        </w:trPr>
        <w:tc>
          <w:tcPr>
            <w:tcW w:w="5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segment items (2)</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260,154</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108,385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369,000</w:t>
            </w:r>
          </w:p>
        </w:tc>
      </w:tr>
      <w:tr>
        <w:trPr>
          <w:trHeight w:val="183"/>
        </w:trPr>
        <w:tc>
          <w:tcPr>
            <w:tcW w:w="5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539,253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146,041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685,755</w:t>
            </w:r>
          </w:p>
        </w:tc>
      </w:tr>
      <w:tr>
        <w:trPr>
          <w:trHeight w:val="221"/>
        </w:trPr>
        <w:tc>
          <w:tcPr>
            <w:tcW w:w="5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376,444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41,090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(7,962)</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409,572</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56"/>
        </w:trPr>
        <w:tc>
          <w:tcPr>
            <w:tcW w:w="5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96"/>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9"/>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691,172</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141,008</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5,689</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837,869</w:t>
            </w:r>
          </w:p>
        </w:tc>
      </w:tr>
      <w:tr>
        <w:trPr>
          <w:trHeight w:val="204"/>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89"/>
        </w:trPr>
        <w:tc>
          <w:tcPr>
            <w:tcW w:w="54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Brokerage, exchange, clearance fees and payments for order flow, net</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194,303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27,572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221,875</w:t>
            </w:r>
          </w:p>
        </w:tc>
      </w:tr>
      <w:tr>
        <w:trPr>
          <w:trHeight w:val="204"/>
        </w:trPr>
        <w:tc>
          <w:tcPr>
            <w:tcW w:w="5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130,051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131,328</w:t>
            </w:r>
          </w:p>
        </w:tc>
      </w:tr>
      <w:tr>
        <w:trPr>
          <w:trHeight w:val="190"/>
        </w:trPr>
        <w:tc>
          <w:tcPr>
            <w:tcW w:w="54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Other segment items (2)</w:t>
            </w: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177,638</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82,234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260,930</w:t>
            </w:r>
          </w:p>
        </w:tc>
      </w:tr>
      <w:tr>
        <w:trPr>
          <w:trHeight w:val="196"/>
        </w:trPr>
        <w:tc>
          <w:tcPr>
            <w:tcW w:w="5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501,992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111,083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614,133</w:t>
            </w:r>
          </w:p>
        </w:tc>
      </w:tr>
      <w:tr>
        <w:trPr>
          <w:trHeight w:val="176"/>
        </w:trPr>
        <w:tc>
          <w:tcPr>
            <w:tcW w:w="54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189,180</w:t>
            </w:r>
          </w:p>
        </w:tc>
        <w:tc>
          <w:tcPr>
            <w:tcW w:w="100" w:type="dxa"/>
            <w:vAlign w:val="bottom"/>
          </w:tcPr>
          <w:p>
            <w:pPr>
              <w:spacing w:after="0"/>
              <w:rPr>
                <w:sz w:val="15"/>
                <w:szCs w:val="15"/>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29,925</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4,631</w:t>
            </w:r>
          </w:p>
        </w:tc>
        <w:tc>
          <w:tcPr>
            <w:tcW w:w="100" w:type="dxa"/>
            <w:vAlign w:val="bottom"/>
          </w:tcPr>
          <w:p>
            <w:pPr>
              <w:spacing w:after="0"/>
              <w:rPr>
                <w:sz w:val="15"/>
                <w:szCs w:val="15"/>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223,736</w:t>
            </w:r>
          </w:p>
        </w:tc>
      </w:tr>
    </w:tbl>
    <w:p>
      <w:pPr>
        <w:spacing w:after="0" w:line="162" w:lineRule="exact"/>
        <w:rPr>
          <w:sz w:val="20"/>
          <w:szCs w:val="20"/>
          <w:color w:val="auto"/>
        </w:rPr>
      </w:pPr>
    </w:p>
    <w:p>
      <w:pPr>
        <w:ind w:left="200" w:hanging="195"/>
        <w:spacing w:after="0"/>
        <w:tabs>
          <w:tab w:leader="none" w:pos="2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is a non-operating segment. The Company presents its information as a part of reconciliation to Consolidated Totals.</w:t>
      </w:r>
    </w:p>
    <w:p>
      <w:pPr>
        <w:spacing w:after="0" w:line="22" w:lineRule="exact"/>
        <w:rPr>
          <w:rFonts w:ascii="Times New Roman" w:cs="Times New Roman" w:eastAsia="Times New Roman" w:hAnsi="Times New Roman"/>
          <w:sz w:val="14"/>
          <w:szCs w:val="14"/>
          <w:color w:val="auto"/>
        </w:rPr>
      </w:pPr>
    </w:p>
    <w:p>
      <w:pPr>
        <w:ind w:right="420" w:firstLine="5"/>
        <w:spacing w:after="0" w:line="266" w:lineRule="auto"/>
        <w:tabs>
          <w:tab w:leader="none" w:pos="19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for both reportable segments include: Communication and data processing, Employee compensation and payroll taxes, Operations and administrative, Depreciation and amortization, Financing interest expense on long-term borrowings, and Debt issue cost related to debt refinancing, prepayment and commitment fees.</w:t>
      </w:r>
    </w:p>
    <w:p>
      <w:pPr>
        <w:spacing w:after="0" w:line="197" w:lineRule="exact"/>
        <w:rPr>
          <w:sz w:val="20"/>
          <w:szCs w:val="20"/>
          <w:color w:val="auto"/>
        </w:rPr>
      </w:pPr>
    </w:p>
    <w:p>
      <w:pPr>
        <w:ind w:right="40" w:firstLine="629"/>
        <w:spacing w:after="0" w:line="245" w:lineRule="auto"/>
        <w:rPr>
          <w:sz w:val="20"/>
          <w:szCs w:val="20"/>
          <w:color w:val="auto"/>
        </w:rPr>
      </w:pPr>
      <w:r>
        <w:rPr>
          <w:rFonts w:ascii="Times New Roman" w:cs="Times New Roman" w:eastAsia="Times New Roman" w:hAnsi="Times New Roman"/>
          <w:sz w:val="17"/>
          <w:szCs w:val="17"/>
          <w:color w:val="auto"/>
        </w:rPr>
        <w:t>The Company operates its business in the U.S. and internationally, primarily in Europe and Asia.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months ended March 31, 2026 and 2025</w:t>
      </w:r>
      <w:r>
        <w:rPr>
          <w:rFonts w:ascii="Times New Roman" w:cs="Times New Roman" w:eastAsia="Times New Roman" w:hAnsi="Times New Roman"/>
          <w:sz w:val="15"/>
          <w:szCs w:val="15"/>
          <w:color w:val="auto"/>
        </w:rPr>
        <w:t>:</w:t>
      </w:r>
    </w:p>
    <w:p>
      <w:pPr>
        <w:spacing w:after="0" w:line="381" w:lineRule="exact"/>
        <w:rPr>
          <w:sz w:val="20"/>
          <w:szCs w:val="20"/>
          <w:color w:val="auto"/>
        </w:rPr>
      </w:pPr>
    </w:p>
    <w:tbl>
      <w:tblPr>
        <w:tblLayout w:type="fixed"/>
        <w:tblInd w:w="226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3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32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828,378</w:t>
            </w:r>
          </w:p>
        </w:tc>
        <w:tc>
          <w:tcPr>
            <w:tcW w:w="100" w:type="dxa"/>
            <w:vAlign w:val="bottom"/>
          </w:tcPr>
          <w:p>
            <w:pPr>
              <w:spacing w:after="0"/>
              <w:rPr>
                <w:sz w:val="16"/>
                <w:szCs w:val="16"/>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709,109</w:t>
            </w:r>
          </w:p>
        </w:tc>
        <w:tc>
          <w:tcPr>
            <w:tcW w:w="0" w:type="dxa"/>
            <w:vAlign w:val="bottom"/>
          </w:tcPr>
          <w:p>
            <w:pPr>
              <w:spacing w:after="0"/>
              <w:rPr>
                <w:sz w:val="1"/>
                <w:szCs w:val="1"/>
                <w:color w:val="auto"/>
              </w:rPr>
            </w:pPr>
          </w:p>
        </w:tc>
      </w:tr>
      <w:tr>
        <w:trPr>
          <w:trHeight w:val="204"/>
        </w:trPr>
        <w:tc>
          <w:tcPr>
            <w:tcW w:w="3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Ireland</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133,052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84,695</w:t>
            </w:r>
          </w:p>
        </w:tc>
        <w:tc>
          <w:tcPr>
            <w:tcW w:w="0" w:type="dxa"/>
            <w:vAlign w:val="bottom"/>
          </w:tcPr>
          <w:p>
            <w:pPr>
              <w:spacing w:after="0"/>
              <w:rPr>
                <w:sz w:val="1"/>
                <w:szCs w:val="1"/>
                <w:color w:val="auto"/>
              </w:rPr>
            </w:pPr>
          </w:p>
        </w:tc>
      </w:tr>
      <w:tr>
        <w:trPr>
          <w:trHeight w:val="190"/>
        </w:trPr>
        <w:tc>
          <w:tcPr>
            <w:tcW w:w="3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Others</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133,897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44,065</w:t>
            </w:r>
          </w:p>
        </w:tc>
        <w:tc>
          <w:tcPr>
            <w:tcW w:w="0" w:type="dxa"/>
            <w:vAlign w:val="bottom"/>
          </w:tcPr>
          <w:p>
            <w:pPr>
              <w:spacing w:after="0"/>
              <w:rPr>
                <w:sz w:val="1"/>
                <w:szCs w:val="1"/>
                <w:color w:val="auto"/>
              </w:rPr>
            </w:pPr>
          </w:p>
        </w:tc>
      </w:tr>
      <w:tr>
        <w:trPr>
          <w:trHeight w:val="221"/>
        </w:trPr>
        <w:tc>
          <w:tcPr>
            <w:tcW w:w="3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32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1,095,327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837,869</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23. Related Party Transactions</w:t>
      </w:r>
    </w:p>
    <w:p>
      <w:pPr>
        <w:spacing w:after="0" w:line="252" w:lineRule="exact"/>
        <w:rPr>
          <w:sz w:val="20"/>
          <w:szCs w:val="20"/>
          <w:color w:val="auto"/>
        </w:rPr>
      </w:pPr>
    </w:p>
    <w:p>
      <w:pPr>
        <w:ind w:right="200" w:firstLine="629"/>
        <w:spacing w:after="0" w:line="296" w:lineRule="auto"/>
        <w:rPr>
          <w:sz w:val="20"/>
          <w:szCs w:val="20"/>
          <w:color w:val="auto"/>
        </w:rPr>
      </w:pPr>
      <w:r>
        <w:rPr>
          <w:rFonts w:ascii="Times New Roman" w:cs="Times New Roman" w:eastAsia="Times New Roman" w:hAnsi="Times New Roman"/>
          <w:sz w:val="17"/>
          <w:szCs w:val="17"/>
          <w:color w:val="auto"/>
        </w:rPr>
        <w:t>The Company incurs expenses and maintains balances with its affiliates in the ordinary course of business. As of March 31, 2026 and December 31, 2025 the Company had net payables to its affiliates of $9.7 million and $10.6 million, respectively.</w:t>
      </w:r>
    </w:p>
    <w:p>
      <w:pPr>
        <w:spacing w:after="0" w:line="173" w:lineRule="exact"/>
        <w:rPr>
          <w:sz w:val="20"/>
          <w:szCs w:val="20"/>
          <w:color w:val="auto"/>
        </w:rPr>
      </w:pPr>
    </w:p>
    <w:p>
      <w:pPr>
        <w:ind w:right="140" w:firstLine="629"/>
        <w:spacing w:after="0" w:line="276" w:lineRule="auto"/>
        <w:rPr>
          <w:sz w:val="20"/>
          <w:szCs w:val="20"/>
          <w:color w:val="auto"/>
        </w:rPr>
      </w:pPr>
      <w:r>
        <w:rPr>
          <w:rFonts w:ascii="Times New Roman" w:cs="Times New Roman" w:eastAsia="Times New Roman" w:hAnsi="Times New Roman"/>
          <w:sz w:val="17"/>
          <w:szCs w:val="17"/>
          <w:color w:val="auto"/>
        </w:rPr>
        <w:t>The Company has held a minority interest in JNX since 2016 (see Note 10 “Financial Assets and Liabilities”). The Company pays exchange fees to JNX for the trading activities conducted on its proprietary trading system. The Company paid $2.5 million and $2.5 million for the three months ended March 31, 2026 and 2025, respectively, to JNX for these trading activities.</w:t>
      </w:r>
    </w:p>
    <w:p>
      <w:pPr>
        <w:spacing w:after="0" w:line="190" w:lineRule="exact"/>
        <w:rPr>
          <w:sz w:val="20"/>
          <w:szCs w:val="20"/>
          <w:color w:val="auto"/>
        </w:rPr>
      </w:pPr>
    </w:p>
    <w:p>
      <w:pPr>
        <w:ind w:right="220" w:firstLine="629"/>
        <w:spacing w:after="0" w:line="296" w:lineRule="auto"/>
        <w:rPr>
          <w:sz w:val="20"/>
          <w:szCs w:val="20"/>
          <w:color w:val="auto"/>
        </w:rPr>
      </w:pPr>
      <w:r>
        <w:rPr>
          <w:rFonts w:ascii="Times New Roman" w:cs="Times New Roman" w:eastAsia="Times New Roman" w:hAnsi="Times New Roman"/>
          <w:sz w:val="17"/>
          <w:szCs w:val="17"/>
          <w:color w:val="auto"/>
        </w:rPr>
        <w:t>The Company pays monthly use fees and makes certain contributions to a JV in which it holds an interest (see Note 13 “Variable Interest Entities”). These monthly fees are for the use of communication networks operated by the JV and are</w:t>
      </w: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1117" w:right="399" w:bottom="1440" w:gutter="0" w:footer="0" w:header="0"/>
        </w:sectPr>
      </w:pPr>
    </w:p>
    <w:bookmarkStart w:id="45" w:name="page46"/>
    <w:bookmarkEnd w:id="45"/>
    <w:p>
      <w:pPr>
        <w:ind w:right="20"/>
        <w:spacing w:after="0" w:line="296" w:lineRule="auto"/>
        <w:rPr>
          <w:sz w:val="20"/>
          <w:szCs w:val="20"/>
          <w:color w:val="auto"/>
        </w:rPr>
      </w:pPr>
      <w:r>
        <w:rPr>
          <w:rFonts w:ascii="Times New Roman" w:cs="Times New Roman" w:eastAsia="Times New Roman" w:hAnsi="Times New Roman"/>
          <w:sz w:val="17"/>
          <w:szCs w:val="17"/>
          <w:color w:val="auto"/>
        </w:rPr>
        <w:t>recorded within Communications and data processing on the Condensed Consolidated Statements of Comprehensive Income. The Company made payments to the JV of $11.0 million and $7.2 million for the three months ended March 31, 2026 and 2025, respectively.</w:t>
      </w:r>
    </w:p>
    <w:p>
      <w:pPr>
        <w:spacing w:after="0" w:line="173" w:lineRule="exact"/>
        <w:rPr>
          <w:sz w:val="20"/>
          <w:szCs w:val="20"/>
          <w:color w:val="auto"/>
        </w:rPr>
      </w:pPr>
    </w:p>
    <w:p>
      <w:pPr>
        <w:ind w:right="20" w:firstLine="629"/>
        <w:spacing w:after="0" w:line="276" w:lineRule="auto"/>
        <w:rPr>
          <w:sz w:val="20"/>
          <w:szCs w:val="20"/>
          <w:color w:val="auto"/>
        </w:rPr>
      </w:pPr>
      <w:r>
        <w:rPr>
          <w:rFonts w:ascii="Times New Roman" w:cs="Times New Roman" w:eastAsia="Times New Roman" w:hAnsi="Times New Roman"/>
          <w:sz w:val="17"/>
          <w:szCs w:val="17"/>
          <w:color w:val="auto"/>
        </w:rPr>
        <w:t>The Company has an interest in Members Exchange, a member-owned equities exchange. The Company pays regulatory and transaction fees and receives rebates from trading activities. The Company made payments of $(3.6) million and $2.7 million for the three months ended March 31, 2026 and 2025,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24. Subsequent Events</w:t>
      </w:r>
    </w:p>
    <w:p>
      <w:pPr>
        <w:spacing w:after="0" w:line="252"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w:t>
      </w:r>
    </w:p>
    <w:p>
      <w:pPr>
        <w:spacing w:after="0" w:line="190" w:lineRule="exact"/>
        <w:rPr>
          <w:sz w:val="20"/>
          <w:szCs w:val="20"/>
          <w:color w:val="auto"/>
        </w:rPr>
      </w:pPr>
    </w:p>
    <w:p>
      <w:pPr>
        <w:ind w:right="100" w:firstLine="629"/>
        <w:spacing w:after="0" w:line="296" w:lineRule="auto"/>
        <w:rPr>
          <w:sz w:val="20"/>
          <w:szCs w:val="20"/>
          <w:color w:val="auto"/>
        </w:rPr>
      </w:pPr>
      <w:r>
        <w:rPr>
          <w:rFonts w:ascii="Times New Roman" w:cs="Times New Roman" w:eastAsia="Times New Roman" w:hAnsi="Times New Roman"/>
          <w:sz w:val="17"/>
          <w:szCs w:val="17"/>
          <w:color w:val="auto"/>
        </w:rPr>
        <w:t>On April 29, 2026, the Company’s Board of Directors declared a dividend of $0.24 per share of Class A Common Stock and Class B Common Stock and per participating Restricted Stock Unit and Restricted Stock Award that will be paid on June 15, 2026 to holders of record as of June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40"/>
          </w:cols>
          <w:pgMar w:left="320" w:top="868"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8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i w:val="1"/>
          <w:iCs w:val="1"/>
          <w:color w:val="auto"/>
        </w:rPr>
        <w:t>The following management’s discussion and analysis covers the three months ended March 31, 2026 and 2025, and it should be read in conjunction with the Condensed Consolidated Financial Statements and accompanying notes for the period ended March 31, 2026, which are included in Part I, Item 1 of this Quarterly Report on Form 10-Q, and the audited consolidated financial statements and accompanying notes and MD&amp;A for the year ended December 31, 2025, which are included in Items 8 and 7, respectively, of the Company’s Annual Report on Form 10-K for the year ended December 31, 2025.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21" w:lineRule="exact"/>
        <w:rPr>
          <w:sz w:val="20"/>
          <w:szCs w:val="20"/>
          <w:color w:val="auto"/>
        </w:rPr>
      </w:pPr>
    </w:p>
    <w:p>
      <w:pPr>
        <w:ind w:firstLine="629"/>
        <w:spacing w:after="0" w:line="259"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our Annual Report on Form 10-K for the year ended December 31, 2025, as filed with the Securities and Exchange Commission (“SEC”) on February 20, 2026 (the “2025 Form 10-K”),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our 2025 Form 10-K, could affect our actual financial results or results of operations and cash flows, and could cause actual results to differ materially from those in such forward-looking statements, including but not limited to:</w:t>
      </w:r>
    </w:p>
    <w:p>
      <w:pPr>
        <w:spacing w:after="0" w:line="83" w:lineRule="exact"/>
        <w:rPr>
          <w:sz w:val="20"/>
          <w:szCs w:val="20"/>
          <w:color w:val="auto"/>
        </w:rPr>
      </w:pPr>
    </w:p>
    <w:p>
      <w:pPr>
        <w:ind w:left="940" w:hanging="149"/>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levels of overall trading activity;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upon trading counterparties, clients and clearing houses performing their obligations to us;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failures of our customized trading platform;</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inherent to the electronic market making business and trading generally;</w:t>
      </w:r>
    </w:p>
    <w:p>
      <w:pPr>
        <w:spacing w:after="0" w:line="118" w:lineRule="exact"/>
        <w:rPr>
          <w:rFonts w:ascii="Times New Roman" w:cs="Times New Roman" w:eastAsia="Times New Roman" w:hAnsi="Times New Roman"/>
          <w:sz w:val="17"/>
          <w:szCs w:val="17"/>
          <w:color w:val="auto"/>
        </w:rPr>
      </w:pPr>
    </w:p>
    <w:p>
      <w:pPr>
        <w:jc w:val="both"/>
        <w:ind w:left="940" w:hanging="149"/>
        <w:spacing w:after="0" w:line="276" w:lineRule="auto"/>
        <w:tabs>
          <w:tab w:leader="none" w:pos="936" w:val="left"/>
        </w:tabs>
        <w:numPr>
          <w:ilvl w:val="0"/>
          <w:numId w:val="12"/>
        </w:numPr>
        <w:rPr>
          <w:rFonts w:ascii="Arial" w:cs="Arial" w:eastAsia="Arial" w:hAnsi="Arial"/>
          <w:sz w:val="17"/>
          <w:szCs w:val="17"/>
          <w:color w:val="auto"/>
        </w:rPr>
      </w:pPr>
      <w:r>
        <w:rPr>
          <w:rFonts w:ascii="Times New Roman" w:cs="Times New Roman" w:eastAsia="Times New Roman" w:hAnsi="Times New Roman"/>
          <w:sz w:val="17"/>
          <w:szCs w:val="17"/>
          <w:color w:val="auto"/>
        </w:rPr>
        <w:t>enhanced regulatory and media scrutiny, including attention to electronic trading, wholesale market making and off-exchange trading, payment for order flow, and other market structure topics and both the impact of additional potential changes in regulation or law as well as the potential impact upon public perception of us or of companies in our industry could also have an adverse effect on our business;</w:t>
      </w:r>
    </w:p>
    <w:p>
      <w:pPr>
        <w:spacing w:after="0" w:line="58" w:lineRule="exact"/>
        <w:rPr>
          <w:rFonts w:ascii="Arial" w:cs="Arial" w:eastAsia="Arial" w:hAnsi="Arial"/>
          <w:sz w:val="17"/>
          <w:szCs w:val="17"/>
          <w:color w:val="auto"/>
        </w:rPr>
      </w:pPr>
    </w:p>
    <w:p>
      <w:pPr>
        <w:ind w:left="940" w:hanging="149"/>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competition in market making activities and execution services;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continued access to sources of liquidity;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self-clearing and other operational elements of our business, including but not limited to risks related to funding and liquidity;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to comply with applicable regulatory capital requirements;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or other legal and regulatory-based liabilities;</w:t>
      </w:r>
    </w:p>
    <w:p>
      <w:pPr>
        <w:spacing w:after="0" w:line="118" w:lineRule="exact"/>
        <w:rPr>
          <w:rFonts w:ascii="Times New Roman" w:cs="Times New Roman" w:eastAsia="Times New Roman" w:hAnsi="Times New Roman"/>
          <w:sz w:val="17"/>
          <w:szCs w:val="17"/>
          <w:color w:val="auto"/>
        </w:rPr>
      </w:pPr>
    </w:p>
    <w:p>
      <w:pPr>
        <w:jc w:val="both"/>
        <w:ind w:left="940" w:right="400" w:hanging="149"/>
        <w:spacing w:after="0" w:line="276" w:lineRule="auto"/>
        <w:tabs>
          <w:tab w:leader="none" w:pos="9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spacing w:after="0" w:line="59"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obligations to comply with laws and regulations applicable to our operations in the U.S. and abroad;</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need to maintain and continue developing proprietary technologies;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47" w:name="page48"/>
    <w:bookmarkEnd w:id="47"/>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capacity constraints, system failures, and delays;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dependence on third-party infrastructure or systems;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open source software;</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or enforce our intellectual property rights in our proprietary technology;</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confidential and proprietary information;</w:t>
      </w:r>
    </w:p>
    <w:p>
      <w:pPr>
        <w:spacing w:after="0" w:line="118" w:lineRule="exact"/>
        <w:rPr>
          <w:rFonts w:ascii="Times New Roman" w:cs="Times New Roman" w:eastAsia="Times New Roman" w:hAnsi="Times New Roman"/>
          <w:sz w:val="17"/>
          <w:szCs w:val="17"/>
          <w:color w:val="auto"/>
        </w:rPr>
      </w:pPr>
    </w:p>
    <w:p>
      <w:pPr>
        <w:ind w:left="940" w:right="240" w:hanging="149"/>
        <w:spacing w:after="0" w:line="296"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protect our systems from internal or external cyber threats that could result in damage to our computer systems, business interruption, loss of data, monetary payment demands or other consequences;</w:t>
      </w:r>
    </w:p>
    <w:p>
      <w:pPr>
        <w:spacing w:after="0" w:line="41" w:lineRule="exact"/>
        <w:rPr>
          <w:rFonts w:ascii="Times New Roman" w:cs="Times New Roman" w:eastAsia="Times New Roman" w:hAnsi="Times New Roman"/>
          <w:sz w:val="17"/>
          <w:szCs w:val="17"/>
          <w:color w:val="auto"/>
        </w:rPr>
      </w:pPr>
    </w:p>
    <w:p>
      <w:pPr>
        <w:ind w:left="940" w:right="480" w:hanging="149"/>
        <w:spacing w:after="0" w:line="296"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investments in our growth strategy which increase our capital expenditures and operating expenses and which may not ultimately yield returns that justify these increases;</w:t>
      </w:r>
    </w:p>
    <w:p>
      <w:pPr>
        <w:spacing w:after="0" w:line="41"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international operations and expansion, including failed acquisitions or dispositions;</w:t>
      </w:r>
    </w:p>
    <w:p>
      <w:pPr>
        <w:spacing w:after="0" w:line="118" w:lineRule="exact"/>
        <w:rPr>
          <w:rFonts w:ascii="Times New Roman" w:cs="Times New Roman" w:eastAsia="Times New Roman" w:hAnsi="Times New Roman"/>
          <w:sz w:val="17"/>
          <w:szCs w:val="17"/>
          <w:color w:val="auto"/>
        </w:rPr>
      </w:pPr>
    </w:p>
    <w:p>
      <w:pPr>
        <w:ind w:left="940" w:hanging="149"/>
        <w:spacing w:after="0" w:line="270"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and changes in economic conditions (such as volatility in the financial markets, increased inflation, monetary conditions and foreign currency and continued or exacerbated exchange rate fluctuations, foreign currency controls and/or government mandated pricing controls, as well as in trade, tariff, monetary, fiscal and tax policies in international markets), political conditions (such as military actions and terrorist activities), and other global events such as fires, natural disasters, pandemics or extreme weather;</w:t>
      </w:r>
    </w:p>
    <w:p>
      <w:pPr>
        <w:spacing w:after="0" w:line="63"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potential growth and associated corporate actions;</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access, or delay in accessing, the capital markets to sell shares or raise additional capital;</w:t>
      </w:r>
    </w:p>
    <w:p>
      <w:pPr>
        <w:spacing w:after="0" w:line="118" w:lineRule="exact"/>
        <w:rPr>
          <w:rFonts w:ascii="Times New Roman" w:cs="Times New Roman" w:eastAsia="Times New Roman" w:hAnsi="Times New Roman"/>
          <w:sz w:val="17"/>
          <w:szCs w:val="17"/>
          <w:color w:val="auto"/>
        </w:rPr>
      </w:pPr>
    </w:p>
    <w:p>
      <w:pPr>
        <w:jc w:val="both"/>
        <w:ind w:left="940" w:hanging="149"/>
        <w:spacing w:after="0" w:line="276" w:lineRule="auto"/>
        <w:tabs>
          <w:tab w:leader="none" w:pos="9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new and emerging asset classes and eco-systems in which we may participate, including digital assets, including risks related to volatility in the underlying assets, regulatory uncertainty, evolving industry practices and standards around custody, clearing and settlement, and other risks inherent in a new and evolving asset class;</w:t>
      </w:r>
    </w:p>
    <w:p>
      <w:pPr>
        <w:spacing w:after="0" w:line="59"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key executives and failure to recruit and retain qualified personnel;</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losing access to a significant exchange or other trading venue; and</w:t>
      </w:r>
    </w:p>
    <w:p>
      <w:pPr>
        <w:spacing w:after="0" w:line="118" w:lineRule="exact"/>
        <w:rPr>
          <w:rFonts w:ascii="Times New Roman" w:cs="Times New Roman" w:eastAsia="Times New Roman" w:hAnsi="Times New Roman"/>
          <w:sz w:val="17"/>
          <w:szCs w:val="17"/>
          <w:color w:val="auto"/>
        </w:rPr>
      </w:pPr>
    </w:p>
    <w:p>
      <w:pPr>
        <w:ind w:left="940" w:hanging="149"/>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changes in governmental administrations and agencies.</w:t>
      </w:r>
    </w:p>
    <w:p>
      <w:pPr>
        <w:spacing w:after="0" w:line="355"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spacing w:after="0" w:line="194" w:lineRule="exact"/>
        <w:rPr>
          <w:sz w:val="20"/>
          <w:szCs w:val="20"/>
          <w:color w:val="auto"/>
        </w:rPr>
      </w:pPr>
    </w:p>
    <w:p>
      <w:pPr>
        <w:ind w:right="140" w:firstLine="629"/>
        <w:spacing w:after="0" w:line="276" w:lineRule="auto"/>
        <w:rPr>
          <w:sz w:val="20"/>
          <w:szCs w:val="20"/>
          <w:color w:val="auto"/>
        </w:rPr>
      </w:pPr>
      <w:r>
        <w:rPr>
          <w:rFonts w:ascii="Times New Roman" w:cs="Times New Roman" w:eastAsia="Times New Roman" w:hAnsi="Times New Roman"/>
          <w:sz w:val="17"/>
          <w:szCs w:val="17"/>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52" w:lineRule="exact"/>
        <w:rPr>
          <w:sz w:val="20"/>
          <w:szCs w:val="20"/>
          <w:color w:val="auto"/>
        </w:rPr>
      </w:pPr>
    </w:p>
    <w:p>
      <w:pPr>
        <w:ind w:right="20" w:firstLine="629"/>
        <w:spacing w:after="0" w:line="262" w:lineRule="auto"/>
        <w:rPr>
          <w:sz w:val="20"/>
          <w:szCs w:val="20"/>
          <w:color w:val="auto"/>
        </w:rPr>
      </w:pPr>
      <w:r>
        <w:rPr>
          <w:rFonts w:ascii="Times New Roman" w:cs="Times New Roman" w:eastAsia="Times New Roman" w:hAnsi="Times New Roman"/>
          <w:sz w:val="17"/>
          <w:szCs w:val="17"/>
          <w:color w:val="auto"/>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options, foreign exchange, futures, fixed income, cryptocurrencies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68" w:right="379" w:bottom="1440" w:gutter="0" w:footer="0" w:header="0"/>
        </w:sectPr>
      </w:pPr>
    </w:p>
    <w:bookmarkStart w:id="48" w:name="page49"/>
    <w:bookmarkEnd w:id="48"/>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third-party licensing or processing fees.</w:t>
      </w:r>
    </w:p>
    <w:p>
      <w:pPr>
        <w:spacing w:after="0" w:line="196" w:lineRule="exact"/>
        <w:rPr>
          <w:sz w:val="20"/>
          <w:szCs w:val="20"/>
          <w:color w:val="auto"/>
        </w:rPr>
      </w:pPr>
    </w:p>
    <w:p>
      <w:pPr>
        <w:ind w:right="20" w:firstLine="629"/>
        <w:spacing w:after="0" w:line="274" w:lineRule="auto"/>
        <w:rPr>
          <w:sz w:val="20"/>
          <w:szCs w:val="20"/>
          <w:color w:val="auto"/>
        </w:rPr>
      </w:pPr>
      <w:r>
        <w:rPr>
          <w:rFonts w:ascii="Times New Roman" w:cs="Times New Roman" w:eastAsia="Times New Roman" w:hAnsi="Times New Roman"/>
          <w:sz w:val="17"/>
          <w:szCs w:val="17"/>
          <w:color w:val="auto"/>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spacing w:after="0" w:line="200" w:lineRule="exact"/>
        <w:rPr>
          <w:sz w:val="20"/>
          <w:szCs w:val="20"/>
          <w:color w:val="auto"/>
        </w:rPr>
      </w:pPr>
    </w:p>
    <w:p>
      <w:pPr>
        <w:spacing w:after="0" w:line="205" w:lineRule="exact"/>
        <w:rPr>
          <w:sz w:val="20"/>
          <w:szCs w:val="20"/>
          <w:color w:val="auto"/>
        </w:rPr>
      </w:pPr>
    </w:p>
    <w:p>
      <w:pPr>
        <w:ind w:right="60" w:firstLine="629"/>
        <w:spacing w:after="0" w:line="270" w:lineRule="auto"/>
        <w:rPr>
          <w:sz w:val="20"/>
          <w:szCs w:val="20"/>
          <w:color w:val="auto"/>
        </w:rPr>
      </w:pPr>
      <w:r>
        <w:rPr>
          <w:rFonts w:ascii="Times New Roman" w:cs="Times New Roman" w:eastAsia="Times New Roman" w:hAnsi="Times New Roman"/>
          <w:sz w:val="17"/>
          <w:szCs w:val="17"/>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194" w:lineRule="exact"/>
        <w:rPr>
          <w:sz w:val="20"/>
          <w:szCs w:val="20"/>
          <w:color w:val="auto"/>
        </w:rPr>
      </w:pPr>
    </w:p>
    <w:p>
      <w:pPr>
        <w:ind w:right="420" w:firstLine="629"/>
        <w:spacing w:after="0" w:line="296" w:lineRule="auto"/>
        <w:rPr>
          <w:sz w:val="20"/>
          <w:szCs w:val="20"/>
          <w:color w:val="auto"/>
        </w:rPr>
      </w:pPr>
      <w:r>
        <w:rPr>
          <w:rFonts w:ascii="Times New Roman" w:cs="Times New Roman" w:eastAsia="Times New Roman" w:hAnsi="Times New Roman"/>
          <w:sz w:val="17"/>
          <w:szCs w:val="17"/>
          <w:color w:val="auto"/>
        </w:rPr>
        <w:t>We have two operating segments: Market Making and Execution Services, and one non-operating segment: Corporate. Our management allocates resources, assesses performance and manages our business according to these segments.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 Making</w:t>
      </w:r>
    </w:p>
    <w:p>
      <w:pPr>
        <w:spacing w:after="0" w:line="25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We leverage cutting edge technology to provide competitive and deep liquidity that helps to create more efficient markets around the world. As a market maker and liquidity provider, we stand ready, at any time, to buy or sell a broad range of securities and other financial instruments,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50,000 securities and other financial instruments, on over 150 venues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spacing w:after="0" w:line="20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We believe the overall level of volumes and realized volatility as well as the attractiveness of the order flow we interact with and the level of retail participation in the various markets we serve have the greatest impact on the financial performance of our market making businesses. Increases in market volatility can cause bid/ask spreads to widen as market participants are more willing to pay market makers like us to transact immediately and as a result, market makers’ capture rate per notional amount transacted may increase.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Execution Services</w:t>
      </w:r>
    </w:p>
    <w:p>
      <w:pPr>
        <w:spacing w:after="0" w:line="254"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 The segment also includes the results of our capital markets business, in which we act as an agent for issuers in connection with at-the-market offerings and buyback programs.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Corporate</w:t>
      </w:r>
    </w:p>
    <w:p>
      <w:pPr>
        <w:spacing w:after="0" w:line="254" w:lineRule="exact"/>
        <w:rPr>
          <w:sz w:val="20"/>
          <w:szCs w:val="20"/>
          <w:color w:val="auto"/>
        </w:rPr>
      </w:pPr>
    </w:p>
    <w:p>
      <w:pPr>
        <w:ind w:right="600" w:firstLine="629"/>
        <w:spacing w:after="0" w:line="296" w:lineRule="auto"/>
        <w:rPr>
          <w:sz w:val="20"/>
          <w:szCs w:val="20"/>
          <w:color w:val="auto"/>
        </w:rPr>
      </w:pPr>
      <w:r>
        <w:rPr>
          <w:rFonts w:ascii="Times New Roman" w:cs="Times New Roman" w:eastAsia="Times New Roman" w:hAnsi="Times New Roman"/>
          <w:sz w:val="17"/>
          <w:szCs w:val="17"/>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b w:val="1"/>
          <w:bCs w:val="1"/>
          <w:color w:val="auto"/>
        </w:rPr>
        <w:t>Credit Agreement</w:t>
      </w:r>
    </w:p>
    <w:p>
      <w:pPr>
        <w:spacing w:after="0" w:line="252" w:lineRule="exact"/>
        <w:rPr>
          <w:sz w:val="20"/>
          <w:szCs w:val="20"/>
          <w:color w:val="auto"/>
        </w:rPr>
      </w:pPr>
    </w:p>
    <w:p>
      <w:pPr>
        <w:ind w:right="20" w:firstLine="629"/>
        <w:spacing w:after="0" w:line="262" w:lineRule="auto"/>
        <w:rPr>
          <w:sz w:val="20"/>
          <w:szCs w:val="20"/>
          <w:color w:val="auto"/>
        </w:rPr>
      </w:pPr>
      <w:r>
        <w:rPr>
          <w:rFonts w:ascii="Times New Roman" w:cs="Times New Roman" w:eastAsia="Times New Roman" w:hAnsi="Times New Roman"/>
          <w:sz w:val="17"/>
          <w:szCs w:val="17"/>
          <w:color w:val="auto"/>
        </w:rPr>
        <w:t>On January 13, 2022 (the “Credit Agreement Closing Date”), VFH and Virtu Financial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“Original Credit Agreement”). The Original Credit Agreement provides (i) a senior secured first lien term loan in an aggregate principal amount of $1,800.0 million, drawn in its entirety on the Credit Agreement Closing Date, the proceeds of which were used by VFH to repay all amounts outstanding under the previous credit agreement entered into in relation to the ITG Acquisition,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205" w:lineRule="exact"/>
        <w:rPr>
          <w:sz w:val="20"/>
          <w:szCs w:val="20"/>
          <w:color w:val="auto"/>
        </w:rPr>
      </w:pPr>
    </w:p>
    <w:p>
      <w:pPr>
        <w:ind w:right="120" w:firstLine="629"/>
        <w:spacing w:after="0" w:line="265" w:lineRule="auto"/>
        <w:rPr>
          <w:sz w:val="20"/>
          <w:szCs w:val="20"/>
          <w:color w:val="auto"/>
        </w:rPr>
      </w:pPr>
      <w:r>
        <w:rPr>
          <w:rFonts w:ascii="Times New Roman" w:cs="Times New Roman" w:eastAsia="Times New Roman" w:hAnsi="Times New Roman"/>
          <w:sz w:val="17"/>
          <w:szCs w:val="17"/>
          <w:color w:val="auto"/>
        </w:rPr>
        <w:t>On June 21, 2024 (the “Amendment No. 1 Effective Date”), the Company entered into Amendment No. 1 to the Original Credit Agreement (as amended, the “First Amended Credit Agreement”) and completed the issuance of the Notes (as defined below). Pursuant to the First Amended Credit Agreement, $1,245.0 million in aggregate principal amount of Senior Secured First Lien Term B-1 Loans due 2031 (the “Term B-1 Loans”) were issued, the proceeds of which were used, along with the proceeds of the Notes, to repay in full all term loans previously outstanding under the Original Credit Agreement. Additionally, the First Amended Credit Agreement provides an increase in its senior secured first lien revolving credit facility from $250.0 million to $300.0 million and an extension of the maturity thereof to three years after the Amendment No. 1 Effective Date.</w:t>
      </w:r>
    </w:p>
    <w:p>
      <w:pPr>
        <w:spacing w:after="0" w:line="198" w:lineRule="exact"/>
        <w:rPr>
          <w:sz w:val="20"/>
          <w:szCs w:val="20"/>
          <w:color w:val="auto"/>
        </w:rPr>
      </w:pPr>
    </w:p>
    <w:p>
      <w:pPr>
        <w:ind w:right="140" w:firstLine="629"/>
        <w:spacing w:after="0" w:line="265" w:lineRule="auto"/>
        <w:rPr>
          <w:sz w:val="20"/>
          <w:szCs w:val="20"/>
          <w:color w:val="auto"/>
        </w:rPr>
      </w:pPr>
      <w:r>
        <w:rPr>
          <w:rFonts w:ascii="Times New Roman" w:cs="Times New Roman" w:eastAsia="Times New Roman" w:hAnsi="Times New Roman"/>
          <w:sz w:val="17"/>
          <w:szCs w:val="17"/>
          <w:color w:val="auto"/>
        </w:rPr>
        <w:t>The Term B-1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1.00% and (d) 1.00%, plus, in each case, 1.75%, or (ii) the greater of (x) term SOFR for the interest period in effect and (y) 0%, plus, in each case, 2.75%. The Term B-1 Loans will mature on the seventh anniversary of the Amendment No. 1 Effective Date and amortize in annual installments equal to 1.0% of the original aggregate principal amount of the Term B-1 Loans. The Term B-1 Loans are also subject to contingent principal payments based on excess cash flow and certain other triggering events.</w:t>
      </w:r>
    </w:p>
    <w:p>
      <w:pPr>
        <w:spacing w:after="0" w:line="198"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On February 19, 2025 (the “Amendment No. 2 Effective Date”), the Company entered into Amendment No. 2 to the First Amended Credit Agreement (“Amendment No. 2”). Amendment No. 2 amended the First Amended Credit Agreement (as amended, the “Credit Agreement”) to, among other things, effect a repricing of the $1,245.0 million in aggregate principal amount of Term B-1 Loans by establishing a new refinancing tranche of $1,245.0 million in aggregate principal amount of Senior Secured First Lien Term B-2 Loans (the “Original Term B-2 Loans”), the proceeds of which were used to repay in full the Term B-1 Loans on the Amendment No. 2 Effective Date.</w:t>
      </w:r>
    </w:p>
    <w:p>
      <w:pPr>
        <w:spacing w:after="0" w:line="196"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On September 23, 2025 (the “Amendment No. 3 Effective Date”), the Company entered into Amendment No. 3 to the First Amended Credit Agreement (“Amendment No. 3”). Amendment No. 3 amended the Credit Agreement to effect the issuance of incremental Senior Secured First Lien Term B-2 Loans in the amount of $300.0 million, the proceeds of which were used for general corporate purposes, for a total Term B-2 Loan balance of $1,545.0 million (collectively, the “Term B-2 Loans”).</w:t>
      </w:r>
    </w:p>
    <w:p>
      <w:pPr>
        <w:spacing w:after="0" w:line="194" w:lineRule="exact"/>
        <w:rPr>
          <w:sz w:val="20"/>
          <w:szCs w:val="20"/>
          <w:color w:val="auto"/>
        </w:rPr>
      </w:pPr>
    </w:p>
    <w:p>
      <w:pPr>
        <w:ind w:right="60" w:firstLine="629"/>
        <w:spacing w:after="0" w:line="265" w:lineRule="auto"/>
        <w:rPr>
          <w:sz w:val="20"/>
          <w:szCs w:val="20"/>
          <w:color w:val="auto"/>
        </w:rPr>
      </w:pPr>
      <w:r>
        <w:rPr>
          <w:rFonts w:ascii="Times New Roman" w:cs="Times New Roman" w:eastAsia="Times New Roman" w:hAnsi="Times New Roman"/>
          <w:sz w:val="17"/>
          <w:szCs w:val="17"/>
          <w:color w:val="auto"/>
        </w:rPr>
        <w:t>The Term B-2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 and (d) 1.0%, plus, in each case, 1.50%, or (ii) the greater of (x) term SOFR for the interest period in effect and (y) 0%, plus, in each case, 2.50%. The Term B-2 Loans will mature on June 21, 2031 and amortize in annual installments equal to 1.0% of the original aggregate principal amount of the Term B-2 Loans due on each anniversary of the Amendment No. 2 Effective Date. The Term B-2 Loans are also subject to contingent principal payments based on excess cash flow and certain other triggering events.</w:t>
      </w:r>
    </w:p>
    <w:p>
      <w:pPr>
        <w:spacing w:after="0" w:line="198"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The interest rate swap effectively fixed interest payment obligations on $1,075.0 million of principal of the Term B-2 Loans at a rate of 6.92% through November 2025, based on the interest rates set forth in the Credit Agreement.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Indenture</w:t>
      </w:r>
    </w:p>
    <w:p>
      <w:pPr>
        <w:spacing w:after="0" w:line="252" w:lineRule="exact"/>
        <w:rPr>
          <w:sz w:val="20"/>
          <w:szCs w:val="20"/>
          <w:color w:val="auto"/>
        </w:rPr>
      </w:pPr>
    </w:p>
    <w:p>
      <w:pPr>
        <w:ind w:right="20" w:firstLine="629"/>
        <w:spacing w:after="0" w:line="276" w:lineRule="auto"/>
        <w:rPr>
          <w:sz w:val="20"/>
          <w:szCs w:val="20"/>
          <w:color w:val="auto"/>
        </w:rPr>
      </w:pPr>
      <w:r>
        <w:rPr>
          <w:rFonts w:ascii="Times New Roman" w:cs="Times New Roman" w:eastAsia="Times New Roman" w:hAnsi="Times New Roman"/>
          <w:sz w:val="17"/>
          <w:szCs w:val="17"/>
          <w:color w:val="auto"/>
        </w:rPr>
        <w:t>On June 21, 2024, VFH and Valor Co-Issuer, Inc., a subsidiary of Virtu Financial, (the “Co-Issuer”) completed the offering of $500.0 million aggregate principal amount of 7.50% senior secured first lien notes due 2031 (the “Notes”). The Notes were issued under an Indenture, dated as of June 21, 2024 (the “Indenture”), among the VFH, the Co-Issuer, Virtu</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50" w:name="page51"/>
    <w:bookmarkEnd w:id="50"/>
    <w:p>
      <w:pPr>
        <w:ind w:right="40"/>
        <w:spacing w:after="0" w:line="276" w:lineRule="auto"/>
        <w:rPr>
          <w:sz w:val="20"/>
          <w:szCs w:val="20"/>
          <w:color w:val="auto"/>
        </w:rPr>
      </w:pPr>
      <w:r>
        <w:rPr>
          <w:rFonts w:ascii="Times New Roman" w:cs="Times New Roman" w:eastAsia="Times New Roman" w:hAnsi="Times New Roman"/>
          <w:sz w:val="17"/>
          <w:szCs w:val="17"/>
          <w:color w:val="auto"/>
        </w:rPr>
        <w:t>Financial and the subsidiary guarantors party thereto, and U.S. Bank Trust Company, National Association, as the trustee and collateral agent. The Notes mature on June 15, 2031. Interest on the Notes accrues at 7.50% per annum, payable every six months through maturity on each June 15 and December 15, beginning on December 15, 2024. We refer to VFH and the Co-Issuer together as, the “Issuers.”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Second Amended and Restated 2015 Management Incentive Plan</w:t>
      </w:r>
    </w:p>
    <w:p>
      <w:pPr>
        <w:spacing w:after="0" w:line="252" w:lineRule="exact"/>
        <w:rPr>
          <w:sz w:val="20"/>
          <w:szCs w:val="20"/>
          <w:color w:val="auto"/>
        </w:rPr>
      </w:pPr>
    </w:p>
    <w:p>
      <w:pPr>
        <w:ind w:right="20" w:firstLine="629"/>
        <w:spacing w:after="0" w:line="262" w:lineRule="auto"/>
        <w:rPr>
          <w:sz w:val="20"/>
          <w:szCs w:val="20"/>
          <w:color w:val="auto"/>
        </w:rPr>
      </w:pPr>
      <w:r>
        <w:rPr>
          <w:rFonts w:ascii="Times New Roman" w:cs="Times New Roman" w:eastAsia="Times New Roman" w:hAnsi="Times New Roman"/>
          <w:sz w:val="17"/>
          <w:szCs w:val="17"/>
          <w:color w:val="auto"/>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June 5, 2020, June 2, 2022, and June 2, 2025 (as amended and restated, the “Second Amended and Restated 2015 Management Incentive Plan”). On April 23, 2025, the Company’s Board of Directors adopted the Second Amended and Restated 2015 Management Incentive Plan to increase the number of shares, to extend the expiration date to June 2, 2035 and to remove certain provisions related to Section 162(m) of the Code that are no longer applicable. The Second Amended and Restated 2015 Management Incentive Plan provides for the grant of stock options, restricted stock units, and other awards based on an aggregate of 33,500,000 shares of Class A Common Stock, par value $0.00001 per share (the “Class A Common Stock”), subject to additional sublimits, including limits on the total option grant to any one participant in a single year and the total performance award to any one participant in a single year. The Second Amended and Restated 2015 Management Incentive Plan was approved by the Company’s shareholders at the Company’s annual meeting of shareholders on June 2, 2025.</w:t>
      </w:r>
    </w:p>
    <w:p>
      <w:pPr>
        <w:spacing w:after="0" w:line="201"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In connection with the IPO, non-qualified stock options to purchase 9,228,000 shares were granted at the IPO per share price, each of which vested in equal annual installments over a period of four years from the grant date and expire not later than 10 years from the grant date. Subsequent to the IPO and through March 31, 2026, options to purchase 1,646,500 shares in the aggregate were forfeited and 7,581,500 options were exercised. The fair value of the stock option grants was determined through the application of the Black-Scholes-Merton model and was recognized on a straight-line basis over the vesting period.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Parent Company Financial Information</w:t>
      </w:r>
    </w:p>
    <w:p>
      <w:pPr>
        <w:spacing w:after="0" w:line="25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There are no material differences between our condensed consolidated financial statements and the financial statements of Virtu Financial except as follows: (i) cash and cash equivalents reflected on our Condensed Consolidated Statements of Financial Condition as of March 31, 2026 in the amount of $176.9 million; (ii) deferred tax assets reflected on our Condensed Consolidated Statements of Financial Condition as of March 31, 2026 in the amount of $83.1 million and tax receivable agreement obligation in the amount of $166.5 million, in each case as described in greater detail in Note 5 “Tax Receivable Agreements” of Part I Item 1 “Financial Statements” of this Quarterly Report on Form 10-Q; (iii) a portion of the member’s equity of Virtu Financial is represented as noncontrolling interest on our Condensed Consolidated Statements of Financial Condition as of March 31, 2026; and (iv) provision for corporate income tax in the amount of $39.3 million reflected on our Condensed Consolidated Statements of Comprehensive Income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52" w:lineRule="exact"/>
        <w:rPr>
          <w:sz w:val="20"/>
          <w:szCs w:val="20"/>
          <w:color w:val="auto"/>
        </w:rPr>
      </w:pPr>
    </w:p>
    <w:p>
      <w:pPr>
        <w:ind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shows our i) Total revenue, ii) Total operating expenses, and iii) Income before income taxes and noncontrolling interest by segment for the three months ended March 31, 2026 and 2025:</w:t>
      </w:r>
    </w:p>
    <w:p>
      <w:pPr>
        <w:spacing w:after="0" w:line="206" w:lineRule="exact"/>
        <w:rPr>
          <w:sz w:val="20"/>
          <w:szCs w:val="20"/>
          <w:color w:val="auto"/>
        </w:rPr>
      </w:pPr>
    </w:p>
    <w:tbl>
      <w:tblPr>
        <w:tblLayout w:type="fixed"/>
        <w:tblInd w:w="1540" w:type="dxa"/>
        <w:tblCellMar>
          <w:top w:w="0" w:type="dxa"/>
          <w:left w:w="0" w:type="dxa"/>
          <w:bottom w:w="0" w:type="dxa"/>
          <w:right w:w="0" w:type="dxa"/>
        </w:tblCellMar>
      </w:tblPr>
      <w:tr>
        <w:trPr>
          <w:trHeight w:val="184"/>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6"/>
                <w:szCs w:val="16"/>
                <w:color w:val="auto"/>
              </w:rPr>
            </w:pPr>
          </w:p>
        </w:tc>
        <w:tc>
          <w:tcPr>
            <w:tcW w:w="2620" w:type="dxa"/>
            <w:vAlign w:val="bottom"/>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5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915,697</w:t>
            </w:r>
          </w:p>
        </w:tc>
        <w:tc>
          <w:tcPr>
            <w:tcW w:w="100" w:type="dxa"/>
            <w:vAlign w:val="bottom"/>
          </w:tcPr>
          <w:p>
            <w:pPr>
              <w:spacing w:after="0"/>
              <w:rPr>
                <w:sz w:val="15"/>
                <w:szCs w:val="15"/>
                <w:color w:val="auto"/>
              </w:rPr>
            </w:pPr>
          </w:p>
        </w:tc>
        <w:tc>
          <w:tcPr>
            <w:tcW w:w="340" w:type="dxa"/>
            <w:vAlign w:val="bottom"/>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691,172</w:t>
            </w: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539,253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501,992</w:t>
            </w: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376,444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189,180</w:t>
            </w:r>
          </w:p>
        </w:tc>
      </w:tr>
      <w:tr>
        <w:trPr>
          <w:trHeight w:val="204"/>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187,131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141,008</w:t>
            </w: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146,041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111,083</w:t>
            </w: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41,090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29,925</w:t>
            </w:r>
          </w:p>
        </w:tc>
      </w:tr>
      <w:tr>
        <w:trPr>
          <w:trHeight w:val="204"/>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5,689</w:t>
            </w:r>
          </w:p>
        </w:tc>
      </w:tr>
      <w:tr>
        <w:trPr>
          <w:trHeight w:val="204"/>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1,058</w:t>
            </w:r>
          </w:p>
        </w:tc>
      </w:tr>
      <w:tr>
        <w:trPr>
          <w:trHeight w:val="183"/>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4,631</w:t>
            </w:r>
          </w:p>
        </w:tc>
      </w:tr>
      <w:tr>
        <w:trPr>
          <w:trHeight w:val="204"/>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9"/>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Total revenue</w:t>
            </w:r>
          </w:p>
        </w:tc>
        <w:tc>
          <w:tcPr>
            <w:tcW w:w="3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1,095,327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837,869</w:t>
            </w:r>
          </w:p>
        </w:tc>
      </w:tr>
      <w:tr>
        <w:trPr>
          <w:trHeight w:val="197"/>
        </w:trPr>
        <w:tc>
          <w:tcPr>
            <w:tcW w:w="5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3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685,755</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614,133</w:t>
            </w:r>
          </w:p>
        </w:tc>
      </w:tr>
      <w:tr>
        <w:trPr>
          <w:trHeight w:val="196"/>
        </w:trPr>
        <w:tc>
          <w:tcPr>
            <w:tcW w:w="526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Income (loss) before income taxes and noncontrolling interest</w:t>
            </w:r>
          </w:p>
        </w:tc>
        <w:tc>
          <w:tcPr>
            <w:tcW w:w="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409,572</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223,736</w:t>
            </w:r>
          </w:p>
        </w:tc>
      </w:tr>
      <w:tr>
        <w:trPr>
          <w:trHeight w:val="20"/>
        </w:trPr>
        <w:tc>
          <w:tcPr>
            <w:tcW w:w="5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shows our results of operations for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680"/>
          </w:cols>
          <w:pgMar w:left="320" w:top="970" w:right="899" w:bottom="1440" w:gutter="0" w:footer="0" w:header="0"/>
        </w:sectPr>
      </w:pPr>
    </w:p>
    <w:bookmarkStart w:id="52" w:name="page53"/>
    <w:bookmarkEnd w:id="52"/>
    <w:tbl>
      <w:tblPr>
        <w:tblLayout w:type="fixed"/>
        <w:tblInd w:w="1520" w:type="dxa"/>
        <w:tblCellMar>
          <w:top w:w="0" w:type="dxa"/>
          <w:left w:w="0" w:type="dxa"/>
          <w:bottom w:w="0" w:type="dxa"/>
          <w:right w:w="0" w:type="dxa"/>
        </w:tblCellMar>
      </w:tblPr>
      <w:tr>
        <w:trPr>
          <w:trHeight w:val="184"/>
        </w:trPr>
        <w:tc>
          <w:tcPr>
            <w:tcW w:w="4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08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0"/>
        </w:trPr>
        <w:tc>
          <w:tcPr>
            <w:tcW w:w="4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4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Trading income, net</w:t>
            </w:r>
          </w:p>
        </w:tc>
        <w:tc>
          <w:tcPr>
            <w:tcW w:w="3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789,146</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589,983</w:t>
            </w:r>
          </w:p>
        </w:tc>
        <w:tc>
          <w:tcPr>
            <w:tcW w:w="0" w:type="dxa"/>
            <w:vAlign w:val="bottom"/>
          </w:tcPr>
          <w:p>
            <w:pPr>
              <w:spacing w:after="0"/>
              <w:rPr>
                <w:sz w:val="1"/>
                <w:szCs w:val="1"/>
                <w:color w:val="auto"/>
              </w:rPr>
            </w:pPr>
          </w:p>
        </w:tc>
      </w:tr>
      <w:tr>
        <w:trPr>
          <w:trHeight w:val="189"/>
        </w:trPr>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60" w:type="dxa"/>
            <w:vAlign w:val="bottom"/>
          </w:tcPr>
          <w:p>
            <w:pPr>
              <w:spacing w:after="0"/>
              <w:rPr>
                <w:sz w:val="16"/>
                <w:szCs w:val="16"/>
                <w:color w:val="auto"/>
              </w:rPr>
            </w:pPr>
          </w:p>
        </w:tc>
        <w:tc>
          <w:tcPr>
            <w:tcW w:w="11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127,518</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ind w:left="540"/>
              <w:spacing w:after="0"/>
              <w:rPr>
                <w:sz w:val="20"/>
                <w:szCs w:val="20"/>
                <w:color w:val="auto"/>
              </w:rPr>
            </w:pPr>
            <w:r>
              <w:rPr>
                <w:rFonts w:ascii="Times New Roman" w:cs="Times New Roman" w:eastAsia="Times New Roman" w:hAnsi="Times New Roman"/>
                <w:sz w:val="14"/>
                <w:szCs w:val="14"/>
                <w:color w:val="auto"/>
              </w:rPr>
              <w:t>109,053</w:t>
            </w:r>
          </w:p>
        </w:tc>
        <w:tc>
          <w:tcPr>
            <w:tcW w:w="0" w:type="dxa"/>
            <w:vAlign w:val="bottom"/>
          </w:tcPr>
          <w:p>
            <w:pPr>
              <w:spacing w:after="0"/>
              <w:rPr>
                <w:sz w:val="1"/>
                <w:szCs w:val="1"/>
                <w:color w:val="auto"/>
              </w:rPr>
            </w:pPr>
          </w:p>
        </w:tc>
      </w:tr>
      <w:tr>
        <w:trPr>
          <w:trHeight w:val="204"/>
        </w:trPr>
        <w:tc>
          <w:tcPr>
            <w:tcW w:w="50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186,625</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151,307</w:t>
            </w:r>
          </w:p>
        </w:tc>
        <w:tc>
          <w:tcPr>
            <w:tcW w:w="0" w:type="dxa"/>
            <w:vAlign w:val="bottom"/>
          </w:tcPr>
          <w:p>
            <w:pPr>
              <w:spacing w:after="0"/>
              <w:rPr>
                <w:sz w:val="1"/>
                <w:szCs w:val="1"/>
                <w:color w:val="auto"/>
              </w:rPr>
            </w:pPr>
          </w:p>
        </w:tc>
      </w:tr>
      <w:tr>
        <w:trPr>
          <w:trHeight w:val="190"/>
        </w:trPr>
        <w:tc>
          <w:tcPr>
            <w:tcW w:w="50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Other, net</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(7,962)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(12,474)</w:t>
            </w:r>
          </w:p>
        </w:tc>
        <w:tc>
          <w:tcPr>
            <w:tcW w:w="0" w:type="dxa"/>
            <w:vAlign w:val="bottom"/>
          </w:tcPr>
          <w:p>
            <w:pPr>
              <w:spacing w:after="0"/>
              <w:rPr>
                <w:sz w:val="1"/>
                <w:szCs w:val="1"/>
                <w:color w:val="auto"/>
              </w:rPr>
            </w:pPr>
          </w:p>
        </w:tc>
      </w:tr>
      <w:tr>
        <w:trPr>
          <w:trHeight w:val="196"/>
        </w:trPr>
        <w:tc>
          <w:tcPr>
            <w:tcW w:w="5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revenue</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1,095,327</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837,869</w:t>
            </w: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1520" w:type="dxa"/>
        <w:tblCellMar>
          <w:top w:w="0" w:type="dxa"/>
          <w:left w:w="0" w:type="dxa"/>
          <w:bottom w:w="0" w:type="dxa"/>
          <w:right w:w="0" w:type="dxa"/>
        </w:tblCellMar>
      </w:tblPr>
      <w:tr>
        <w:trPr>
          <w:trHeight w:val="19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189"/>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Brokerage, exchange, clearance fees and payments for order flow, net</w:t>
            </w:r>
          </w:p>
        </w:tc>
        <w:tc>
          <w:tcPr>
            <w:tcW w:w="48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138,828</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221,875</w:t>
            </w:r>
          </w:p>
        </w:tc>
      </w:tr>
      <w:tr>
        <w:trPr>
          <w:trHeight w:val="204"/>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Communication and data processing</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66,875</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59,803</w:t>
            </w:r>
          </w:p>
        </w:tc>
      </w:tr>
      <w:tr>
        <w:trPr>
          <w:trHeight w:val="189"/>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compensation and payroll taxes</w:t>
            </w:r>
          </w:p>
        </w:tc>
        <w:tc>
          <w:tcPr>
            <w:tcW w:w="48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208,355</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119,356</w:t>
            </w:r>
          </w:p>
        </w:tc>
      </w:tr>
      <w:tr>
        <w:trPr>
          <w:trHeight w:val="204"/>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177,927</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131,328</w:t>
            </w:r>
          </w:p>
        </w:tc>
      </w:tr>
      <w:tr>
        <w:trPr>
          <w:trHeight w:val="189"/>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Operations and administrative</w:t>
            </w:r>
          </w:p>
        </w:tc>
        <w:tc>
          <w:tcPr>
            <w:tcW w:w="48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29,073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22,136</w:t>
            </w:r>
          </w:p>
        </w:tc>
      </w:tr>
      <w:tr>
        <w:trPr>
          <w:trHeight w:val="204"/>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16,429</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15,932</w:t>
            </w:r>
          </w:p>
        </w:tc>
      </w:tr>
      <w:tr>
        <w:trPr>
          <w:trHeight w:val="189"/>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48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11,783</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11,783</w:t>
            </w:r>
          </w:p>
        </w:tc>
      </w:tr>
      <w:tr>
        <w:trPr>
          <w:trHeight w:val="204"/>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4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w:t>
            </w:r>
          </w:p>
        </w:tc>
      </w:tr>
      <w:tr>
        <w:trPr>
          <w:trHeight w:val="189"/>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Debt issue cost related to debt refinancing, prepayment and commitment fees</w:t>
            </w:r>
          </w:p>
        </w:tc>
        <w:tc>
          <w:tcPr>
            <w:tcW w:w="48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1,656</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1,681</w:t>
            </w:r>
          </w:p>
        </w:tc>
      </w:tr>
      <w:tr>
        <w:trPr>
          <w:trHeight w:val="204"/>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4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338</w:t>
            </w:r>
          </w:p>
        </w:tc>
      </w:tr>
      <w:tr>
        <w:trPr>
          <w:trHeight w:val="190"/>
        </w:trPr>
        <w:tc>
          <w:tcPr>
            <w:tcW w:w="5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4"/>
                <w:szCs w:val="14"/>
                <w:color w:val="auto"/>
              </w:rPr>
              <w:t>Financing interest expense on long-term borrowings</w:t>
            </w:r>
          </w:p>
        </w:tc>
        <w:tc>
          <w:tcPr>
            <w:tcW w:w="4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34,845</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29,891</w:t>
            </w:r>
          </w:p>
        </w:tc>
      </w:tr>
      <w:tr>
        <w:trPr>
          <w:trHeight w:val="196"/>
        </w:trPr>
        <w:tc>
          <w:tcPr>
            <w:tcW w:w="5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685,755</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614,133</w:t>
            </w:r>
          </w:p>
        </w:tc>
      </w:tr>
      <w:tr>
        <w:trPr>
          <w:trHeight w:val="183"/>
        </w:trPr>
        <w:tc>
          <w:tcPr>
            <w:tcW w:w="50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before income taxes and noncontrolling interest</w:t>
            </w:r>
          </w:p>
        </w:tc>
        <w:tc>
          <w:tcPr>
            <w:tcW w:w="480" w:type="dxa"/>
            <w:vAlign w:val="bottom"/>
          </w:tcPr>
          <w:p>
            <w:pPr>
              <w:spacing w:after="0"/>
              <w:rPr>
                <w:sz w:val="15"/>
                <w:szCs w:val="15"/>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409,572</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223,736</w:t>
            </w:r>
          </w:p>
        </w:tc>
      </w:tr>
      <w:tr>
        <w:trPr>
          <w:trHeight w:val="197"/>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4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62,976</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34,101</w:t>
            </w:r>
          </w:p>
        </w:tc>
      </w:tr>
      <w:tr>
        <w:trPr>
          <w:trHeight w:val="196"/>
        </w:trPr>
        <w:tc>
          <w:tcPr>
            <w:tcW w:w="50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4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346,596</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189,635</w:t>
            </w: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15"/>
        </w:trPr>
        <w:tc>
          <w:tcPr>
            <w:tcW w:w="5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Selected Operating Margins</w:t>
            </w:r>
          </w:p>
        </w:tc>
        <w:tc>
          <w:tcPr>
            <w:tcW w:w="32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3"/>
        </w:trPr>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GAAP Net income Margin (1)</w:t>
            </w:r>
          </w:p>
        </w:tc>
        <w:tc>
          <w:tcPr>
            <w:tcW w:w="320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4"/>
                <w:szCs w:val="14"/>
                <w:color w:val="auto"/>
              </w:rPr>
              <w:t>31.6 %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22.6 %</w:t>
            </w:r>
          </w:p>
        </w:tc>
      </w:tr>
      <w:tr>
        <w:trPr>
          <w:trHeight w:val="252"/>
        </w:trPr>
        <w:tc>
          <w:tcPr>
            <w:tcW w:w="2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(1)</w:t>
            </w:r>
          </w:p>
        </w:tc>
        <w:tc>
          <w:tcPr>
            <w:tcW w:w="52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Calculated by dividing Net income by Total revenue.</w:t>
            </w:r>
          </w:p>
        </w:tc>
        <w:tc>
          <w:tcPr>
            <w:tcW w:w="3200" w:type="dxa"/>
            <w:vAlign w:val="bottom"/>
          </w:tcPr>
          <w:p>
            <w:pPr>
              <w:spacing w:after="0"/>
              <w:rPr>
                <w:sz w:val="21"/>
                <w:szCs w:val="21"/>
                <w:color w:val="auto"/>
              </w:rPr>
            </w:pPr>
          </w:p>
        </w:tc>
        <w:tc>
          <w:tcPr>
            <w:tcW w:w="10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901" w:right="1440" w:bottom="1440" w:gutter="0" w:footer="0" w:header="0"/>
        </w:sectPr>
      </w:pPr>
    </w:p>
    <w:bookmarkStart w:id="53" w:name="page54"/>
    <w:bookmarkEnd w:id="53"/>
    <w:p>
      <w:pPr>
        <w:ind w:left="1260"/>
        <w:spacing w:after="0"/>
        <w:rPr>
          <w:sz w:val="20"/>
          <w:szCs w:val="20"/>
          <w:color w:val="auto"/>
        </w:rPr>
      </w:pPr>
      <w:r>
        <w:rPr>
          <w:rFonts w:ascii="Times New Roman" w:cs="Times New Roman" w:eastAsia="Times New Roman" w:hAnsi="Times New Roman"/>
          <w:sz w:val="17"/>
          <w:szCs w:val="17"/>
          <w:color w:val="auto"/>
        </w:rPr>
        <w:t>Net income available to stockholders and basic and diluted earnings per share are presented below:</w:t>
      </w:r>
    </w:p>
    <w:p>
      <w:pPr>
        <w:spacing w:after="0" w:line="218" w:lineRule="exact"/>
        <w:rPr>
          <w:sz w:val="20"/>
          <w:szCs w:val="20"/>
          <w:color w:val="auto"/>
        </w:rPr>
      </w:pPr>
    </w:p>
    <w:tbl>
      <w:tblPr>
        <w:tblLayout w:type="fixed"/>
        <w:tblInd w:w="250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0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3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for share or per share data)</w:t>
            </w: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8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3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346,596</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189,635</w:t>
            </w:r>
          </w:p>
        </w:tc>
        <w:tc>
          <w:tcPr>
            <w:tcW w:w="0" w:type="dxa"/>
            <w:vAlign w:val="bottom"/>
          </w:tcPr>
          <w:p>
            <w:pPr>
              <w:spacing w:after="0"/>
              <w:rPr>
                <w:sz w:val="1"/>
                <w:szCs w:val="1"/>
                <w:color w:val="auto"/>
              </w:rPr>
            </w:pPr>
          </w:p>
        </w:tc>
      </w:tr>
      <w:tr>
        <w:trPr>
          <w:trHeight w:val="189"/>
        </w:trPr>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Noncontrolling interest</w:t>
            </w: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(164,287)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(89,954)</w:t>
            </w:r>
          </w:p>
        </w:tc>
        <w:tc>
          <w:tcPr>
            <w:tcW w:w="0" w:type="dxa"/>
            <w:vAlign w:val="bottom"/>
          </w:tcPr>
          <w:p>
            <w:pPr>
              <w:spacing w:after="0"/>
              <w:rPr>
                <w:sz w:val="1"/>
                <w:szCs w:val="1"/>
                <w:color w:val="auto"/>
              </w:rPr>
            </w:pPr>
          </w:p>
        </w:tc>
      </w:tr>
      <w:tr>
        <w:trPr>
          <w:trHeight w:val="256"/>
        </w:trPr>
        <w:tc>
          <w:tcPr>
            <w:tcW w:w="3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income available for common stockholders</w:t>
            </w:r>
          </w:p>
        </w:tc>
        <w:tc>
          <w:tcPr>
            <w:tcW w:w="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182,309</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99,681</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Earnings per share</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89"/>
        </w:trPr>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tcPr>
          <w:p>
            <w:pPr>
              <w:spacing w:after="0"/>
              <w:rPr>
                <w:sz w:val="16"/>
                <w:szCs w:val="16"/>
                <w:color w:val="auto"/>
              </w:rPr>
            </w:pP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256"/>
        </w:trPr>
        <w:tc>
          <w:tcPr>
            <w:tcW w:w="3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86,093,727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85,681,015</w:t>
            </w:r>
          </w:p>
        </w:tc>
        <w:tc>
          <w:tcPr>
            <w:tcW w:w="0" w:type="dxa"/>
            <w:vAlign w:val="bottom"/>
          </w:tcPr>
          <w:p>
            <w:pPr>
              <w:spacing w:after="0"/>
              <w:rPr>
                <w:sz w:val="1"/>
                <w:szCs w:val="1"/>
                <w:color w:val="auto"/>
              </w:rPr>
            </w:pPr>
          </w:p>
        </w:tc>
      </w:tr>
      <w:tr>
        <w:trPr>
          <w:trHeight w:val="182"/>
        </w:trPr>
        <w:tc>
          <w:tcPr>
            <w:tcW w:w="3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86,093,727</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86,047,558</w:t>
            </w:r>
          </w:p>
        </w:tc>
        <w:tc>
          <w:tcPr>
            <w:tcW w:w="0" w:type="dxa"/>
            <w:vAlign w:val="bottom"/>
          </w:tcPr>
          <w:p>
            <w:pPr>
              <w:spacing w:after="0"/>
              <w:rPr>
                <w:sz w:val="1"/>
                <w:szCs w:val="1"/>
                <w:color w:val="auto"/>
              </w:rPr>
            </w:pPr>
          </w:p>
        </w:tc>
      </w:tr>
    </w:tbl>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Revenues</w:t>
      </w:r>
    </w:p>
    <w:p>
      <w:pPr>
        <w:spacing w:after="0" w:line="254"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Revenues are generated through market making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spacing w:after="0" w:line="194" w:lineRule="exact"/>
        <w:rPr>
          <w:sz w:val="20"/>
          <w:szCs w:val="20"/>
          <w:color w:val="auto"/>
        </w:rPr>
      </w:pPr>
    </w:p>
    <w:p>
      <w:pPr>
        <w:ind w:right="60" w:firstLine="62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Trading income, net. </w:t>
      </w:r>
      <w:r>
        <w:rPr>
          <w:rFonts w:ascii="Times New Roman" w:cs="Times New Roman" w:eastAsia="Times New Roman" w:hAnsi="Times New Roman"/>
          <w:sz w:val="17"/>
          <w:szCs w:val="17"/>
          <w:color w:val="auto"/>
        </w:rPr>
        <w:t>Trading income, net represents revenue earned from bid/ask spreads. Trading income is generated in the normal course of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market making activities and is typically proportional to the level of trading activity, or volumes, and bid/ask spreads in the asset classes we serve. Our trading income is highly diversified by asset class and geography and comprises small amounts earned on millions of trades on various exchanges. Our trading income, net, results from gains and losses associated with trading strategies, which are designed to capture small bid/ask spreads, while hedging risks. Trading income, net, accounted for 72% and 70% of our total revenues for the three months ended March 31, 2026 and 2025, respectively.</w:t>
      </w:r>
    </w:p>
    <w:p>
      <w:pPr>
        <w:spacing w:after="0" w:line="192" w:lineRule="exact"/>
        <w:rPr>
          <w:sz w:val="20"/>
          <w:szCs w:val="20"/>
          <w:color w:val="auto"/>
        </w:rPr>
      </w:pPr>
    </w:p>
    <w:p>
      <w:pPr>
        <w:ind w:right="6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income. </w:t>
      </w:r>
      <w:r>
        <w:rPr>
          <w:rFonts w:ascii="Times New Roman" w:cs="Times New Roman" w:eastAsia="Times New Roman" w:hAnsi="Times New Roman"/>
          <w:sz w:val="17"/>
          <w:szCs w:val="17"/>
          <w:color w:val="auto"/>
        </w:rPr>
        <w:t>Our market making activities require us to hold securities on a regular basis, and we generate revenues in the form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interest and dividends income from these securities. Interest is also earned on securities borrowed from other market participants pursuant to collateralized financing arrangements and on cash held by brokers. Dividends income arises from holding market making positions over dates on which dividends and capital gain distributions are paid to shareholders of record.</w:t>
      </w:r>
    </w:p>
    <w:p>
      <w:pPr>
        <w:spacing w:after="0" w:line="188"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Commissions, net and technology services. </w:t>
      </w:r>
      <w:r>
        <w:rPr>
          <w:rFonts w:ascii="Times New Roman" w:cs="Times New Roman" w:eastAsia="Times New Roman" w:hAnsi="Times New Roman"/>
          <w:sz w:val="17"/>
          <w:szCs w:val="17"/>
          <w:color w:val="auto"/>
        </w:rPr>
        <w:t>We earn revenues on transactions for which we charge explicit commissions, which include the majority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volume-based fees from providing liquidity to other trading venues; and the level of our soft dollar and commission recapture activity. Client commission fees are charged for client trades executed by us on behalf of third-party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 parties. Revenues are derived from fees generated by matching sell-side and buy-side clients orders, and from analytic products delivered to the clients.</w:t>
      </w:r>
    </w:p>
    <w:p>
      <w:pPr>
        <w:spacing w:after="0" w:line="200" w:lineRule="exact"/>
        <w:rPr>
          <w:sz w:val="20"/>
          <w:szCs w:val="20"/>
          <w:color w:val="auto"/>
        </w:rPr>
      </w:pPr>
    </w:p>
    <w:p>
      <w:pPr>
        <w:spacing w:after="0" w:line="207" w:lineRule="exact"/>
        <w:rPr>
          <w:sz w:val="20"/>
          <w:szCs w:val="20"/>
          <w:color w:val="auto"/>
        </w:rPr>
      </w:pPr>
    </w:p>
    <w:p>
      <w:pPr>
        <w:ind w:right="6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net. </w:t>
      </w:r>
      <w:r>
        <w:rPr>
          <w:rFonts w:ascii="Times New Roman" w:cs="Times New Roman" w:eastAsia="Times New Roman" w:hAnsi="Times New Roman"/>
          <w:sz w:val="17"/>
          <w:szCs w:val="17"/>
          <w:color w:val="auto"/>
        </w:rPr>
        <w:t>We have interests in a telecommunications joint venture and certain strategic investments (“JVs”). We record our pro-rata share of our JVs’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earnings or losses within Other, net as applicable, and fees related to the use of communication services provided by the telecommunications JV are recorded within Communications and data processing.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54" w:name="page55"/>
    <w:bookmarkEnd w:id="54"/>
    <w:p>
      <w:pPr>
        <w:ind w:right="240" w:firstLine="629"/>
        <w:spacing w:after="0" w:line="260" w:lineRule="auto"/>
        <w:rPr>
          <w:sz w:val="20"/>
          <w:szCs w:val="20"/>
          <w:color w:val="auto"/>
        </w:rPr>
      </w:pPr>
      <w:r>
        <w:rPr>
          <w:rFonts w:ascii="Times New Roman" w:cs="Times New Roman" w:eastAsia="Times New Roman" w:hAnsi="Times New Roman"/>
          <w:sz w:val="17"/>
          <w:szCs w:val="17"/>
          <w:color w:val="auto"/>
        </w:rPr>
        <w:t>We have a noncontrolling investment (the “JNX Investment”) in Japannext Co., Ltd. (“JNX”), a proprietary trading system based in Tokyo. In connection with the investment, we issued bonds to certain affiliates of JNX and used the proceeds to partially finance the transaction. Revenues or losses are recognized due to the changes in fair value of the investment or fluctuations in Japanese Yen conversion rates within Other, net.</w:t>
      </w:r>
    </w:p>
    <w:p>
      <w:pPr>
        <w:spacing w:after="0" w:line="203" w:lineRule="exact"/>
        <w:rPr>
          <w:sz w:val="20"/>
          <w:szCs w:val="20"/>
          <w:color w:val="auto"/>
        </w:rPr>
      </w:pPr>
    </w:p>
    <w:p>
      <w:pPr>
        <w:ind w:right="80" w:firstLine="629"/>
        <w:spacing w:after="0" w:line="296" w:lineRule="auto"/>
        <w:rPr>
          <w:sz w:val="20"/>
          <w:szCs w:val="20"/>
          <w:color w:val="auto"/>
        </w:rPr>
      </w:pPr>
      <w:r>
        <w:rPr>
          <w:rFonts w:ascii="Times New Roman" w:cs="Times New Roman" w:eastAsia="Times New Roman" w:hAnsi="Times New Roman"/>
          <w:sz w:val="17"/>
          <w:szCs w:val="17"/>
          <w:color w:val="auto"/>
        </w:rPr>
        <w:t>Other, net can also include gains on sales of strategic investments and businesses, settlement fund recoveries, remeasurement gains or losses on certain digital assets held, as well as revenues from service agreements related to the sale of businesses.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50"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Brokerage, exchange, clearance fees and payments for order flow, net. </w:t>
      </w:r>
      <w:r>
        <w:rPr>
          <w:rFonts w:ascii="Times New Roman" w:cs="Times New Roman" w:eastAsia="Times New Roman" w:hAnsi="Times New Roman"/>
          <w:sz w:val="17"/>
          <w:szCs w:val="17"/>
          <w:color w:val="auto"/>
        </w:rPr>
        <w:t>Brokerage, exchange, clearance fees and payments for order flow are our most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significant expenses, which include 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w:t>
      </w:r>
    </w:p>
    <w:p>
      <w:pPr>
        <w:spacing w:after="0" w:line="198" w:lineRule="exact"/>
        <w:rPr>
          <w:sz w:val="20"/>
          <w:szCs w:val="20"/>
          <w:color w:val="auto"/>
        </w:rPr>
      </w:pPr>
    </w:p>
    <w:p>
      <w:pPr>
        <w:ind w:right="34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Communication and data processing. </w:t>
      </w:r>
      <w:r>
        <w:rPr>
          <w:rFonts w:ascii="Times New Roman" w:cs="Times New Roman" w:eastAsia="Times New Roman" w:hAnsi="Times New Roman"/>
          <w:sz w:val="17"/>
          <w:szCs w:val="17"/>
          <w:color w:val="auto"/>
        </w:rPr>
        <w:t>Communication and data processing represent primarily fixed expenses for data center co-location, network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lines and connectivity for our trading 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188" w:lineRule="exact"/>
        <w:rPr>
          <w:sz w:val="20"/>
          <w:szCs w:val="20"/>
          <w:color w:val="auto"/>
        </w:rPr>
      </w:pPr>
    </w:p>
    <w:p>
      <w:pPr>
        <w:ind w:right="14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Employee compensation and payroll taxes. </w:t>
      </w:r>
      <w:r>
        <w:rPr>
          <w:rFonts w:ascii="Times New Roman" w:cs="Times New Roman" w:eastAsia="Times New Roman" w:hAnsi="Times New Roman"/>
          <w:sz w:val="17"/>
          <w:szCs w:val="17"/>
          <w:color w:val="auto"/>
        </w:rPr>
        <w:t>Employee compensation and payroll taxes include employee salaries, cash and non-cash incentive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compensation, employee benefits, payroll taxes, severance and other employee related costs. Employee compensation and payroll taxes also includes non-cash compensation expenses with respect to restricted stock units and restricted stock awards pursuant to the Second Amended and Restated 2015 Management Incentive Plan.</w:t>
      </w:r>
    </w:p>
    <w:p>
      <w:pPr>
        <w:spacing w:after="0" w:line="188" w:lineRule="exact"/>
        <w:rPr>
          <w:sz w:val="20"/>
          <w:szCs w:val="20"/>
          <w:color w:val="auto"/>
        </w:rPr>
      </w:pPr>
    </w:p>
    <w:p>
      <w:pPr>
        <w:ind w:right="14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expense. </w:t>
      </w:r>
      <w:r>
        <w:rPr>
          <w:rFonts w:ascii="Times New Roman" w:cs="Times New Roman" w:eastAsia="Times New Roman" w:hAnsi="Times New Roman"/>
          <w:sz w:val="17"/>
          <w:szCs w:val="17"/>
          <w:color w:val="auto"/>
        </w:rPr>
        <w:t>We incur interest expense from loaning certain equity securities in the general course of our market making activities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pursuant to collateralized lending transactions. Typically, dividends expense is incurred when a dividend is paid on securities sold short.</w:t>
      </w:r>
    </w:p>
    <w:p>
      <w:pPr>
        <w:spacing w:after="0" w:line="165" w:lineRule="exact"/>
        <w:rPr>
          <w:sz w:val="20"/>
          <w:szCs w:val="20"/>
          <w:color w:val="auto"/>
        </w:rPr>
      </w:pPr>
    </w:p>
    <w:p>
      <w:pPr>
        <w:ind w:right="16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Operations and administrative. </w:t>
      </w:r>
      <w:r>
        <w:rPr>
          <w:rFonts w:ascii="Times New Roman" w:cs="Times New Roman" w:eastAsia="Times New Roman" w:hAnsi="Times New Roman"/>
          <w:sz w:val="17"/>
          <w:szCs w:val="17"/>
          <w:color w:val="auto"/>
        </w:rPr>
        <w:t>Operations and administrative expense represents occupancy, recruiting, travel and related expense, professional fees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other expenses.</w:t>
      </w:r>
    </w:p>
    <w:p>
      <w:pPr>
        <w:spacing w:after="0" w:line="165" w:lineRule="exact"/>
        <w:rPr>
          <w:sz w:val="20"/>
          <w:szCs w:val="20"/>
          <w:color w:val="auto"/>
        </w:rPr>
      </w:pPr>
    </w:p>
    <w:p>
      <w:pPr>
        <w:ind w:right="60" w:firstLine="629"/>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and amortization. </w:t>
      </w:r>
      <w:r>
        <w:rPr>
          <w:rFonts w:ascii="Times New Roman" w:cs="Times New Roman" w:eastAsia="Times New Roman" w:hAnsi="Times New Roman"/>
          <w:sz w:val="17"/>
          <w:szCs w:val="17"/>
          <w:color w:val="auto"/>
        </w:rPr>
        <w:t>Depreciation and amortization expense results from the depreciation of fixed assets and leased equipment, such 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computing and communications hardware, 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spacing w:after="0" w:line="193" w:lineRule="exact"/>
        <w:rPr>
          <w:sz w:val="20"/>
          <w:szCs w:val="20"/>
          <w:color w:val="auto"/>
        </w:rPr>
      </w:pPr>
    </w:p>
    <w:p>
      <w:pPr>
        <w:ind w:right="24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Amortization of purchased intangibles and acquired capitalized software. </w:t>
      </w:r>
      <w:r>
        <w:rPr>
          <w:rFonts w:ascii="Times New Roman" w:cs="Times New Roman" w:eastAsia="Times New Roman" w:hAnsi="Times New Roman"/>
          <w:sz w:val="17"/>
          <w:szCs w:val="17"/>
          <w:color w:val="auto"/>
        </w:rPr>
        <w:t>Amortization of purchased intangibles and acquired capitalized software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represents the amortization of finite lived intangible assets acquired in connection with the Acquisition of KCG and the ITG Acquisition. These assets are amortized over their useful lives, ranging from 1 to 15 years, except for certain assets which were categorized as having indefinite useful lives.</w:t>
      </w:r>
    </w:p>
    <w:p>
      <w:pPr>
        <w:spacing w:after="0" w:line="183" w:lineRule="exact"/>
        <w:rPr>
          <w:sz w:val="20"/>
          <w:szCs w:val="20"/>
          <w:color w:val="auto"/>
        </w:rPr>
      </w:pPr>
    </w:p>
    <w:p>
      <w:pPr>
        <w:ind w:right="8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of office leases. </w:t>
      </w:r>
      <w:r>
        <w:rPr>
          <w:rFonts w:ascii="Times New Roman" w:cs="Times New Roman" w:eastAsia="Times New Roman" w:hAnsi="Times New Roman"/>
          <w:sz w:val="17"/>
          <w:szCs w:val="17"/>
          <w:color w:val="auto"/>
        </w:rPr>
        <w:t>Termination of office leases represents the write-off expense and asset retirement obligations related to certain office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space we ceased use of as part of the effort to integrate and consolidate office space. The aggregate write-off amount includes the impairment of operating lease right-of-use assets, leasehold improvements and fixed assets, and dilapidation charges.</w:t>
      </w:r>
    </w:p>
    <w:p>
      <w:pPr>
        <w:spacing w:after="0" w:line="183" w:lineRule="exact"/>
        <w:rPr>
          <w:sz w:val="20"/>
          <w:szCs w:val="20"/>
          <w:color w:val="auto"/>
        </w:rPr>
      </w:pPr>
    </w:p>
    <w:p>
      <w:pPr>
        <w:ind w:right="34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issue cost related to debt refinancing, prepayment and commitment fees. </w:t>
      </w:r>
      <w:r>
        <w:rPr>
          <w:rFonts w:ascii="Times New Roman" w:cs="Times New Roman" w:eastAsia="Times New Roman" w:hAnsi="Times New Roman"/>
          <w:sz w:val="17"/>
          <w:szCs w:val="17"/>
          <w:color w:val="auto"/>
        </w:rPr>
        <w:t>As a result of the refinancing or early termination of our long-term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borrowings, we accelerate the capitalized debt issue cost and the discount on the term loan that</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55" w:name="page56"/>
    <w:bookmarkEnd w:id="55"/>
    <w:p>
      <w:pPr>
        <w:ind w:right="20"/>
        <w:spacing w:after="0" w:line="296" w:lineRule="auto"/>
        <w:rPr>
          <w:sz w:val="20"/>
          <w:szCs w:val="20"/>
          <w:color w:val="auto"/>
        </w:rPr>
      </w:pPr>
      <w:r>
        <w:rPr>
          <w:rFonts w:ascii="Times New Roman" w:cs="Times New Roman" w:eastAsia="Times New Roman" w:hAnsi="Times New Roman"/>
          <w:sz w:val="17"/>
          <w:szCs w:val="17"/>
          <w:color w:val="auto"/>
        </w:rPr>
        <w:t>would otherwise be amortized or accreted over the life of the term loan. Premium paid in connection with retiring outstanding bonds, and commitment fees paid for lines of credit are also included in this category.</w:t>
      </w:r>
    </w:p>
    <w:p>
      <w:pPr>
        <w:spacing w:after="0" w:line="169" w:lineRule="exact"/>
        <w:rPr>
          <w:sz w:val="20"/>
          <w:szCs w:val="20"/>
          <w:color w:val="auto"/>
        </w:rPr>
      </w:pPr>
    </w:p>
    <w:p>
      <w:pPr>
        <w:ind w:right="120"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Transaction advisory fees and expenses. </w:t>
      </w:r>
      <w:r>
        <w:rPr>
          <w:rFonts w:ascii="Times New Roman" w:cs="Times New Roman" w:eastAsia="Times New Roman" w:hAnsi="Times New Roman"/>
          <w:sz w:val="17"/>
          <w:szCs w:val="17"/>
          <w:color w:val="auto"/>
        </w:rPr>
        <w:t>Transaction advisory fees and expenses primarily reflect professional fees incurred by us in connection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one or more acquisitions or dispositions.</w:t>
      </w:r>
    </w:p>
    <w:p>
      <w:pPr>
        <w:spacing w:after="0" w:line="165" w:lineRule="exact"/>
        <w:rPr>
          <w:sz w:val="20"/>
          <w:szCs w:val="20"/>
          <w:color w:val="auto"/>
        </w:rPr>
      </w:pPr>
    </w:p>
    <w:p>
      <w:pPr>
        <w:ind w:firstLine="62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interest expense on long-term borrowings. </w:t>
      </w:r>
      <w:r>
        <w:rPr>
          <w:rFonts w:ascii="Times New Roman" w:cs="Times New Roman" w:eastAsia="Times New Roman" w:hAnsi="Times New Roman"/>
          <w:sz w:val="17"/>
          <w:szCs w:val="17"/>
          <w:color w:val="auto"/>
        </w:rPr>
        <w:t>Financing interest expense reflects interest accrued on outstanding indebtedness under our long-term borrowing arrangements.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54" w:lineRule="exact"/>
        <w:rPr>
          <w:sz w:val="20"/>
          <w:szCs w:val="20"/>
          <w:color w:val="auto"/>
        </w:rPr>
      </w:pPr>
    </w:p>
    <w:p>
      <w:pPr>
        <w:ind w:right="60" w:firstLine="629"/>
        <w:spacing w:after="0" w:line="296" w:lineRule="auto"/>
        <w:rPr>
          <w:sz w:val="20"/>
          <w:szCs w:val="20"/>
          <w:color w:val="auto"/>
        </w:rPr>
      </w:pPr>
      <w:r>
        <w:rPr>
          <w:rFonts w:ascii="Times New Roman" w:cs="Times New Roman" w:eastAsia="Times New Roman" w:hAnsi="Times New Roman"/>
          <w:sz w:val="17"/>
          <w:szCs w:val="17"/>
          <w:color w:val="auto"/>
        </w:rPr>
        <w:t>We are subject to U.S. federal, state and local income tax at the rate applicable to corporations less the rate attributable to the noncontrolling interest in Virtu Financial. Our non-U.S. operations are also subject to foreign income tax at the applicable corporate rates.</w:t>
      </w:r>
    </w:p>
    <w:p>
      <w:pPr>
        <w:spacing w:after="0" w:line="173" w:lineRule="exact"/>
        <w:rPr>
          <w:sz w:val="20"/>
          <w:szCs w:val="20"/>
          <w:color w:val="auto"/>
        </w:rPr>
      </w:pPr>
    </w:p>
    <w:p>
      <w:pPr>
        <w:jc w:val="both"/>
        <w:ind w:right="180" w:firstLine="629"/>
        <w:spacing w:after="0" w:line="264" w:lineRule="auto"/>
        <w:rPr>
          <w:sz w:val="20"/>
          <w:szCs w:val="20"/>
          <w:color w:val="auto"/>
        </w:rPr>
      </w:pPr>
      <w:r>
        <w:rPr>
          <w:rFonts w:ascii="Times New Roman" w:cs="Times New Roman" w:eastAsia="Times New Roman" w:hAnsi="Times New Roman"/>
          <w:sz w:val="17"/>
          <w:szCs w:val="17"/>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w:t>
      </w:r>
    </w:p>
    <w:p>
      <w:pPr>
        <w:spacing w:after="0" w:line="2"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7"/>
          <w:szCs w:val="17"/>
          <w:color w:val="auto"/>
        </w:rPr>
        <w:t>Additionally, our effective tax rate can be more or less volatile based on the amount of pre-tax income or loss. For example, the impact of discrete items and non-deductible expenses on our effective tax rate is greater when our pre-tax income is lower. Our effective tax rate may also be impacted by changes in the portion of income that is attributable to the noncontrolling interest.</w:t>
      </w:r>
    </w:p>
    <w:p>
      <w:pPr>
        <w:spacing w:after="0" w:line="199"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15 “Income Taxes” of Part I Item 1 “Financial Statements” of this Quarterly Report on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color w:val="auto"/>
        </w:rPr>
        <w:t>Non-GAAP Financial Measures and Other Items</w:t>
      </w:r>
    </w:p>
    <w:p>
      <w:pPr>
        <w:spacing w:after="0" w:line="252" w:lineRule="exact"/>
        <w:rPr>
          <w:sz w:val="20"/>
          <w:szCs w:val="20"/>
          <w:color w:val="auto"/>
        </w:rPr>
      </w:pPr>
    </w:p>
    <w:p>
      <w:pPr>
        <w:ind w:right="100" w:firstLine="629"/>
        <w:spacing w:after="0" w:line="296" w:lineRule="auto"/>
        <w:rPr>
          <w:sz w:val="20"/>
          <w:szCs w:val="20"/>
          <w:color w:val="auto"/>
        </w:rPr>
      </w:pPr>
      <w:r>
        <w:rPr>
          <w:rFonts w:ascii="Times New Roman" w:cs="Times New Roman" w:eastAsia="Times New Roman" w:hAnsi="Times New Roman"/>
          <w:sz w:val="17"/>
          <w:szCs w:val="17"/>
          <w:color w:val="auto"/>
        </w:rPr>
        <w:t>To supplement our Condensed Consolidated Financial Statements presented in accordance with generally accepted accounting principles in the United States (“U.S. GAAP”), we use the following non-U.S. GAAP (“Non-GAAP”) financial measures of financial performance:</w:t>
      </w:r>
    </w:p>
    <w:p>
      <w:pPr>
        <w:spacing w:after="0" w:line="160" w:lineRule="exact"/>
        <w:rPr>
          <w:sz w:val="20"/>
          <w:szCs w:val="20"/>
          <w:color w:val="auto"/>
        </w:rPr>
      </w:pPr>
    </w:p>
    <w:p>
      <w:pPr>
        <w:ind w:left="1020" w:right="20" w:hanging="229"/>
        <w:spacing w:after="0" w:line="243" w:lineRule="auto"/>
        <w:tabs>
          <w:tab w:leader="none" w:pos="10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We also disclose Adjusted Net Trading Income by segment, and as daily averages by dividing Adjusted Net Trading Income by the number of trading days in a given period. We count days on which U.S. equities exchanges close early or otherwise operate for less than a full trading day as half-days. Management believes that Adjusted Net Trading Income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core business activities.</w:t>
      </w:r>
    </w:p>
    <w:p>
      <w:pPr>
        <w:spacing w:after="0" w:line="201" w:lineRule="exact"/>
        <w:rPr>
          <w:rFonts w:ascii="Times New Roman" w:cs="Times New Roman" w:eastAsia="Times New Roman" w:hAnsi="Times New Roman"/>
          <w:sz w:val="17"/>
          <w:szCs w:val="17"/>
          <w:color w:val="auto"/>
        </w:rPr>
      </w:pPr>
    </w:p>
    <w:p>
      <w:pPr>
        <w:ind w:left="1020" w:right="40" w:hanging="229"/>
        <w:spacing w:after="0" w:line="260" w:lineRule="auto"/>
        <w:tabs>
          <w:tab w:leader="none" w:pos="10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share-based compensation and other expenses, which includes reserves for legal matters, and Other, net, which includes gains and losses from strategic investments, the sales of businesses, and other income.</w:t>
      </w:r>
    </w:p>
    <w:p>
      <w:pPr>
        <w:spacing w:after="0" w:line="73" w:lineRule="exact"/>
        <w:rPr>
          <w:rFonts w:ascii="Times New Roman" w:cs="Times New Roman" w:eastAsia="Times New Roman" w:hAnsi="Times New Roman"/>
          <w:sz w:val="17"/>
          <w:szCs w:val="17"/>
          <w:color w:val="auto"/>
        </w:rPr>
      </w:pPr>
    </w:p>
    <w:p>
      <w:pPr>
        <w:ind w:left="1020" w:right="220" w:hanging="229"/>
        <w:spacing w:after="0" w:line="270" w:lineRule="auto"/>
        <w:tabs>
          <w:tab w:leader="none" w:pos="10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“Normalized Adjusted Net Income”, “Normalized Adjusted Net Income before income taxes”, “Normalized provision for income taxes”, and “Normalized Adjusted EPS”, which we calculate by adjusting Net Income to exclude certain items, and other non-cash items, assuming that all vested and unvested Virtu Financial Units have been exchanged for Class A Common Stock, and applying an effective tax rate, which was approximately 24%.</w:t>
      </w:r>
    </w:p>
    <w:p>
      <w:pPr>
        <w:spacing w:after="0" w:line="63"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Margins, which are calculated by dividing net income, EBITDA, and Adjusted EBITDA by Adjusted Net Trading Income.</w:t>
      </w:r>
    </w:p>
    <w:p>
      <w:pPr>
        <w:spacing w:after="0" w:line="250" w:lineRule="exact"/>
        <w:rPr>
          <w:sz w:val="20"/>
          <w:szCs w:val="20"/>
          <w:color w:val="auto"/>
        </w:rPr>
      </w:pPr>
    </w:p>
    <w:p>
      <w:pPr>
        <w:ind w:firstLine="629"/>
        <w:spacing w:after="0" w:line="260" w:lineRule="auto"/>
        <w:rPr>
          <w:sz w:val="20"/>
          <w:szCs w:val="20"/>
          <w:color w:val="auto"/>
        </w:rPr>
      </w:pPr>
      <w:r>
        <w:rPr>
          <w:rFonts w:ascii="Times New Roman" w:cs="Times New Roman" w:eastAsia="Times New Roman" w:hAnsi="Times New Roman"/>
          <w:sz w:val="17"/>
          <w:szCs w:val="17"/>
          <w:color w:val="auto"/>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spacing w:after="0" w:line="207"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spacing w:after="0" w:line="194" w:lineRule="exact"/>
        <w:rPr>
          <w:sz w:val="20"/>
          <w:szCs w:val="20"/>
          <w:color w:val="auto"/>
        </w:rPr>
      </w:pPr>
    </w:p>
    <w:p>
      <w:pPr>
        <w:ind w:left="1020" w:hanging="229"/>
        <w:spacing w:after="0"/>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every cash expenditure, future requirements for capital expenditures or contractual commitments;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57" w:name="page58"/>
    <w:bookmarkEnd w:id="57"/>
    <w:p>
      <w:pPr>
        <w:ind w:left="1020" w:right="380" w:hanging="229"/>
        <w:spacing w:after="0" w:line="296" w:lineRule="auto"/>
        <w:tabs>
          <w:tab w:leader="none" w:pos="10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EBITDA-based measures do not reflect the significant interest expense or the cash requirements necessary to service interest or principal payment on our debt;</w:t>
      </w:r>
    </w:p>
    <w:p>
      <w:pPr>
        <w:spacing w:after="0" w:line="41" w:lineRule="exact"/>
        <w:rPr>
          <w:rFonts w:ascii="Times New Roman" w:cs="Times New Roman" w:eastAsia="Times New Roman" w:hAnsi="Times New Roman"/>
          <w:sz w:val="17"/>
          <w:szCs w:val="17"/>
          <w:color w:val="auto"/>
        </w:rPr>
      </w:pPr>
    </w:p>
    <w:p>
      <w:pPr>
        <w:ind w:left="1020" w:right="60" w:hanging="229"/>
        <w:spacing w:after="0" w:line="296" w:lineRule="auto"/>
        <w:tabs>
          <w:tab w:leader="none" w:pos="101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41"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are not adjusted for all non-cash income or expense items that are reflected in our consolidated statements of cash flows;</w:t>
      </w:r>
    </w:p>
    <w:p>
      <w:pPr>
        <w:spacing w:after="0" w:line="118"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the impact of earnings or charges resulting from matters we consider not to be indicative of our ongoing operations; and</w:t>
      </w:r>
    </w:p>
    <w:p>
      <w:pPr>
        <w:spacing w:after="0" w:line="118" w:lineRule="exact"/>
        <w:rPr>
          <w:rFonts w:ascii="Times New Roman" w:cs="Times New Roman" w:eastAsia="Times New Roman" w:hAnsi="Times New Roman"/>
          <w:sz w:val="17"/>
          <w:szCs w:val="17"/>
          <w:color w:val="auto"/>
        </w:rPr>
      </w:pPr>
    </w:p>
    <w:p>
      <w:pPr>
        <w:ind w:left="1020" w:hanging="229"/>
        <w:spacing w:after="0"/>
        <w:tabs>
          <w:tab w:leader="none" w:pos="10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limitations on our costs related to transferring earnings from our subsidiaries to us.</w:t>
      </w:r>
    </w:p>
    <w:p>
      <w:pPr>
        <w:spacing w:after="0" w:line="250"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spacing w:after="0" w:line="198" w:lineRule="exact"/>
        <w:rPr>
          <w:sz w:val="20"/>
          <w:szCs w:val="20"/>
          <w:color w:val="auto"/>
        </w:rPr>
      </w:pPr>
    </w:p>
    <w:p>
      <w:pPr>
        <w:ind w:right="40" w:firstLine="629"/>
        <w:spacing w:after="0" w:line="296" w:lineRule="auto"/>
        <w:rPr>
          <w:sz w:val="20"/>
          <w:szCs w:val="20"/>
          <w:color w:val="auto"/>
        </w:rPr>
      </w:pPr>
      <w:r>
        <w:rPr>
          <w:rFonts w:ascii="Times New Roman" w:cs="Times New Roman" w:eastAsia="Times New Roman" w:hAnsi="Times New Roman"/>
          <w:sz w:val="17"/>
          <w:szCs w:val="17"/>
          <w:color w:val="auto"/>
        </w:rPr>
        <w:t>The following table reconciles the Condensed Consolidated Statements of Comprehensive Income to arrive at Adjusted Net Trading Income, EBITDA, Adjusted EBITDA, and Operating Margins for the three months ended March 31, 2026 and 2025.</w:t>
      </w:r>
    </w:p>
    <w:p>
      <w:pPr>
        <w:spacing w:after="0" w:line="206" w:lineRule="exact"/>
        <w:rPr>
          <w:sz w:val="20"/>
          <w:szCs w:val="20"/>
          <w:color w:val="auto"/>
        </w:rPr>
      </w:pPr>
    </w:p>
    <w:tbl>
      <w:tblPr>
        <w:tblLayout w:type="fixed"/>
        <w:tblInd w:w="128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4"/>
          </w:tcPr>
          <w:p>
            <w:pPr>
              <w:jc w:val="right"/>
              <w:ind w:right="37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9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Trading income, net to Adjusted Net Trading Income</w:t>
            </w: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Trading income, net</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789,146</w:t>
            </w:r>
          </w:p>
        </w:tc>
        <w:tc>
          <w:tcPr>
            <w:tcW w:w="10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589,983</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127,518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109,053</w:t>
            </w:r>
          </w:p>
        </w:tc>
        <w:tc>
          <w:tcPr>
            <w:tcW w:w="0" w:type="dxa"/>
            <w:vAlign w:val="bottom"/>
          </w:tcPr>
          <w:p>
            <w:pPr>
              <w:spacing w:after="0"/>
              <w:rPr>
                <w:sz w:val="1"/>
                <w:szCs w:val="1"/>
                <w:color w:val="auto"/>
              </w:rPr>
            </w:pPr>
          </w:p>
        </w:tc>
      </w:tr>
      <w:tr>
        <w:trPr>
          <w:trHeight w:val="189"/>
        </w:trPr>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2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186,625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151,307</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Brokerage, exchange, clearance fees and payments for order flow, net</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(138,828)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(221,875)</w:t>
            </w:r>
          </w:p>
        </w:tc>
        <w:tc>
          <w:tcPr>
            <w:tcW w:w="0" w:type="dxa"/>
            <w:vAlign w:val="bottom"/>
          </w:tcPr>
          <w:p>
            <w:pPr>
              <w:spacing w:after="0"/>
              <w:rPr>
                <w:sz w:val="1"/>
                <w:szCs w:val="1"/>
                <w:color w:val="auto"/>
              </w:rPr>
            </w:pPr>
          </w:p>
        </w:tc>
      </w:tr>
      <w:tr>
        <w:trPr>
          <w:trHeight w:val="190"/>
        </w:trPr>
        <w:tc>
          <w:tcPr>
            <w:tcW w:w="59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(177,927)</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(131,328)</w:t>
            </w:r>
          </w:p>
        </w:tc>
        <w:tc>
          <w:tcPr>
            <w:tcW w:w="0" w:type="dxa"/>
            <w:vAlign w:val="bottom"/>
          </w:tcPr>
          <w:p>
            <w:pPr>
              <w:spacing w:after="0"/>
              <w:rPr>
                <w:sz w:val="1"/>
                <w:szCs w:val="1"/>
                <w:color w:val="auto"/>
              </w:rPr>
            </w:pPr>
          </w:p>
        </w:tc>
      </w:tr>
      <w:tr>
        <w:trPr>
          <w:trHeight w:val="221"/>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2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786,534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497,140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5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Net Income to EBITDA and Adjusted EBITDA</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346,596</w:t>
            </w:r>
          </w:p>
        </w:tc>
        <w:tc>
          <w:tcPr>
            <w:tcW w:w="100" w:type="dxa"/>
            <w:vAlign w:val="bottom"/>
          </w:tcPr>
          <w:p>
            <w:pPr>
              <w:spacing w:after="0"/>
              <w:rPr>
                <w:sz w:val="16"/>
                <w:szCs w:val="16"/>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189,635</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Financing interest expense on long-term borrowings</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34,845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29,891</w:t>
            </w:r>
          </w:p>
        </w:tc>
        <w:tc>
          <w:tcPr>
            <w:tcW w:w="0" w:type="dxa"/>
            <w:vAlign w:val="bottom"/>
          </w:tcPr>
          <w:p>
            <w:pPr>
              <w:spacing w:after="0"/>
              <w:rPr>
                <w:sz w:val="1"/>
                <w:szCs w:val="1"/>
                <w:color w:val="auto"/>
              </w:rPr>
            </w:pPr>
          </w:p>
        </w:tc>
      </w:tr>
      <w:tr>
        <w:trPr>
          <w:trHeight w:val="189"/>
        </w:trPr>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Debt issue cost related to debt refinancing, prepayment, and commitment fees</w:t>
            </w:r>
          </w:p>
        </w:tc>
        <w:tc>
          <w:tcPr>
            <w:tcW w:w="2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1,681</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16,429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15,932</w:t>
            </w:r>
          </w:p>
        </w:tc>
        <w:tc>
          <w:tcPr>
            <w:tcW w:w="0" w:type="dxa"/>
            <w:vAlign w:val="bottom"/>
          </w:tcPr>
          <w:p>
            <w:pPr>
              <w:spacing w:after="0"/>
              <w:rPr>
                <w:sz w:val="1"/>
                <w:szCs w:val="1"/>
                <w:color w:val="auto"/>
              </w:rPr>
            </w:pPr>
          </w:p>
        </w:tc>
      </w:tr>
      <w:tr>
        <w:trPr>
          <w:trHeight w:val="189"/>
        </w:trPr>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2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11,783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11,783</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62,976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34,101</w:t>
            </w:r>
          </w:p>
        </w:tc>
        <w:tc>
          <w:tcPr>
            <w:tcW w:w="0" w:type="dxa"/>
            <w:vAlign w:val="bottom"/>
          </w:tcPr>
          <w:p>
            <w:pPr>
              <w:spacing w:after="0"/>
              <w:rPr>
                <w:sz w:val="1"/>
                <w:szCs w:val="1"/>
                <w:color w:val="auto"/>
              </w:rPr>
            </w:pPr>
          </w:p>
        </w:tc>
      </w:tr>
      <w:tr>
        <w:trPr>
          <w:trHeight w:val="183"/>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EBITDA</w:t>
            </w:r>
          </w:p>
        </w:tc>
        <w:tc>
          <w:tcPr>
            <w:tcW w:w="2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474,285</w:t>
            </w:r>
          </w:p>
        </w:tc>
        <w:tc>
          <w:tcPr>
            <w:tcW w:w="100" w:type="dxa"/>
            <w:vAlign w:val="bottom"/>
          </w:tcPr>
          <w:p>
            <w:pPr>
              <w:spacing w:after="0"/>
              <w:rPr>
                <w:sz w:val="15"/>
                <w:szCs w:val="15"/>
                <w:color w:val="auto"/>
              </w:rPr>
            </w:pPr>
          </w:p>
        </w:tc>
        <w:tc>
          <w:tcPr>
            <w:tcW w:w="30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283,023</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Severance</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2,179</w:t>
            </w:r>
          </w:p>
        </w:tc>
        <w:tc>
          <w:tcPr>
            <w:tcW w:w="0" w:type="dxa"/>
            <w:vAlign w:val="bottom"/>
          </w:tcPr>
          <w:p>
            <w:pPr>
              <w:spacing w:after="0"/>
              <w:rPr>
                <w:sz w:val="1"/>
                <w:szCs w:val="1"/>
                <w:color w:val="auto"/>
              </w:rPr>
            </w:pPr>
          </w:p>
        </w:tc>
      </w:tr>
      <w:tr>
        <w:trPr>
          <w:trHeight w:val="189"/>
        </w:trPr>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260" w:type="dxa"/>
            <w:vAlign w:val="bottom"/>
          </w:tcPr>
          <w:p>
            <w:pPr>
              <w:spacing w:after="0"/>
              <w:rPr>
                <w:sz w:val="16"/>
                <w:szCs w:val="16"/>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9"/>
        </w:trPr>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9,311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12,501</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34,459</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21,888</w:t>
            </w:r>
          </w:p>
        </w:tc>
        <w:tc>
          <w:tcPr>
            <w:tcW w:w="0" w:type="dxa"/>
            <w:vAlign w:val="bottom"/>
          </w:tcPr>
          <w:p>
            <w:pPr>
              <w:spacing w:after="0"/>
              <w:rPr>
                <w:sz w:val="1"/>
                <w:szCs w:val="1"/>
                <w:color w:val="auto"/>
              </w:rPr>
            </w:pPr>
          </w:p>
        </w:tc>
      </w:tr>
      <w:tr>
        <w:trPr>
          <w:trHeight w:val="19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EBITDA</w:t>
            </w:r>
          </w:p>
        </w:tc>
        <w:tc>
          <w:tcPr>
            <w:tcW w:w="2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520,573</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319,939</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Selected Operating Margins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GAAP Net income Margin (1)</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22.6 %</w:t>
            </w:r>
          </w:p>
        </w:tc>
        <w:tc>
          <w:tcPr>
            <w:tcW w:w="0" w:type="dxa"/>
            <w:vAlign w:val="bottom"/>
          </w:tcPr>
          <w:p>
            <w:pPr>
              <w:spacing w:after="0"/>
              <w:rPr>
                <w:sz w:val="1"/>
                <w:szCs w:val="1"/>
                <w:color w:val="auto"/>
              </w:rPr>
            </w:pPr>
          </w:p>
        </w:tc>
      </w:tr>
      <w:tr>
        <w:trPr>
          <w:trHeight w:val="189"/>
        </w:trPr>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Non-GAAP Net income Margin (2)</w:t>
            </w:r>
          </w:p>
        </w:tc>
        <w:tc>
          <w:tcPr>
            <w:tcW w:w="2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44.1 %</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38.1 %</w:t>
            </w:r>
          </w:p>
        </w:tc>
        <w:tc>
          <w:tcPr>
            <w:tcW w:w="0" w:type="dxa"/>
            <w:vAlign w:val="bottom"/>
          </w:tcPr>
          <w:p>
            <w:pPr>
              <w:spacing w:after="0"/>
              <w:rPr>
                <w:sz w:val="1"/>
                <w:szCs w:val="1"/>
                <w:color w:val="auto"/>
              </w:rPr>
            </w:pPr>
          </w:p>
        </w:tc>
      </w:tr>
      <w:tr>
        <w:trPr>
          <w:trHeight w:val="204"/>
        </w:trPr>
        <w:tc>
          <w:tcPr>
            <w:tcW w:w="59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EBITDA Margin (3)</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56.9 %</w:t>
            </w:r>
          </w:p>
        </w:tc>
        <w:tc>
          <w:tcPr>
            <w:tcW w:w="0" w:type="dxa"/>
            <w:vAlign w:val="bottom"/>
          </w:tcPr>
          <w:p>
            <w:pPr>
              <w:spacing w:after="0"/>
              <w:rPr>
                <w:sz w:val="1"/>
                <w:szCs w:val="1"/>
                <w:color w:val="auto"/>
              </w:rPr>
            </w:pPr>
          </w:p>
        </w:tc>
      </w:tr>
      <w:tr>
        <w:trPr>
          <w:trHeight w:val="182"/>
        </w:trPr>
        <w:tc>
          <w:tcPr>
            <w:tcW w:w="59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Adjusted EBITDA Margin (4)</w:t>
            </w:r>
          </w:p>
        </w:tc>
        <w:tc>
          <w:tcPr>
            <w:tcW w:w="2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58" w:name="page59"/>
    <w:bookmarkEnd w:id="58"/>
    <w:p>
      <w:pPr>
        <w:ind w:left="400" w:hanging="395"/>
        <w:spacing w:after="0"/>
        <w:tabs>
          <w:tab w:leader="none" w:pos="4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Net Income by Total Revenue.</w:t>
      </w:r>
    </w:p>
    <w:p>
      <w:pPr>
        <w:spacing w:after="0" w:line="17"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Net Income by Adjusted Net Trading Income.</w:t>
      </w:r>
    </w:p>
    <w:p>
      <w:pPr>
        <w:spacing w:after="0" w:line="4"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EBITDA by Adjusted Net Trading Income.</w:t>
      </w:r>
    </w:p>
    <w:p>
      <w:pPr>
        <w:spacing w:after="0" w:line="7" w:lineRule="exact"/>
        <w:rPr>
          <w:rFonts w:ascii="Times New Roman" w:cs="Times New Roman" w:eastAsia="Times New Roman" w:hAnsi="Times New Roman"/>
          <w:sz w:val="16"/>
          <w:szCs w:val="16"/>
          <w:color w:val="auto"/>
        </w:rPr>
      </w:pPr>
    </w:p>
    <w:p>
      <w:pPr>
        <w:ind w:left="400" w:hanging="395"/>
        <w:spacing w:after="0"/>
        <w:tabs>
          <w:tab w:leader="none" w:pos="40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by dividing Adjusted EBITDA by Adjusted Net Trading Income.</w:t>
      </w: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reconciles Net Income to arrive at Normalized Adjusted Net Income before income taxes, Normalized provision for income taxes,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Normalized Adjusted Net Income and Normalized Adjusted EPS for the three months ended March 31, 2026 and 2025:</w:t>
      </w:r>
    </w:p>
    <w:p>
      <w:pPr>
        <w:spacing w:after="0" w:line="200" w:lineRule="exact"/>
        <w:rPr>
          <w:sz w:val="20"/>
          <w:szCs w:val="20"/>
          <w:color w:val="auto"/>
        </w:rPr>
      </w:pPr>
    </w:p>
    <w:tbl>
      <w:tblPr>
        <w:tblLayout w:type="fixed"/>
        <w:tblInd w:w="136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88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57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Reconciliation of Net Income to Normalized Adjusted Net Income</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346,596</w:t>
            </w:r>
          </w:p>
        </w:tc>
        <w:tc>
          <w:tcPr>
            <w:tcW w:w="100" w:type="dxa"/>
            <w:vAlign w:val="bottom"/>
          </w:tcPr>
          <w:p>
            <w:pPr>
              <w:spacing w:after="0"/>
              <w:rPr>
                <w:sz w:val="16"/>
                <w:szCs w:val="16"/>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189,635</w:t>
            </w:r>
          </w:p>
        </w:tc>
        <w:tc>
          <w:tcPr>
            <w:tcW w:w="0" w:type="dxa"/>
            <w:vAlign w:val="bottom"/>
          </w:tcPr>
          <w:p>
            <w:pPr>
              <w:spacing w:after="0"/>
              <w:rPr>
                <w:sz w:val="1"/>
                <w:szCs w:val="1"/>
                <w:color w:val="auto"/>
              </w:rPr>
            </w:pPr>
          </w:p>
        </w:tc>
      </w:tr>
      <w:tr>
        <w:trPr>
          <w:trHeight w:val="204"/>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62,976</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34,101</w:t>
            </w:r>
          </w:p>
        </w:tc>
        <w:tc>
          <w:tcPr>
            <w:tcW w:w="0" w:type="dxa"/>
            <w:vAlign w:val="bottom"/>
          </w:tcPr>
          <w:p>
            <w:pPr>
              <w:spacing w:after="0"/>
              <w:rPr>
                <w:sz w:val="1"/>
                <w:szCs w:val="1"/>
                <w:color w:val="auto"/>
              </w:rPr>
            </w:pPr>
          </w:p>
        </w:tc>
      </w:tr>
      <w:tr>
        <w:trPr>
          <w:trHeight w:val="183"/>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409,572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223,736</w:t>
            </w:r>
          </w:p>
        </w:tc>
        <w:tc>
          <w:tcPr>
            <w:tcW w:w="0" w:type="dxa"/>
            <w:vAlign w:val="bottom"/>
          </w:tcPr>
          <w:p>
            <w:pPr>
              <w:spacing w:after="0"/>
              <w:rPr>
                <w:sz w:val="1"/>
                <w:szCs w:val="1"/>
                <w:color w:val="auto"/>
              </w:rPr>
            </w:pPr>
          </w:p>
        </w:tc>
      </w:tr>
      <w:tr>
        <w:trPr>
          <w:trHeight w:val="164"/>
        </w:trPr>
        <w:tc>
          <w:tcPr>
            <w:tcW w:w="5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 of purchased intangibles and acquired capitalized software</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11,783</w:t>
            </w:r>
          </w:p>
        </w:tc>
        <w:tc>
          <w:tcPr>
            <w:tcW w:w="0" w:type="dxa"/>
            <w:vAlign w:val="bottom"/>
          </w:tcPr>
          <w:p>
            <w:pPr>
              <w:spacing w:after="0"/>
              <w:rPr>
                <w:sz w:val="1"/>
                <w:szCs w:val="1"/>
                <w:color w:val="auto"/>
              </w:rPr>
            </w:pPr>
          </w:p>
        </w:tc>
      </w:tr>
      <w:tr>
        <w:trPr>
          <w:trHeight w:val="204"/>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Debt issue cost related to debt refinancing, prepayment, and commitment fees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1,681</w:t>
            </w:r>
          </w:p>
        </w:tc>
        <w:tc>
          <w:tcPr>
            <w:tcW w:w="0" w:type="dxa"/>
            <w:vAlign w:val="bottom"/>
          </w:tcPr>
          <w:p>
            <w:pPr>
              <w:spacing w:after="0"/>
              <w:rPr>
                <w:sz w:val="1"/>
                <w:szCs w:val="1"/>
                <w:color w:val="auto"/>
              </w:rPr>
            </w:pPr>
          </w:p>
        </w:tc>
      </w:tr>
      <w:tr>
        <w:trPr>
          <w:trHeight w:val="189"/>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Severance</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w:t>
            </w:r>
          </w:p>
        </w:tc>
        <w:tc>
          <w:tcPr>
            <w:tcW w:w="0" w:type="dxa"/>
            <w:vAlign w:val="bottom"/>
          </w:tcPr>
          <w:p>
            <w:pPr>
              <w:spacing w:after="0"/>
              <w:rPr>
                <w:sz w:val="1"/>
                <w:szCs w:val="1"/>
                <w:color w:val="auto"/>
              </w:rPr>
            </w:pPr>
          </w:p>
        </w:tc>
      </w:tr>
      <w:tr>
        <w:trPr>
          <w:trHeight w:val="204"/>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Transaction advisory fees and expenses</w:t>
            </w:r>
          </w:p>
        </w:tc>
        <w:tc>
          <w:tcPr>
            <w:tcW w:w="2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189"/>
        </w:trPr>
        <w:tc>
          <w:tcPr>
            <w:tcW w:w="58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Termination of office leases</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4"/>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12,501</w:t>
            </w:r>
          </w:p>
        </w:tc>
        <w:tc>
          <w:tcPr>
            <w:tcW w:w="0" w:type="dxa"/>
            <w:vAlign w:val="bottom"/>
          </w:tcPr>
          <w:p>
            <w:pPr>
              <w:spacing w:after="0"/>
              <w:rPr>
                <w:sz w:val="1"/>
                <w:szCs w:val="1"/>
                <w:color w:val="auto"/>
              </w:rPr>
            </w:pPr>
          </w:p>
        </w:tc>
      </w:tr>
      <w:tr>
        <w:trPr>
          <w:trHeight w:val="190"/>
        </w:trPr>
        <w:tc>
          <w:tcPr>
            <w:tcW w:w="58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Share based compensation</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34,459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21,888</w:t>
            </w:r>
          </w:p>
        </w:tc>
        <w:tc>
          <w:tcPr>
            <w:tcW w:w="0" w:type="dxa"/>
            <w:vAlign w:val="bottom"/>
          </w:tcPr>
          <w:p>
            <w:pPr>
              <w:spacing w:after="0"/>
              <w:rPr>
                <w:sz w:val="1"/>
                <w:szCs w:val="1"/>
                <w:color w:val="auto"/>
              </w:rPr>
            </w:pPr>
          </w:p>
        </w:tc>
      </w:tr>
      <w:tr>
        <w:trPr>
          <w:trHeight w:val="196"/>
        </w:trPr>
        <w:tc>
          <w:tcPr>
            <w:tcW w:w="58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Normalized Adjusted Net Income before income taxes</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469,299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274,116</w:t>
            </w:r>
          </w:p>
        </w:tc>
        <w:tc>
          <w:tcPr>
            <w:tcW w:w="0" w:type="dxa"/>
            <w:vAlign w:val="bottom"/>
          </w:tcPr>
          <w:p>
            <w:pPr>
              <w:spacing w:after="0"/>
              <w:rPr>
                <w:sz w:val="1"/>
                <w:szCs w:val="1"/>
                <w:color w:val="auto"/>
              </w:rPr>
            </w:pPr>
          </w:p>
        </w:tc>
      </w:tr>
      <w:tr>
        <w:trPr>
          <w:trHeight w:val="190"/>
        </w:trPr>
        <w:tc>
          <w:tcPr>
            <w:tcW w:w="58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4"/>
                <w:szCs w:val="14"/>
                <w:color w:val="auto"/>
              </w:rPr>
              <w:t>Normalized provision for income taxes (1)</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112,632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65,787</w:t>
            </w:r>
          </w:p>
        </w:tc>
        <w:tc>
          <w:tcPr>
            <w:tcW w:w="0" w:type="dxa"/>
            <w:vAlign w:val="bottom"/>
          </w:tcPr>
          <w:p>
            <w:pPr>
              <w:spacing w:after="0"/>
              <w:rPr>
                <w:sz w:val="1"/>
                <w:szCs w:val="1"/>
                <w:color w:val="auto"/>
              </w:rPr>
            </w:pPr>
          </w:p>
        </w:tc>
      </w:tr>
      <w:tr>
        <w:trPr>
          <w:trHeight w:val="196"/>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Normalized Adjusted Net Income</w:t>
            </w: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356,667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208,329</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Adjusted shares outstanding (2)</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159,539,254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160,301,753</w:t>
            </w:r>
          </w:p>
        </w:tc>
        <w:tc>
          <w:tcPr>
            <w:tcW w:w="0" w:type="dxa"/>
            <w:vAlign w:val="bottom"/>
          </w:tcPr>
          <w:p>
            <w:pPr>
              <w:spacing w:after="0"/>
              <w:rPr>
                <w:sz w:val="1"/>
                <w:szCs w:val="1"/>
                <w:color w:val="auto"/>
              </w:rPr>
            </w:pPr>
          </w:p>
        </w:tc>
      </w:tr>
      <w:tr>
        <w:trPr>
          <w:trHeight w:val="157"/>
        </w:trPr>
        <w:tc>
          <w:tcPr>
            <w:tcW w:w="5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2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82"/>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Normalized Adjusted EPS</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tcPr>
          <w:p>
            <w:pPr>
              <w:spacing w:after="0"/>
              <w:rPr>
                <w:sz w:val="15"/>
                <w:szCs w:val="15"/>
                <w:color w:val="auto"/>
              </w:rPr>
            </w:pPr>
          </w:p>
        </w:tc>
        <w:tc>
          <w:tcPr>
            <w:tcW w:w="30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92075</wp:posOffset>
            </wp:positionV>
            <wp:extent cx="1846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46580" cy="8255"/>
                    </a:xfrm>
                    <a:prstGeom prst="rect">
                      <a:avLst/>
                    </a:prstGeom>
                    <a:noFill/>
                  </pic:spPr>
                </pic:pic>
              </a:graphicData>
            </a:graphic>
          </wp:anchor>
        </w:drawing>
      </w:r>
    </w:p>
    <w:p>
      <w:pPr>
        <w:spacing w:after="0" w:line="268" w:lineRule="exact"/>
        <w:rPr>
          <w:sz w:val="20"/>
          <w:szCs w:val="20"/>
          <w:color w:val="auto"/>
        </w:rPr>
      </w:pPr>
    </w:p>
    <w:p>
      <w:pPr>
        <w:ind w:left="400" w:hanging="395"/>
        <w:spacing w:after="0"/>
        <w:tabs>
          <w:tab w:leader="none" w:pos="4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U.S. federal, state, and local income tax rate applicable to corporations of approximately 24% for all periods presented.</w:t>
      </w:r>
    </w:p>
    <w:p>
      <w:pPr>
        <w:spacing w:after="0" w:line="22" w:lineRule="exact"/>
        <w:rPr>
          <w:rFonts w:ascii="Times New Roman" w:cs="Times New Roman" w:eastAsia="Times New Roman" w:hAnsi="Times New Roman"/>
          <w:sz w:val="16"/>
          <w:szCs w:val="16"/>
          <w:color w:val="auto"/>
        </w:rPr>
      </w:pPr>
    </w:p>
    <w:p>
      <w:pPr>
        <w:ind w:left="400" w:hanging="395"/>
        <w:spacing w:after="0" w:line="246" w:lineRule="auto"/>
        <w:tabs>
          <w:tab w:leader="none" w:pos="40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the dilutive impact of options, restricted stock units and restricted stock awards outstanding under the Second Amended and Restated 2015 Management Incentive Plan and the Amended and Restated ITG 2007 Equity Plan during the three months ended March 31, 2026 and 2025.</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872" w:right="399" w:bottom="1440" w:gutter="0" w:footer="0" w:header="0"/>
        </w:sectPr>
      </w:pPr>
    </w:p>
    <w:bookmarkStart w:id="59" w:name="page60"/>
    <w:bookmarkEnd w:id="59"/>
    <w:p>
      <w:pPr>
        <w:ind w:left="640"/>
        <w:spacing w:after="0"/>
        <w:rPr>
          <w:sz w:val="20"/>
          <w:szCs w:val="20"/>
          <w:color w:val="auto"/>
        </w:rPr>
      </w:pPr>
      <w:r>
        <w:rPr>
          <w:rFonts w:ascii="Times New Roman" w:cs="Times New Roman" w:eastAsia="Times New Roman" w:hAnsi="Times New Roman"/>
          <w:sz w:val="17"/>
          <w:szCs w:val="17"/>
          <w:color w:val="auto"/>
        </w:rPr>
        <w:t>The following tables reconcile Trading income, net to Adjusted Net Trading Income by segment for the three months ended March 31, 2026 and 2025:</w:t>
      </w:r>
    </w:p>
    <w:p>
      <w:pPr>
        <w:spacing w:after="0" w:line="200" w:lineRule="exact"/>
        <w:rPr>
          <w:sz w:val="20"/>
          <w:szCs w:val="20"/>
          <w:color w:val="auto"/>
        </w:rPr>
      </w:pP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782,419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6,727</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4"/>
                <w:szCs w:val="14"/>
                <w:color w:val="auto"/>
              </w:rPr>
              <w:t>789,146</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177,950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center"/>
              <w:ind w:left="330"/>
              <w:spacing w:after="0"/>
              <w:rPr>
                <w:sz w:val="20"/>
                <w:szCs w:val="20"/>
                <w:color w:val="auto"/>
              </w:rPr>
            </w:pPr>
            <w:r>
              <w:rPr>
                <w:rFonts w:ascii="Times New Roman" w:cs="Times New Roman" w:eastAsia="Times New Roman" w:hAnsi="Times New Roman"/>
                <w:sz w:val="14"/>
                <w:szCs w:val="14"/>
                <w:color w:val="auto"/>
              </w:rPr>
              <w:t>186,625</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125,062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4"/>
                <w:szCs w:val="14"/>
                <w:color w:val="auto"/>
              </w:rPr>
              <w:t>127,518</w:t>
            </w:r>
          </w:p>
        </w:tc>
        <w:tc>
          <w:tcPr>
            <w:tcW w:w="0" w:type="dxa"/>
            <w:vAlign w:val="bottom"/>
          </w:tcPr>
          <w:p>
            <w:pPr>
              <w:spacing w:after="0"/>
              <w:rPr>
                <w:sz w:val="1"/>
                <w:szCs w:val="1"/>
                <w:color w:val="auto"/>
              </w:rPr>
            </w:pPr>
          </w:p>
        </w:tc>
      </w:tr>
      <w:tr>
        <w:trPr>
          <w:trHeight w:val="131"/>
        </w:trPr>
        <w:tc>
          <w:tcPr>
            <w:tcW w:w="376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(102,758)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(36,070)</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center"/>
              <w:ind w:left="310"/>
              <w:spacing w:after="0"/>
              <w:rPr>
                <w:sz w:val="20"/>
                <w:szCs w:val="20"/>
                <w:color w:val="auto"/>
              </w:rPr>
            </w:pPr>
            <w:r>
              <w:rPr>
                <w:rFonts w:ascii="Times New Roman" w:cs="Times New Roman" w:eastAsia="Times New Roman" w:hAnsi="Times New Roman"/>
                <w:sz w:val="14"/>
                <w:szCs w:val="14"/>
                <w:color w:val="auto"/>
              </w:rPr>
              <w:t>(138,828)</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rPr>
              <w:t>(177,927)</w:t>
            </w: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637,057</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149,477</w:t>
            </w:r>
          </w:p>
        </w:tc>
        <w:tc>
          <w:tcPr>
            <w:tcW w:w="1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center"/>
              <w:ind w:left="330"/>
              <w:spacing w:after="0"/>
              <w:rPr>
                <w:sz w:val="20"/>
                <w:szCs w:val="20"/>
                <w:color w:val="auto"/>
              </w:rPr>
            </w:pPr>
            <w:r>
              <w:rPr>
                <w:rFonts w:ascii="Times New Roman" w:cs="Times New Roman" w:eastAsia="Times New Roman" w:hAnsi="Times New Roman"/>
                <w:sz w:val="14"/>
                <w:szCs w:val="14"/>
                <w:color w:val="auto"/>
              </w:rPr>
              <w:t>786,534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tbl>
      <w:tblPr>
        <w:tblLayout w:type="fixed"/>
        <w:tblInd w:w="106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7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13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Trading income, net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582,622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7,361</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4"/>
                <w:szCs w:val="14"/>
                <w:color w:val="auto"/>
              </w:rPr>
              <w:t>589,983</w:t>
            </w:r>
          </w:p>
        </w:tc>
        <w:tc>
          <w:tcPr>
            <w:tcW w:w="0" w:type="dxa"/>
            <w:vAlign w:val="bottom"/>
          </w:tcPr>
          <w:p>
            <w:pPr>
              <w:spacing w:after="0"/>
              <w:rPr>
                <w:sz w:val="1"/>
                <w:szCs w:val="1"/>
                <w:color w:val="auto"/>
              </w:rPr>
            </w:pPr>
          </w:p>
        </w:tc>
      </w:tr>
      <w:tr>
        <w:trPr>
          <w:trHeight w:val="189"/>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133,995</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80" w:type="dxa"/>
            <w:vAlign w:val="bottom"/>
          </w:tcPr>
          <w:p>
            <w:pPr>
              <w:jc w:val="center"/>
              <w:ind w:left="330"/>
              <w:spacing w:after="0"/>
              <w:rPr>
                <w:sz w:val="20"/>
                <w:szCs w:val="20"/>
                <w:color w:val="auto"/>
              </w:rPr>
            </w:pPr>
            <w:r>
              <w:rPr>
                <w:rFonts w:ascii="Times New Roman" w:cs="Times New Roman" w:eastAsia="Times New Roman" w:hAnsi="Times New Roman"/>
                <w:sz w:val="14"/>
                <w:szCs w:val="14"/>
                <w:color w:val="auto"/>
              </w:rPr>
              <w:t>151,307</w:t>
            </w:r>
          </w:p>
        </w:tc>
        <w:tc>
          <w:tcPr>
            <w:tcW w:w="0" w:type="dxa"/>
            <w:vAlign w:val="bottom"/>
          </w:tcPr>
          <w:p>
            <w:pPr>
              <w:spacing w:after="0"/>
              <w:rPr>
                <w:sz w:val="1"/>
                <w:szCs w:val="1"/>
                <w:color w:val="auto"/>
              </w:rPr>
            </w:pPr>
          </w:p>
        </w:tc>
      </w:tr>
      <w:tr>
        <w:trPr>
          <w:trHeight w:val="204"/>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4"/>
                <w:szCs w:val="14"/>
                <w:color w:val="auto"/>
              </w:rPr>
              <w:t>109,053</w:t>
            </w:r>
          </w:p>
        </w:tc>
        <w:tc>
          <w:tcPr>
            <w:tcW w:w="0" w:type="dxa"/>
            <w:vAlign w:val="bottom"/>
          </w:tcPr>
          <w:p>
            <w:pPr>
              <w:spacing w:after="0"/>
              <w:rPr>
                <w:sz w:val="1"/>
                <w:szCs w:val="1"/>
                <w:color w:val="auto"/>
              </w:rPr>
            </w:pPr>
          </w:p>
        </w:tc>
      </w:tr>
      <w:tr>
        <w:trPr>
          <w:trHeight w:val="135"/>
        </w:trPr>
        <w:tc>
          <w:tcPr>
            <w:tcW w:w="376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4"/>
                <w:szCs w:val="14"/>
                <w:color w:val="auto"/>
              </w:rPr>
              <w:t>Brokerage, exchange, clearance fees and payments for order</w:t>
            </w: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(194,303)</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(27,572)</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980" w:type="dxa"/>
            <w:vAlign w:val="bottom"/>
            <w:vMerge w:val="restart"/>
          </w:tcPr>
          <w:p>
            <w:pPr>
              <w:jc w:val="center"/>
              <w:ind w:left="310"/>
              <w:spacing w:after="0"/>
              <w:rPr>
                <w:sz w:val="20"/>
                <w:szCs w:val="20"/>
                <w:color w:val="auto"/>
              </w:rPr>
            </w:pPr>
            <w:r>
              <w:rPr>
                <w:rFonts w:ascii="Times New Roman" w:cs="Times New Roman" w:eastAsia="Times New Roman" w:hAnsi="Times New Roman"/>
                <w:sz w:val="14"/>
                <w:szCs w:val="14"/>
                <w:color w:val="auto"/>
              </w:rPr>
              <w:t>(221,875)</w:t>
            </w:r>
          </w:p>
        </w:tc>
        <w:tc>
          <w:tcPr>
            <w:tcW w:w="0" w:type="dxa"/>
            <w:vAlign w:val="bottom"/>
          </w:tcPr>
          <w:p>
            <w:pPr>
              <w:spacing w:after="0"/>
              <w:rPr>
                <w:sz w:val="1"/>
                <w:szCs w:val="1"/>
                <w:color w:val="auto"/>
              </w:rPr>
            </w:pPr>
          </w:p>
        </w:tc>
      </w:tr>
      <w:tr>
        <w:trPr>
          <w:trHeight w:val="18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flow, net</w:t>
            </w: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dividends expense</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4"/>
                <w:szCs w:val="14"/>
                <w:color w:val="auto"/>
              </w:rPr>
              <w:t>(131,328)</w:t>
            </w:r>
          </w:p>
        </w:tc>
        <w:tc>
          <w:tcPr>
            <w:tcW w:w="0" w:type="dxa"/>
            <w:vAlign w:val="bottom"/>
          </w:tcPr>
          <w:p>
            <w:pPr>
              <w:spacing w:after="0"/>
              <w:rPr>
                <w:sz w:val="1"/>
                <w:szCs w:val="1"/>
                <w:color w:val="auto"/>
              </w:rPr>
            </w:pPr>
          </w:p>
        </w:tc>
      </w:tr>
      <w:tr>
        <w:trPr>
          <w:trHeight w:val="190"/>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Adjusted Net Trading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382,018</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115,122</w:t>
            </w:r>
          </w:p>
        </w:tc>
        <w:tc>
          <w:tcPr>
            <w:tcW w:w="10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center"/>
              <w:ind w:left="330"/>
              <w:spacing w:after="0"/>
              <w:rPr>
                <w:sz w:val="20"/>
                <w:szCs w:val="20"/>
                <w:color w:val="auto"/>
              </w:rPr>
            </w:pPr>
            <w:r>
              <w:rPr>
                <w:rFonts w:ascii="Times New Roman" w:cs="Times New Roman" w:eastAsia="Times New Roman" w:hAnsi="Times New Roman"/>
                <w:sz w:val="14"/>
                <w:szCs w:val="14"/>
                <w:color w:val="auto"/>
              </w:rPr>
              <w:t>497,140</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following table shows our Adjusted Net Trading Income and average daily Adjusted Net Trading Income by segment for the three months ended</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 and 2025:</w:t>
      </w:r>
    </w:p>
    <w:p>
      <w:pPr>
        <w:spacing w:after="0" w:line="396" w:lineRule="exact"/>
        <w:rPr>
          <w:sz w:val="20"/>
          <w:szCs w:val="20"/>
          <w:color w:val="auto"/>
        </w:rPr>
      </w:pPr>
    </w:p>
    <w:tbl>
      <w:tblPr>
        <w:tblLayout w:type="fixed"/>
        <w:tblInd w:w="1780" w:type="dxa"/>
        <w:tblCellMar>
          <w:top w:w="0" w:type="dxa"/>
          <w:left w:w="0" w:type="dxa"/>
          <w:bottom w:w="0" w:type="dxa"/>
          <w:right w:w="0" w:type="dxa"/>
        </w:tblCellMar>
      </w:tblPr>
      <w:tr>
        <w:trPr>
          <w:trHeight w:val="184"/>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thousands, except %)</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2160" w:type="dxa"/>
            <w:vAlign w:val="bottom"/>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Adjusted Net Trading Income by</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76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86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0"/>
                <w:szCs w:val="10"/>
                <w:color w:val="auto"/>
              </w:rPr>
            </w:pPr>
          </w:p>
        </w:tc>
        <w:tc>
          <w:tcPr>
            <w:tcW w:w="78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60" w:type="dxa"/>
            <w:vAlign w:val="bottom"/>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Daily</w:t>
            </w: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Daily</w:t>
            </w: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Market Making</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637,057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10,444</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81.0 %</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382,018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6,367</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76.8 %</w:t>
            </w:r>
          </w:p>
        </w:tc>
        <w:tc>
          <w:tcPr>
            <w:tcW w:w="0" w:type="dxa"/>
            <w:vAlign w:val="bottom"/>
          </w:tcPr>
          <w:p>
            <w:pPr>
              <w:spacing w:after="0"/>
              <w:rPr>
                <w:sz w:val="1"/>
                <w:szCs w:val="1"/>
                <w:color w:val="auto"/>
              </w:rPr>
            </w:pPr>
          </w:p>
        </w:tc>
      </w:tr>
      <w:tr>
        <w:trPr>
          <w:trHeight w:val="217"/>
        </w:trPr>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Execution Services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149,477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2,450</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19.0 %</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23.2 %</w:t>
            </w:r>
          </w:p>
        </w:tc>
        <w:tc>
          <w:tcPr>
            <w:tcW w:w="0" w:type="dxa"/>
            <w:vAlign w:val="bottom"/>
          </w:tcPr>
          <w:p>
            <w:pPr>
              <w:spacing w:after="0"/>
              <w:rPr>
                <w:sz w:val="1"/>
                <w:szCs w:val="1"/>
                <w:color w:val="auto"/>
              </w:rPr>
            </w:pPr>
          </w:p>
        </w:tc>
      </w:tr>
      <w:tr>
        <w:trPr>
          <w:trHeight w:val="217"/>
        </w:trPr>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Corporate</w:t>
            </w: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217"/>
        </w:trPr>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Adjusted Net Trading Income</w:t>
            </w: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786,534</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12,894</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497,140</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8,286</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Three Months Ended March 31, 2026 Compared to Three Months Ended March 31,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Total Revenues</w:t>
      </w:r>
    </w:p>
    <w:p>
      <w:pPr>
        <w:spacing w:after="0" w:line="241" w:lineRule="exact"/>
        <w:rPr>
          <w:sz w:val="20"/>
          <w:szCs w:val="20"/>
          <w:color w:val="auto"/>
        </w:rPr>
      </w:pPr>
    </w:p>
    <w:p>
      <w:pPr>
        <w:ind w:right="20" w:firstLine="629"/>
        <w:spacing w:after="0" w:line="254" w:lineRule="auto"/>
        <w:rPr>
          <w:sz w:val="20"/>
          <w:szCs w:val="20"/>
          <w:color w:val="auto"/>
        </w:rPr>
      </w:pPr>
      <w:r>
        <w:rPr>
          <w:rFonts w:ascii="Times New Roman" w:cs="Times New Roman" w:eastAsia="Times New Roman" w:hAnsi="Times New Roman"/>
          <w:sz w:val="17"/>
          <w:szCs w:val="17"/>
          <w:color w:val="auto"/>
        </w:rPr>
        <w:t>Our total revenues increased $257.4 million, or 30.7%, to $1095.3 million for the three months ended March 31, 2026, compared to $837.9 million for the three months ended March 31, 2025. The increase was primarily driven by an increase of $199.1 million in Trading income, net due to higher trading volumes and increased opportunities across global markets, an increase of $35.3 million in Commissions, net and technology services due to strengthened institutional engagement during the three months ended March 31, 2026 compared to the same period in 2025.</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20" w:top="868" w:right="419" w:bottom="1440" w:gutter="0" w:footer="0" w:header="0"/>
        </w:sectPr>
      </w:pPr>
    </w:p>
    <w:bookmarkStart w:id="60" w:name="page61"/>
    <w:bookmarkEnd w:id="60"/>
    <w:p>
      <w:pPr>
        <w:ind w:left="640"/>
        <w:spacing w:after="0"/>
        <w:rPr>
          <w:sz w:val="20"/>
          <w:szCs w:val="20"/>
          <w:color w:val="auto"/>
        </w:rPr>
      </w:pPr>
      <w:r>
        <w:rPr>
          <w:rFonts w:ascii="Times New Roman" w:cs="Times New Roman" w:eastAsia="Times New Roman" w:hAnsi="Times New Roman"/>
          <w:sz w:val="17"/>
          <w:szCs w:val="17"/>
          <w:color w:val="auto"/>
        </w:rPr>
        <w:t>The following table shows total revenues by segment for the three months ended March 31, 2026 and 2025.</w:t>
      </w:r>
    </w:p>
    <w:p>
      <w:pPr>
        <w:spacing w:after="0" w:line="47" w:lineRule="exact"/>
        <w:rPr>
          <w:sz w:val="20"/>
          <w:szCs w:val="20"/>
          <w:color w:val="auto"/>
        </w:rPr>
      </w:pPr>
    </w:p>
    <w:tbl>
      <w:tblPr>
        <w:tblLayout w:type="fixed"/>
        <w:tblInd w:w="96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80" w:type="dxa"/>
            <w:vAlign w:val="bottom"/>
            <w:gridSpan w:val="6"/>
          </w:tcPr>
          <w:p>
            <w:pPr>
              <w:ind w:left="1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percentage)</w:t>
            </w: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200" w:type="dxa"/>
            <w:vAlign w:val="bottom"/>
            <w:tcBorders>
              <w:bottom w:val="single" w:sz="8" w:color="CCEEFF"/>
            </w:tcBorders>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4"/>
                <w:szCs w:val="14"/>
                <w:b w:val="1"/>
                <w:bCs w:val="1"/>
                <w:color w:val="auto"/>
                <w:w w:val="97"/>
              </w:rPr>
              <w:t>% Change</w:t>
            </w:r>
          </w:p>
        </w:tc>
        <w:tc>
          <w:tcPr>
            <w:tcW w:w="0" w:type="dxa"/>
            <w:vAlign w:val="bottom"/>
          </w:tcPr>
          <w:p>
            <w:pPr>
              <w:spacing w:after="0"/>
              <w:rPr>
                <w:sz w:val="1"/>
                <w:szCs w:val="1"/>
                <w:color w:val="auto"/>
              </w:rPr>
            </w:pPr>
          </w:p>
        </w:tc>
      </w:tr>
      <w:tr>
        <w:trPr>
          <w:trHeight w:val="183"/>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Market Making</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782,419</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582,622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34.3%</w:t>
            </w: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125,062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106,438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4"/>
                <w:szCs w:val="14"/>
                <w:color w:val="auto"/>
                <w:w w:val="99"/>
              </w:rPr>
              <w:t>17.5%</w:t>
            </w: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rPr>
              <w:t>(49.9)%</w:t>
            </w:r>
          </w:p>
        </w:tc>
        <w:tc>
          <w:tcPr>
            <w:tcW w:w="0" w:type="dxa"/>
            <w:vAlign w:val="bottom"/>
          </w:tcPr>
          <w:p>
            <w:pPr>
              <w:spacing w:after="0"/>
              <w:rPr>
                <w:sz w:val="1"/>
                <w:szCs w:val="1"/>
                <w:color w:val="auto"/>
              </w:rPr>
            </w:pPr>
          </w:p>
        </w:tc>
      </w:tr>
      <w:tr>
        <w:trPr>
          <w:trHeight w:val="197"/>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4"/>
                <w:szCs w:val="14"/>
                <w:color w:val="auto"/>
              </w:rPr>
              <w:t>(97.0)%</w:t>
            </w:r>
          </w:p>
        </w:tc>
        <w:tc>
          <w:tcPr>
            <w:tcW w:w="0" w:type="dxa"/>
            <w:vAlign w:val="bottom"/>
          </w:tcPr>
          <w:p>
            <w:pPr>
              <w:spacing w:after="0"/>
              <w:rPr>
                <w:sz w:val="1"/>
                <w:szCs w:val="1"/>
                <w:color w:val="auto"/>
              </w:rPr>
            </w:pPr>
          </w:p>
        </w:tc>
      </w:tr>
      <w:tr>
        <w:trPr>
          <w:trHeight w:val="196"/>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revenues from Market Making</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915,697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691,172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32.5%</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Execution Services</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4"/>
                <w:szCs w:val="14"/>
                <w:color w:val="auto"/>
                <w:w w:val="98"/>
              </w:rPr>
              <w:t>(8.6)%</w:t>
            </w: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190"/>
              <w:spacing w:after="0"/>
              <w:rPr>
                <w:sz w:val="20"/>
                <w:szCs w:val="20"/>
                <w:color w:val="auto"/>
              </w:rPr>
            </w:pPr>
            <w:r>
              <w:rPr>
                <w:rFonts w:ascii="Times New Roman" w:cs="Times New Roman" w:eastAsia="Times New Roman" w:hAnsi="Times New Roman"/>
                <w:sz w:val="14"/>
                <w:szCs w:val="14"/>
                <w:color w:val="auto"/>
                <w:w w:val="98"/>
              </w:rPr>
              <w:t>(6.1)%</w:t>
            </w: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177,950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133,995</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4"/>
                <w:szCs w:val="14"/>
                <w:color w:val="auto"/>
                <w:w w:val="99"/>
              </w:rPr>
              <w:t>32.8%</w:t>
            </w: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jc w:val="center"/>
              <w:ind w:right="190"/>
              <w:spacing w:after="0"/>
              <w:rPr>
                <w:sz w:val="20"/>
                <w:szCs w:val="20"/>
                <w:color w:val="auto"/>
              </w:rPr>
            </w:pPr>
            <w:r>
              <w:rPr>
                <w:rFonts w:ascii="Times New Roman" w:cs="Times New Roman" w:eastAsia="Times New Roman" w:hAnsi="Times New Roman"/>
                <w:sz w:val="14"/>
                <w:szCs w:val="14"/>
                <w:color w:val="auto"/>
              </w:rPr>
              <w:t>(99.9)%</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 from Execution Services</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187,131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141,008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center"/>
              <w:ind w:right="210"/>
              <w:spacing w:after="0"/>
              <w:rPr>
                <w:sz w:val="20"/>
                <w:szCs w:val="20"/>
                <w:color w:val="auto"/>
              </w:rPr>
            </w:pPr>
            <w:r>
              <w:rPr>
                <w:rFonts w:ascii="Times New Roman" w:cs="Times New Roman" w:eastAsia="Times New Roman" w:hAnsi="Times New Roman"/>
                <w:sz w:val="14"/>
                <w:szCs w:val="14"/>
                <w:color w:val="auto"/>
                <w:w w:val="99"/>
              </w:rPr>
              <w:t>32.7%</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(7,501)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5,689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360" w:type="dxa"/>
            <w:vAlign w:val="bottom"/>
            <w:tcBorders>
              <w:bottom w:val="single" w:sz="8" w:color="CCEEFF"/>
            </w:tcBorders>
          </w:tcPr>
          <w:p>
            <w:pPr>
              <w:jc w:val="center"/>
              <w:ind w:right="19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221"/>
        </w:trPr>
        <w:tc>
          <w:tcPr>
            <w:tcW w:w="4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revenues from Corporate</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(7,501)</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center"/>
              <w:ind w:right="190"/>
              <w:spacing w:after="0"/>
              <w:rPr>
                <w:sz w:val="20"/>
                <w:szCs w:val="20"/>
                <w:color w:val="auto"/>
              </w:rPr>
            </w:pPr>
            <w:r>
              <w:rPr>
                <w:rFonts w:ascii="Times New Roman" w:cs="Times New Roman" w:eastAsia="Times New Roman" w:hAnsi="Times New Roman"/>
                <w:sz w:val="14"/>
                <w:szCs w:val="14"/>
                <w:color w:val="auto"/>
                <w:w w:val="97"/>
              </w:rPr>
              <w:t>NM</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Trading income, net</w:t>
            </w: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789,146</w:t>
            </w:r>
          </w:p>
        </w:tc>
        <w:tc>
          <w:tcPr>
            <w:tcW w:w="100" w:type="dxa"/>
            <w:vAlign w:val="bottom"/>
          </w:tcPr>
          <w:p>
            <w:pPr>
              <w:spacing w:after="0"/>
              <w:rPr>
                <w:sz w:val="16"/>
                <w:szCs w:val="16"/>
                <w:color w:val="auto"/>
              </w:rPr>
            </w:pPr>
          </w:p>
        </w:tc>
        <w:tc>
          <w:tcPr>
            <w:tcW w:w="400" w:type="dxa"/>
            <w:vAlign w:val="bottom"/>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589,983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33.8%</w:t>
            </w:r>
          </w:p>
        </w:tc>
        <w:tc>
          <w:tcPr>
            <w:tcW w:w="0" w:type="dxa"/>
            <w:vAlign w:val="bottom"/>
          </w:tcPr>
          <w:p>
            <w:pPr>
              <w:spacing w:after="0"/>
              <w:rPr>
                <w:sz w:val="1"/>
                <w:szCs w:val="1"/>
                <w:color w:val="auto"/>
              </w:rPr>
            </w:pPr>
          </w:p>
        </w:tc>
      </w:tr>
      <w:tr>
        <w:trPr>
          <w:trHeight w:val="204"/>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and dividends income</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127,518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109,053</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210"/>
              <w:spacing w:after="0"/>
              <w:rPr>
                <w:sz w:val="20"/>
                <w:szCs w:val="20"/>
                <w:color w:val="auto"/>
              </w:rPr>
            </w:pPr>
            <w:r>
              <w:rPr>
                <w:rFonts w:ascii="Times New Roman" w:cs="Times New Roman" w:eastAsia="Times New Roman" w:hAnsi="Times New Roman"/>
                <w:sz w:val="14"/>
                <w:szCs w:val="14"/>
                <w:color w:val="auto"/>
                <w:w w:val="99"/>
              </w:rPr>
              <w:t>16.9%</w:t>
            </w:r>
          </w:p>
        </w:tc>
        <w:tc>
          <w:tcPr>
            <w:tcW w:w="0" w:type="dxa"/>
            <w:vAlign w:val="bottom"/>
          </w:tcPr>
          <w:p>
            <w:pPr>
              <w:spacing w:after="0"/>
              <w:rPr>
                <w:sz w:val="1"/>
                <w:szCs w:val="1"/>
                <w:color w:val="auto"/>
              </w:rPr>
            </w:pPr>
          </w:p>
        </w:tc>
      </w:tr>
      <w:tr>
        <w:trPr>
          <w:trHeight w:val="189"/>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Commissions, net and technology services</w:t>
            </w: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186,625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151,307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23.3%</w:t>
            </w:r>
          </w:p>
        </w:tc>
        <w:tc>
          <w:tcPr>
            <w:tcW w:w="0" w:type="dxa"/>
            <w:vAlign w:val="bottom"/>
          </w:tcPr>
          <w:p>
            <w:pPr>
              <w:spacing w:after="0"/>
              <w:rPr>
                <w:sz w:val="1"/>
                <w:szCs w:val="1"/>
                <w:color w:val="auto"/>
              </w:rPr>
            </w:pPr>
          </w:p>
        </w:tc>
      </w:tr>
      <w:tr>
        <w:trPr>
          <w:trHeight w:val="197"/>
        </w:trPr>
        <w:tc>
          <w:tcPr>
            <w:tcW w:w="4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net</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(7,962)</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jc w:val="center"/>
              <w:ind w:right="190"/>
              <w:spacing w:after="0"/>
              <w:rPr>
                <w:sz w:val="20"/>
                <w:szCs w:val="20"/>
                <w:color w:val="auto"/>
              </w:rPr>
            </w:pPr>
            <w:r>
              <w:rPr>
                <w:rFonts w:ascii="Times New Roman" w:cs="Times New Roman" w:eastAsia="Times New Roman" w:hAnsi="Times New Roman"/>
                <w:sz w:val="14"/>
                <w:szCs w:val="14"/>
                <w:color w:val="auto"/>
              </w:rPr>
              <w:t>(36.2)%</w:t>
            </w:r>
          </w:p>
        </w:tc>
        <w:tc>
          <w:tcPr>
            <w:tcW w:w="0" w:type="dxa"/>
            <w:vAlign w:val="bottom"/>
          </w:tcPr>
          <w:p>
            <w:pPr>
              <w:spacing w:after="0"/>
              <w:rPr>
                <w:sz w:val="1"/>
                <w:szCs w:val="1"/>
                <w:color w:val="auto"/>
              </w:rPr>
            </w:pPr>
          </w:p>
        </w:tc>
      </w:tr>
      <w:tr>
        <w:trPr>
          <w:trHeight w:val="196"/>
        </w:trPr>
        <w:tc>
          <w:tcPr>
            <w:tcW w:w="42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revenues</w:t>
            </w:r>
          </w:p>
        </w:tc>
        <w:tc>
          <w:tcPr>
            <w:tcW w:w="3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1,095,327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837,869</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center"/>
              <w:ind w:right="210"/>
              <w:spacing w:after="0"/>
              <w:rPr>
                <w:sz w:val="20"/>
                <w:szCs w:val="20"/>
                <w:color w:val="auto"/>
              </w:rPr>
            </w:pPr>
            <w:r>
              <w:rPr>
                <w:rFonts w:ascii="Times New Roman" w:cs="Times New Roman" w:eastAsia="Times New Roman" w:hAnsi="Times New Roman"/>
                <w:sz w:val="14"/>
                <w:szCs w:val="14"/>
                <w:color w:val="auto"/>
                <w:w w:val="99"/>
              </w:rPr>
              <w:t>30.7%</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Trading income, net. </w:t>
      </w:r>
      <w:r>
        <w:rPr>
          <w:rFonts w:ascii="Times New Roman" w:cs="Times New Roman" w:eastAsia="Times New Roman" w:hAnsi="Times New Roman"/>
          <w:sz w:val="17"/>
          <w:szCs w:val="17"/>
          <w:color w:val="auto"/>
        </w:rPr>
        <w:t>Trading income, net was primarily earned by our Market Making segment. Trading income, net increased $199.1 million, or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33.7% to $789.1 million for the three months ended March 31, 2026, compared to $590.0 million for the three months ended March 31, 2025. The increase was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largely a result of higher trading volumes and increased opportunities across global markets during the three months ended March 31, 2026 compared to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same period in 2025. Rather than analyzing trading income, net in isolation, we evaluate it in the broader context of our Adjusted Net Trading Income, together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 Interest and dividends income, Interest and dividends expense, Commissions, net and technology services and Brokerage, exchange, clearance fees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payments for order flow, net, each of which is described below.</w:t>
      </w:r>
    </w:p>
    <w:p>
      <w:pPr>
        <w:spacing w:after="0" w:line="228" w:lineRule="exact"/>
        <w:rPr>
          <w:sz w:val="20"/>
          <w:szCs w:val="20"/>
          <w:color w:val="auto"/>
        </w:rPr>
      </w:pPr>
    </w:p>
    <w:p>
      <w:pPr>
        <w:ind w:firstLine="62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income. </w:t>
      </w:r>
      <w:r>
        <w:rPr>
          <w:rFonts w:ascii="Times New Roman" w:cs="Times New Roman" w:eastAsia="Times New Roman" w:hAnsi="Times New Roman"/>
          <w:sz w:val="17"/>
          <w:szCs w:val="17"/>
          <w:color w:val="auto"/>
        </w:rPr>
        <w:t>Interest and dividends income was primarily earned by our Market Making segment. Interest and dividends income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increased $18.4 million, or 16.9%, to $127.5 million for the three months ended March 31, 2026, compared to $109.1 million for the three months ended March 31, 2025. This increase was primarily driven by higher interest income from increased securities borrowing transactions and higher dividends earned on market making trading assets held over periods when dividends are paid, compared to the same period in 2025. As indicated above, rather than analyzing interest and dividends income in isolation, we evaluate it in the broader context of our Adjusted Net Trading Income.</w:t>
      </w:r>
    </w:p>
    <w:p>
      <w:pPr>
        <w:spacing w:after="0" w:line="192" w:lineRule="exact"/>
        <w:rPr>
          <w:sz w:val="20"/>
          <w:szCs w:val="20"/>
          <w:color w:val="auto"/>
        </w:rPr>
      </w:pPr>
    </w:p>
    <w:p>
      <w:pPr>
        <w:ind w:right="40" w:firstLine="62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Commissions, net and technology services. </w:t>
      </w:r>
      <w:r>
        <w:rPr>
          <w:rFonts w:ascii="Times New Roman" w:cs="Times New Roman" w:eastAsia="Times New Roman" w:hAnsi="Times New Roman"/>
          <w:sz w:val="17"/>
          <w:szCs w:val="17"/>
          <w:color w:val="auto"/>
        </w:rPr>
        <w:t>Commissions, net and technology services revenues were primarily earned by our Execution Services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segment. Commissions, net and technology services revenues increased $35.3 million, or 23.3%, to $186.6 million for the three months ended March 31, 2026, compared to $151.3 million for the three months ended March 31, 2025. This increase was driven by higher client volumes and increasing institutional engagement compared to the same period in 2025. As indicated above, rather than analyzing interest and dividends income in isolation, we evaluate it in the broader context of our Adjusted Net Trading Income.</w:t>
      </w:r>
    </w:p>
    <w:p>
      <w:pPr>
        <w:spacing w:after="0" w:line="192" w:lineRule="exact"/>
        <w:rPr>
          <w:sz w:val="20"/>
          <w:szCs w:val="20"/>
          <w:color w:val="auto"/>
        </w:rPr>
      </w:pPr>
    </w:p>
    <w:p>
      <w:pPr>
        <w:ind w:right="40" w:firstLine="629"/>
        <w:spacing w:after="0" w:line="276" w:lineRule="auto"/>
        <w:rPr>
          <w:sz w:val="20"/>
          <w:szCs w:val="20"/>
          <w:color w:val="auto"/>
        </w:rPr>
      </w:pPr>
      <w:r>
        <w:rPr>
          <w:rFonts w:ascii="Times New Roman" w:cs="Times New Roman" w:eastAsia="Times New Roman" w:hAnsi="Times New Roman"/>
          <w:sz w:val="17"/>
          <w:szCs w:val="17"/>
          <w:b w:val="1"/>
          <w:bCs w:val="1"/>
          <w:i w:val="1"/>
          <w:iCs w:val="1"/>
          <w:color w:val="auto"/>
        </w:rPr>
        <w:t xml:space="preserve">Other, net. </w:t>
      </w:r>
      <w:r>
        <w:rPr>
          <w:rFonts w:ascii="Times New Roman" w:cs="Times New Roman" w:eastAsia="Times New Roman" w:hAnsi="Times New Roman"/>
          <w:sz w:val="17"/>
          <w:szCs w:val="17"/>
          <w:color w:val="auto"/>
        </w:rPr>
        <w:t>Other, net increased $4.5 million, to $(8.0) million for the three months ended March 31, 2026, compared to $(12.5) million for the three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months ended March 31, 2025. The period-over-period variance was primarily driven by lower remeasurement losses on certain digital assets held compared to the same period in 2025, partially offset by losses recognized due to the changes in fair value of our investment in JNX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20" w:top="868" w:right="3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Net Trading Income</w:t>
      </w:r>
    </w:p>
    <w:p>
      <w:pPr>
        <w:spacing w:after="0" w:line="25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Adjusted Net Trading Income, which is a non-GAAP measure, increased $289.4 million, or 58.2%, to $786.5 million for the three months ended March 31, 2026, compared to $497.1 million for the three months ended March 31, 2025. This increase was primarily attributable to higher Trading income, net and Commissions, net and technology services as noted above and lower Brokerage, exchange, clearance fees and payments for order flow, net as noted below, partially offset by higher Interest and dividends expense as described below. Average daily Adjusted Net Trading Income increased $4.6 million, or 55.4%, to $12.9 million for the three months ended March 31, 2026, compared to $8.3 million for the three months ended March 31, 2025.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54" w:lineRule="exact"/>
        <w:rPr>
          <w:sz w:val="20"/>
          <w:szCs w:val="20"/>
          <w:color w:val="auto"/>
        </w:rPr>
      </w:pPr>
    </w:p>
    <w:p>
      <w:pPr>
        <w:ind w:right="80" w:firstLine="629"/>
        <w:spacing w:after="0" w:line="274" w:lineRule="auto"/>
        <w:rPr>
          <w:sz w:val="20"/>
          <w:szCs w:val="20"/>
          <w:color w:val="auto"/>
        </w:rPr>
      </w:pPr>
      <w:r>
        <w:rPr>
          <w:rFonts w:ascii="Times New Roman" w:cs="Times New Roman" w:eastAsia="Times New Roman" w:hAnsi="Times New Roman"/>
          <w:sz w:val="17"/>
          <w:szCs w:val="17"/>
          <w:color w:val="auto"/>
        </w:rPr>
        <w:t>Our operating expenses increased $71.7 million, or 11.7%, to $685.8 million for the three months ended March 31, 2026, compared to $614.1 million for the three months ended March 31, 2025. The increase in operating expenses is primarily due to an increase in Employee compensation and payroll taxes, Interest and dividends expense, and Operations and administrative, partially offset by a decrease in Brokerage, exchange, clearance fees and payments for order flow, net.</w:t>
      </w:r>
    </w:p>
    <w:p>
      <w:pPr>
        <w:spacing w:after="0" w:line="200" w:lineRule="exact"/>
        <w:rPr>
          <w:sz w:val="20"/>
          <w:szCs w:val="20"/>
          <w:color w:val="auto"/>
        </w:rPr>
      </w:pPr>
    </w:p>
    <w:p>
      <w:pPr>
        <w:spacing w:after="0" w:line="201" w:lineRule="exact"/>
        <w:rPr>
          <w:sz w:val="20"/>
          <w:szCs w:val="20"/>
          <w:color w:val="auto"/>
        </w:rPr>
      </w:pPr>
    </w:p>
    <w:p>
      <w:pPr>
        <w:ind w:right="40" w:firstLine="62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Brokerage, exchange, clearance fees and payments for order flow, net. </w:t>
      </w:r>
      <w:r>
        <w:rPr>
          <w:rFonts w:ascii="Times New Roman" w:cs="Times New Roman" w:eastAsia="Times New Roman" w:hAnsi="Times New Roman"/>
          <w:sz w:val="17"/>
          <w:szCs w:val="17"/>
          <w:color w:val="auto"/>
        </w:rPr>
        <w:t>Brokerage exchange, clearance fees and payments for order flow, net,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decreased $83.1 million, or 37.4%, to $138.8 million for the three months ended March 31, 2026, compared to $221.9 million for the three months ended March 31, 2025. These costs vary period to period based upon the level and composition of our trading activities. The decrease was primarily attributable to lower Section 31 fees during the three months ended March 31, 2026 compared to the same period in 2025. We evaluate this category representing direct costs associated with transacting business, in the broader context of our Adjusted Net Trading Income.</w:t>
      </w:r>
    </w:p>
    <w:p>
      <w:pPr>
        <w:spacing w:after="0" w:line="192" w:lineRule="exact"/>
        <w:rPr>
          <w:sz w:val="20"/>
          <w:szCs w:val="20"/>
          <w:color w:val="auto"/>
        </w:rPr>
      </w:pPr>
    </w:p>
    <w:p>
      <w:pPr>
        <w:ind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Communication and data processing. </w:t>
      </w:r>
      <w:r>
        <w:rPr>
          <w:rFonts w:ascii="Times New Roman" w:cs="Times New Roman" w:eastAsia="Times New Roman" w:hAnsi="Times New Roman"/>
          <w:sz w:val="17"/>
          <w:szCs w:val="17"/>
          <w:color w:val="auto"/>
        </w:rPr>
        <w:t>Communication and data processing expense increased $7.1 million, or 11.9%, to $66.9 million for the three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months ended March 31, 2026, compared to $59.8 million for the three months ended March 31, 2025. This increase was primarily due to increased spending on market data and communication networks maintained by our joint venture.</w:t>
      </w:r>
    </w:p>
    <w:p>
      <w:pPr>
        <w:spacing w:after="0" w:line="183" w:lineRule="exact"/>
        <w:rPr>
          <w:sz w:val="20"/>
          <w:szCs w:val="20"/>
          <w:color w:val="auto"/>
        </w:rPr>
      </w:pPr>
    </w:p>
    <w:p>
      <w:pPr>
        <w:ind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Employee compensation and payroll taxes. </w:t>
      </w:r>
      <w:r>
        <w:rPr>
          <w:rFonts w:ascii="Times New Roman" w:cs="Times New Roman" w:eastAsia="Times New Roman" w:hAnsi="Times New Roman"/>
          <w:sz w:val="17"/>
          <w:szCs w:val="17"/>
          <w:color w:val="auto"/>
        </w:rPr>
        <w:t>Employee compensation and payroll taxes increased $89.0 million, or 74.5%, to $208.4 million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three months ended March 31, 2026, compared to $119.4 million for the three months ended March 31, 2025. The increase in compensation levels was primarily attributable to an increase in accrued incentive compensation, which is recorded at management’s discretion and is generally accrued in connection with the overall level of profitability on a year-to-date basis, as well as the anticipated mix of cash and stock-based awards.</w:t>
      </w:r>
    </w:p>
    <w:p>
      <w:pPr>
        <w:spacing w:after="0" w:line="192" w:lineRule="exact"/>
        <w:rPr>
          <w:sz w:val="20"/>
          <w:szCs w:val="20"/>
          <w:color w:val="auto"/>
        </w:rPr>
      </w:pPr>
    </w:p>
    <w:p>
      <w:pPr>
        <w:ind w:right="200" w:firstLine="629"/>
        <w:spacing w:after="0" w:line="296" w:lineRule="auto"/>
        <w:rPr>
          <w:sz w:val="20"/>
          <w:szCs w:val="20"/>
          <w:color w:val="auto"/>
        </w:rPr>
      </w:pPr>
      <w:r>
        <w:rPr>
          <w:rFonts w:ascii="Times New Roman" w:cs="Times New Roman" w:eastAsia="Times New Roman" w:hAnsi="Times New Roman"/>
          <w:sz w:val="17"/>
          <w:szCs w:val="17"/>
          <w:color w:val="auto"/>
        </w:rPr>
        <w:t>We have capitalized and therefore excluded employee compensation and benefits related to software development of $17.9 million and $11.4 million for the three months ended March 31, 2026, and 2025, respectively.</w:t>
      </w:r>
    </w:p>
    <w:p>
      <w:pPr>
        <w:spacing w:after="0" w:line="169" w:lineRule="exact"/>
        <w:rPr>
          <w:sz w:val="20"/>
          <w:szCs w:val="20"/>
          <w:color w:val="auto"/>
        </w:rPr>
      </w:pPr>
    </w:p>
    <w:p>
      <w:pPr>
        <w:ind w:right="40" w:firstLine="62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dividends expense. </w:t>
      </w:r>
      <w:r>
        <w:rPr>
          <w:rFonts w:ascii="Times New Roman" w:cs="Times New Roman" w:eastAsia="Times New Roman" w:hAnsi="Times New Roman"/>
          <w:sz w:val="17"/>
          <w:szCs w:val="17"/>
          <w:color w:val="auto"/>
        </w:rPr>
        <w:t>Interest and dividends expense increased $46.6 million, or 35.5%, to $177.9 million for the three months ended March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31, 2026, compared to $131.3 million for the three months ended March 31, 2025. This increase was primarily attributable to higher interest expense incurred on cash collateral received driven by an increase in securities lending transactions, as well as higher dividends expense with respect to securities sold, not yet purchased for the period compared to the same period during the prior year. As indicated above, rather than analyzing interest and dividends expense in isolation, we evaluate it in the broader context of our Adjusted Net Trading Income.</w:t>
      </w:r>
    </w:p>
    <w:p>
      <w:pPr>
        <w:spacing w:after="0" w:line="192" w:lineRule="exact"/>
        <w:rPr>
          <w:sz w:val="20"/>
          <w:szCs w:val="20"/>
          <w:color w:val="auto"/>
        </w:rPr>
      </w:pPr>
    </w:p>
    <w:p>
      <w:pPr>
        <w:ind w:right="6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Operations and administrative. </w:t>
      </w:r>
      <w:r>
        <w:rPr>
          <w:rFonts w:ascii="Times New Roman" w:cs="Times New Roman" w:eastAsia="Times New Roman" w:hAnsi="Times New Roman"/>
          <w:sz w:val="17"/>
          <w:szCs w:val="17"/>
          <w:color w:val="auto"/>
        </w:rPr>
        <w:t>Operations and administrative expense increased $7.0 million, or 31.7%, to $29.1 million for the three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March 31, 2026, compared to $22.1 million for the three months ended March 31, 2025. The increase was driven primarily by increases in professional expense and recruiting expense.</w:t>
      </w:r>
    </w:p>
    <w:p>
      <w:pPr>
        <w:spacing w:after="0" w:line="183" w:lineRule="exact"/>
        <w:rPr>
          <w:sz w:val="20"/>
          <w:szCs w:val="20"/>
          <w:color w:val="auto"/>
        </w:rPr>
      </w:pPr>
    </w:p>
    <w:p>
      <w:pPr>
        <w:jc w:val="both"/>
        <w:ind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Depreciation and amortization. </w:t>
      </w:r>
      <w:r>
        <w:rPr>
          <w:rFonts w:ascii="Times New Roman" w:cs="Times New Roman" w:eastAsia="Times New Roman" w:hAnsi="Times New Roman"/>
          <w:sz w:val="17"/>
          <w:szCs w:val="17"/>
          <w:color w:val="auto"/>
        </w:rPr>
        <w:t>Depreciation and amortization increased $0.5 million, or 3.1%, to $16.4 million for the three months ended March 31,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2026, compared to $15.9 million for the three months ended March 31, 2025. The increase was driven primarily by an increase in software amortization expense compared to the same period in 2025.</w:t>
      </w:r>
    </w:p>
    <w:p>
      <w:pPr>
        <w:spacing w:after="0" w:line="183" w:lineRule="exact"/>
        <w:rPr>
          <w:sz w:val="20"/>
          <w:szCs w:val="20"/>
          <w:color w:val="auto"/>
        </w:rPr>
      </w:pPr>
    </w:p>
    <w:p>
      <w:pPr>
        <w:ind w:right="24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Amortization of purchased intangibles and acquired capitalized software. </w:t>
      </w:r>
      <w:r>
        <w:rPr>
          <w:rFonts w:ascii="Times New Roman" w:cs="Times New Roman" w:eastAsia="Times New Roman" w:hAnsi="Times New Roman"/>
          <w:sz w:val="17"/>
          <w:szCs w:val="17"/>
          <w:color w:val="auto"/>
        </w:rPr>
        <w:t>Amortization of purchased intangibles and acquired capitalized software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remained consistent at $11.8 million for the three months ended March 31, 2026 and the three months ended March 31, 2025. Included in Amortization of purchased intangibles and acquired capitalized software was the amortization of finite lived intangible assets acquired in connection with the acquisition of KCG and ITG.</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2" w:name="page63"/>
    <w:bookmarkEnd w:id="62"/>
    <w:p>
      <w:pPr>
        <w:ind w:right="200" w:firstLine="629"/>
        <w:spacing w:after="0" w:line="27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Termination of office leases. </w:t>
      </w:r>
      <w:r>
        <w:rPr>
          <w:rFonts w:ascii="Times New Roman" w:cs="Times New Roman" w:eastAsia="Times New Roman" w:hAnsi="Times New Roman"/>
          <w:sz w:val="17"/>
          <w:szCs w:val="17"/>
          <w:color w:val="auto"/>
        </w:rPr>
        <w:t>Termination of office leases was insignificant for the three months ended March 31, 2026 and March 31, 2025. These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expenses, when incurred, are related to the impairment of lease right-of-use assets, leasehold improvements, and fixed assets for certain abandoned or vacated office space. There were no significant lease terminations in either period.</w:t>
      </w:r>
    </w:p>
    <w:p>
      <w:pPr>
        <w:spacing w:after="0" w:line="183" w:lineRule="exact"/>
        <w:rPr>
          <w:sz w:val="20"/>
          <w:szCs w:val="20"/>
          <w:color w:val="auto"/>
        </w:rPr>
      </w:pPr>
    </w:p>
    <w:p>
      <w:pPr>
        <w:ind w:right="160" w:firstLine="629"/>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Debt issue cost related to debt refinancing, prepayment and commitment fees. </w:t>
      </w:r>
      <w:r>
        <w:rPr>
          <w:rFonts w:ascii="Times New Roman" w:cs="Times New Roman" w:eastAsia="Times New Roman" w:hAnsi="Times New Roman"/>
          <w:sz w:val="17"/>
          <w:szCs w:val="17"/>
          <w:color w:val="auto"/>
        </w:rPr>
        <w:t>Expense from debt issue cost related to debt refinancing, prepayment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commitment fees remained consistent at $1.7 million for the three months ended March 31, 2026 and March 31, 2025. The current period primarily included acceleration of debt issue cost related to the annual prepayment of the Senior Secured First Lien Term B-2 Loans described in Note 9 “Borrowings”, offset by lower commitment fees based on usage.</w:t>
      </w:r>
    </w:p>
    <w:p>
      <w:pPr>
        <w:spacing w:after="0" w:line="188" w:lineRule="exact"/>
        <w:rPr>
          <w:sz w:val="20"/>
          <w:szCs w:val="20"/>
          <w:color w:val="auto"/>
        </w:rPr>
      </w:pPr>
    </w:p>
    <w:p>
      <w:pPr>
        <w:ind w:right="200" w:firstLine="629"/>
        <w:spacing w:after="0" w:line="285" w:lineRule="auto"/>
        <w:rPr>
          <w:sz w:val="20"/>
          <w:szCs w:val="20"/>
          <w:color w:val="auto"/>
        </w:rPr>
      </w:pPr>
      <w:r>
        <w:rPr>
          <w:rFonts w:ascii="Times New Roman" w:cs="Times New Roman" w:eastAsia="Times New Roman" w:hAnsi="Times New Roman"/>
          <w:sz w:val="17"/>
          <w:szCs w:val="17"/>
          <w:b w:val="1"/>
          <w:bCs w:val="1"/>
          <w:i w:val="1"/>
          <w:iCs w:val="1"/>
          <w:color w:val="auto"/>
        </w:rPr>
        <w:t xml:space="preserve">Transaction advisory fees and expenses. </w:t>
      </w:r>
      <w:r>
        <w:rPr>
          <w:rFonts w:ascii="Times New Roman" w:cs="Times New Roman" w:eastAsia="Times New Roman" w:hAnsi="Times New Roman"/>
          <w:sz w:val="17"/>
          <w:szCs w:val="17"/>
          <w:color w:val="auto"/>
        </w:rPr>
        <w:t>Transaction advisory fees and expenses were insignificant for both the three months ended March 31, 2026</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March 31, 2025. These expenses, when incurred, are primarily in relation to our strategic investment portfolio.</w:t>
      </w:r>
    </w:p>
    <w:p>
      <w:pPr>
        <w:spacing w:after="0" w:line="178" w:lineRule="exact"/>
        <w:rPr>
          <w:sz w:val="20"/>
          <w:szCs w:val="20"/>
          <w:color w:val="auto"/>
        </w:rPr>
      </w:pPr>
    </w:p>
    <w:p>
      <w:pPr>
        <w:ind w:right="20" w:firstLine="62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Financing interest expense on long-term borrowings. </w:t>
      </w:r>
      <w:r>
        <w:rPr>
          <w:rFonts w:ascii="Times New Roman" w:cs="Times New Roman" w:eastAsia="Times New Roman" w:hAnsi="Times New Roman"/>
          <w:sz w:val="17"/>
          <w:szCs w:val="17"/>
          <w:color w:val="auto"/>
        </w:rPr>
        <w:t>Financing interest expense on long-term borrowings increased $4.9 million, or 16.4%, to $34.8</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million for the three months ended March 31, 2026, compared to $29.9 million for the three months ended March 31, 2025.The increase was primarily attributable to the completion in February 2025 of the amortization of the amounts in AOCI related to the interest rate swaps that were terminated in December 2023, as well as a higher outstanding principal under the Senior Secured First Lien Term B-2 Loans, as described in Note 9 “Borrowings”, partially offset by the effect from lower overall interest rates as a result of rate cuts.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254" w:lineRule="exact"/>
        <w:rPr>
          <w:sz w:val="20"/>
          <w:szCs w:val="20"/>
          <w:color w:val="auto"/>
        </w:rPr>
      </w:pPr>
    </w:p>
    <w:p>
      <w:pPr>
        <w:ind w:right="20" w:firstLine="629"/>
        <w:spacing w:after="0" w:line="274" w:lineRule="auto"/>
        <w:rPr>
          <w:sz w:val="20"/>
          <w:szCs w:val="20"/>
          <w:color w:val="auto"/>
        </w:rPr>
      </w:pPr>
      <w:r>
        <w:rPr>
          <w:rFonts w:ascii="Times New Roman" w:cs="Times New Roman" w:eastAsia="Times New Roman" w:hAnsi="Times New Roman"/>
          <w:sz w:val="17"/>
          <w:szCs w:val="17"/>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rates were $63.0 million and 15.4% for the three months ended March 31, 2026, compared to $34.1 million and 15.2% for the three months ended March 31, 2025.</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w:t>
      </w:r>
    </w:p>
    <w:p>
      <w:pPr>
        <w:spacing w:after="0" w:line="254"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As of March 31, 2026, we had $973.2 million in Cash and cash equivalents. This balance is maintained primarily to support operating activities, for capital expenditures and for short-term access to liquidity, and for other general corporate purposes. As of March 31, 2026, we had borrowings under our prime brokerage credit facilities of approximately $398.5 million, borrowings under our broker dealer facilities of $150.0 million, and long-term debt outstanding in an aggregate principal amount of approximately $2,051.6 million.</w:t>
      </w:r>
    </w:p>
    <w:p>
      <w:pPr>
        <w:spacing w:after="0" w:line="194" w:lineRule="exact"/>
        <w:rPr>
          <w:sz w:val="20"/>
          <w:szCs w:val="20"/>
          <w:color w:val="auto"/>
        </w:rPr>
      </w:pPr>
    </w:p>
    <w:p>
      <w:pPr>
        <w:ind w:right="40" w:firstLine="629"/>
        <w:spacing w:after="0" w:line="263" w:lineRule="auto"/>
        <w:rPr>
          <w:sz w:val="20"/>
          <w:szCs w:val="20"/>
          <w:color w:val="auto"/>
        </w:rPr>
      </w:pPr>
      <w:r>
        <w:rPr>
          <w:rFonts w:ascii="Times New Roman" w:cs="Times New Roman" w:eastAsia="Times New Roman" w:hAnsi="Times New Roman"/>
          <w:sz w:val="17"/>
          <w:szCs w:val="17"/>
          <w:color w:val="auto"/>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U.S. broker-dealer subsidiary, as discussed in Note 9 “Borrowings” of Part I Item 1 “Financial Statements” of this Quarterly Report on Form 10-Q.</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Short-term Liquidity and Capital Resources</w:t>
      </w:r>
    </w:p>
    <w:p>
      <w:pPr>
        <w:spacing w:after="0" w:line="254" w:lineRule="exact"/>
        <w:rPr>
          <w:sz w:val="20"/>
          <w:szCs w:val="20"/>
          <w:color w:val="auto"/>
        </w:rPr>
      </w:pPr>
    </w:p>
    <w:p>
      <w:pPr>
        <w:ind w:right="60" w:firstLine="629"/>
        <w:spacing w:after="0" w:line="267" w:lineRule="auto"/>
        <w:rPr>
          <w:sz w:val="20"/>
          <w:szCs w:val="20"/>
          <w:color w:val="auto"/>
        </w:rPr>
      </w:pPr>
      <w:r>
        <w:rPr>
          <w:rFonts w:ascii="Times New Roman" w:cs="Times New Roman" w:eastAsia="Times New Roman" w:hAnsi="Times New Roman"/>
          <w:sz w:val="17"/>
          <w:szCs w:val="17"/>
          <w:color w:val="auto"/>
        </w:rPr>
        <w:t>Based on our current level of operations, we believe our cash flows from operations, available cash and cash equivalents, and available borrowings under our broker-dealer credit facilities will be adequate to meet our future liquidity needs for the next twelve months. We anticipate that our primary upcoming cash and liquidity needs will be increased due to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99" w:right="339" w:bottom="1440" w:gutter="0" w:footer="0" w:header="0"/>
        </w:sectPr>
      </w:pPr>
    </w:p>
    <w:bookmarkStart w:id="63" w:name="page64"/>
    <w:bookmarkEnd w:id="63"/>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Long-term Liquidity and Capital Resources</w:t>
      </w:r>
    </w:p>
    <w:p>
      <w:pPr>
        <w:spacing w:after="0" w:line="254" w:lineRule="exact"/>
        <w:rPr>
          <w:sz w:val="20"/>
          <w:szCs w:val="20"/>
          <w:color w:val="auto"/>
        </w:rPr>
      </w:pPr>
    </w:p>
    <w:p>
      <w:pPr>
        <w:ind w:right="200" w:firstLine="629"/>
        <w:spacing w:after="0" w:line="276" w:lineRule="auto"/>
        <w:rPr>
          <w:sz w:val="20"/>
          <w:szCs w:val="20"/>
          <w:color w:val="auto"/>
        </w:rPr>
      </w:pPr>
      <w:r>
        <w:rPr>
          <w:rFonts w:ascii="Times New Roman" w:cs="Times New Roman" w:eastAsia="Times New Roman" w:hAnsi="Times New Roman"/>
          <w:sz w:val="17"/>
          <w:szCs w:val="17"/>
          <w:color w:val="auto"/>
        </w:rPr>
        <w:t>Our principal demand for funds beyond the next twelve months will be payments on our long-term debt, operating lease payments, common stock repurchases under our share repurchase program, and dividend payments. Based on our current level of operations, we believe our cash flow from operations, and ability to raise funding, will be sufficient to fund capital demands.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Agreements</w:t>
      </w:r>
    </w:p>
    <w:p>
      <w:pPr>
        <w:spacing w:after="0" w:line="254"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Generally, we are required under the tax receivable agreements entered into in connection with our IPO to make payments to certain direct or indirect equity holders of Virtu Financial or their permitted assignees (collectively, “TRA Parties”) that are generally equal to 85% of the applicable cash tax savings, if any, that we realize as a result of favorable tax attributes that are available to us as a result of the IPO and certain reorganization transactions undertaken in connection therewith, for exchanges of membership interests for Class A Common Stock or Class B Common Stock and payments made under the tax receivable agreements. We will retain the remaining 15% of any such cash tax savings. We expect that future payments to TRA Parties described in Note 5 “Tax Receivable Agreements” of Part I Item 1 “Financial Statements” of this Quarterly Report on Form 10-Q are expected to range from approximately $0.3 million to $22.5 million per year over the next 15 years. Such payments will occur only after we have filed our U.S. federal and state income tax returns and realized the cash tax savings from the favorable tax attributes. We made payments totaling $150.2 million from February 2017 through March 2026. Future payments under the tax receivable agreements in respect of subsequent exchanges would be in addition to these amounts. We currently expect to fund these payments from realized cash tax savings from the favorable tax attributes.</w:t>
      </w:r>
    </w:p>
    <w:p>
      <w:pPr>
        <w:spacing w:after="0" w:line="206" w:lineRule="exact"/>
        <w:rPr>
          <w:sz w:val="20"/>
          <w:szCs w:val="20"/>
          <w:color w:val="auto"/>
        </w:rPr>
      </w:pPr>
    </w:p>
    <w:p>
      <w:pPr>
        <w:ind w:right="20" w:firstLine="629"/>
        <w:spacing w:after="0" w:line="265" w:lineRule="auto"/>
        <w:rPr>
          <w:sz w:val="20"/>
          <w:szCs w:val="20"/>
          <w:color w:val="auto"/>
        </w:rPr>
      </w:pPr>
      <w:r>
        <w:rPr>
          <w:rFonts w:ascii="Times New Roman" w:cs="Times New Roman" w:eastAsia="Times New Roman" w:hAnsi="Times New Roman"/>
          <w:sz w:val="17"/>
          <w:szCs w:val="17"/>
          <w:color w:val="auto"/>
        </w:rPr>
        <w:t>Under the tax receivable agreements, as a result of certain types of transactions and other factors, including a transaction resulting in a change of control, we may also be required to make payments to TRA Parties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Credit Agreement restricts the ability of our subsidiaries to make distributions to us) such payments will be deferred and will accrue interest until paid.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Regulatory Capital Requirements</w:t>
      </w:r>
    </w:p>
    <w:p>
      <w:pPr>
        <w:spacing w:after="0" w:line="254"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Our principal U.S. subsidiary, Virtu Americas LLC (“VAL”) is subject to separate regulation and capital requirements in the U.S. and other</w:t>
      </w:r>
    </w:p>
    <w:p>
      <w:pPr>
        <w:spacing w:after="0" w:line="3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color w:val="auto"/>
        </w:rPr>
        <w:t>jurisdictions. VAL is a registered U.S. broker-dealer, and its primary regulators include the SEC and the Financial Industry Regulatory Authority (“FINRA”).</w:t>
      </w:r>
    </w:p>
    <w:p>
      <w:pPr>
        <w:spacing w:after="0" w:line="232" w:lineRule="exact"/>
        <w:rPr>
          <w:sz w:val="20"/>
          <w:szCs w:val="20"/>
          <w:color w:val="auto"/>
        </w:rPr>
      </w:pPr>
    </w:p>
    <w:p>
      <w:pPr>
        <w:ind w:right="80" w:firstLine="629"/>
        <w:spacing w:after="0" w:line="262" w:lineRule="auto"/>
        <w:rPr>
          <w:sz w:val="20"/>
          <w:szCs w:val="20"/>
          <w:color w:val="auto"/>
        </w:rPr>
      </w:pPr>
      <w:r>
        <w:rPr>
          <w:rFonts w:ascii="Times New Roman" w:cs="Times New Roman" w:eastAsia="Times New Roman" w:hAnsi="Times New Roman"/>
          <w:sz w:val="17"/>
          <w:szCs w:val="17"/>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Company’s liquidation. Additionally, certain applicable</w:t>
      </w:r>
    </w:p>
    <w:p>
      <w:pPr>
        <w:spacing w:after="0" w:line="3"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rules impose requirements that may have the effect of prohibiting a broker-dealer from distributing or withdrawing capital and requiring prior notice to and/or approval from the SEC and FINRA for certain capital withdrawals. VAL is also subject to rules set forth by NYSE and is required to maintain a certain level of capital in connection with the operation of its designated market maker business.</w:t>
      </w:r>
    </w:p>
    <w:p>
      <w:pPr>
        <w:spacing w:after="0" w:line="199" w:lineRule="exact"/>
        <w:rPr>
          <w:sz w:val="20"/>
          <w:szCs w:val="20"/>
          <w:color w:val="auto"/>
        </w:rPr>
      </w:pPr>
    </w:p>
    <w:p>
      <w:pPr>
        <w:ind w:right="140" w:firstLine="629"/>
        <w:spacing w:after="0" w:line="270" w:lineRule="auto"/>
        <w:rPr>
          <w:sz w:val="20"/>
          <w:szCs w:val="20"/>
          <w:color w:val="auto"/>
        </w:rPr>
      </w:pPr>
      <w:r>
        <w:rPr>
          <w:rFonts w:ascii="Times New Roman" w:cs="Times New Roman" w:eastAsia="Times New Roman" w:hAnsi="Times New Roman"/>
          <w:sz w:val="17"/>
          <w:szCs w:val="17"/>
          <w:color w:val="auto"/>
        </w:rPr>
        <w:t>Our Canadian subsidiaries, Virtu Canada Corp (f/k/a Virtu ITG Canada Corp.) and Virtu Financial Canada ULC, are subject to regulatory capital requirements and periodic requirements to report their regulatory capital and submit other regulatory reports set forth by the Canadian Investment Regulatory Organization. Effective January 22, 2025, Virtu Financial Canada ULC has resigned from membership with the Canadian Investment Regulatory Organization and is no longer subject to its regulatory requirements. Our Irish subsidiaries, Virtu Financial Ireland Limited (“VFIL”) and Virtu Europe Trading Limited</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64" w:name="page65"/>
    <w:bookmarkEnd w:id="64"/>
    <w:p>
      <w:pPr>
        <w:ind w:right="100"/>
        <w:spacing w:after="0" w:line="262" w:lineRule="auto"/>
        <w:rPr>
          <w:sz w:val="20"/>
          <w:szCs w:val="20"/>
          <w:color w:val="auto"/>
        </w:rPr>
      </w:pPr>
      <w:r>
        <w:rPr>
          <w:rFonts w:ascii="Times New Roman" w:cs="Times New Roman" w:eastAsia="Times New Roman" w:hAnsi="Times New Roman"/>
          <w:sz w:val="17"/>
          <w:szCs w:val="17"/>
          <w:color w:val="auto"/>
        </w:rPr>
        <w:t>(“VETL”)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VFIL and VETL are required to obtain consent prior to receiving capital contributions or making capital distributions from their regulatory capital. Failure to comply with their regulatory capital requirements could result in regulatory sanction or revocation of their regulatory license. Virtu ITG UK Limited is regulated by the Financial Conduct Authority in the United Kingdom and is subject to similar prudential capital requirements. Virtu ITG Australia Limited, and Virtu ITG Hong Kong Limited are also subject to local regulatory capital requirements and are regulated by the Australian Securities and Investments Commission, the Securities and Futures Commission of Hong Kong, respectively. Virtu ITG Singapore Pte. Limited and Virtu Financial Singapore Pte. Ltd. have similar regulatory requirements and are regulated by the Monetary Authority of Singapore.</w:t>
      </w:r>
    </w:p>
    <w:p>
      <w:pPr>
        <w:spacing w:after="0" w:line="205" w:lineRule="exact"/>
        <w:rPr>
          <w:sz w:val="20"/>
          <w:szCs w:val="20"/>
          <w:color w:val="auto"/>
        </w:rPr>
      </w:pPr>
    </w:p>
    <w:p>
      <w:pPr>
        <w:ind w:right="220" w:firstLine="629"/>
        <w:spacing w:after="0" w:line="296" w:lineRule="auto"/>
        <w:rPr>
          <w:sz w:val="20"/>
          <w:szCs w:val="20"/>
          <w:color w:val="auto"/>
        </w:rPr>
      </w:pPr>
      <w:r>
        <w:rPr>
          <w:rFonts w:ascii="Times New Roman" w:cs="Times New Roman" w:eastAsia="Times New Roman" w:hAnsi="Times New Roman"/>
          <w:sz w:val="17"/>
          <w:szCs w:val="17"/>
          <w:color w:val="auto"/>
        </w:rPr>
        <w:t>See Note 21 “Regulatory Requirement” of Part I Item 1 “Financial Statements” of this Quarterly Report on Form 10-Q for a discussion of regulatory capital requirements of our regulated subsidiaries.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Broker Dealer Credit Facilities, Short-Term Bank Loans, and Prime Brokerage Credit Facilities</w:t>
      </w:r>
    </w:p>
    <w:p>
      <w:pPr>
        <w:spacing w:after="0" w:line="254"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We maintain various broker-dealer facilities and short-term credit facilities as part of our daily trading operations. See Note 9 “Borrowings” of Part I Item 1 “Financial Statements” of this Quarterly Report on Form 10-Q for details on our various credit facilities. As of March 31, 2026, there was an outstanding principal balance on our broker-dealer facilities of $150.0 million, and the outstanding aggregate short-term credit facilities with various prime brokers and other financial institutions from which the Company receives execution or clearing services was approximately $398.5 million, which was netted within Receivables from broker-dealers and clearing organizations on the Condensed Consolidated Statements of Financial Condition of Part I Item 1 “Financial Statements” of this Quarterly Report on Form 10-Q.</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254" w:lineRule="exact"/>
        <w:rPr>
          <w:sz w:val="20"/>
          <w:szCs w:val="20"/>
          <w:color w:val="auto"/>
        </w:rPr>
      </w:pPr>
    </w:p>
    <w:p>
      <w:pPr>
        <w:ind w:firstLine="629"/>
        <w:spacing w:after="0" w:line="262" w:lineRule="auto"/>
        <w:rPr>
          <w:sz w:val="20"/>
          <w:szCs w:val="20"/>
          <w:color w:val="auto"/>
        </w:rPr>
      </w:pPr>
      <w:r>
        <w:rPr>
          <w:rFonts w:ascii="Times New Roman" w:cs="Times New Roman" w:eastAsia="Times New Roman" w:hAnsi="Times New Roman"/>
          <w:sz w:val="17"/>
          <w:szCs w:val="17"/>
          <w:color w:val="auto"/>
        </w:rPr>
        <w:t>On January 13, 2022 (the “Credit Agreement Closing Date”), Virtu Financial, VFH Parent LLC, a Delaware limited liability company and a subsidiary of Virtu Financial (“VFH”),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“Original Credit Agreement”). The Original Credit Agreement provides (i) a senior secured first lien term loan in an aggregate principal amount of $1,800.0 million, drawn in its entirety on the Credit Agreement Closing Date, the proceeds of which were used by VFH to repay all amounts outstanding under the previous credit agreement entered into in relation to the ITG Acquisition,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205" w:lineRule="exact"/>
        <w:rPr>
          <w:sz w:val="20"/>
          <w:szCs w:val="20"/>
          <w:color w:val="auto"/>
        </w:rPr>
      </w:pPr>
    </w:p>
    <w:p>
      <w:pPr>
        <w:ind w:right="40" w:firstLine="629"/>
        <w:spacing w:after="0" w:line="260" w:lineRule="auto"/>
        <w:rPr>
          <w:sz w:val="20"/>
          <w:szCs w:val="20"/>
          <w:color w:val="auto"/>
        </w:rPr>
      </w:pPr>
      <w:r>
        <w:rPr>
          <w:rFonts w:ascii="Times New Roman" w:cs="Times New Roman" w:eastAsia="Times New Roman" w:hAnsi="Times New Roman"/>
          <w:sz w:val="17"/>
          <w:szCs w:val="17"/>
          <w:color w:val="auto"/>
        </w:rPr>
        <w:t>The term loan borrowings and revolver borrowings under the Original Credit Agreement bear interest at a per annum rate equal to, at the Company’s election, either (i) the greatest of (a) the prime rate in effect, (b) the greater of (1) the federal funds effective rate and (2) the overnight bank funding rate, in each case plus 0.50%, (c) an adjusted term Secured Overnight Financing Rate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2.50%. In addition, a commitment fee accrues at a rate of 0.50% per annum on the average daily unused amount of the revolving facility, with step-downs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0.375% and 0.25% per annum based on VFH’s first lien leverage ratio, and is payable quarterly in arrears.</w:t>
      </w:r>
    </w:p>
    <w:p>
      <w:pPr>
        <w:spacing w:after="0" w:line="232" w:lineRule="exact"/>
        <w:rPr>
          <w:sz w:val="20"/>
          <w:szCs w:val="20"/>
          <w:color w:val="auto"/>
        </w:rPr>
      </w:pPr>
    </w:p>
    <w:p>
      <w:pPr>
        <w:jc w:val="both"/>
        <w:ind w:right="320" w:firstLine="629"/>
        <w:spacing w:after="0" w:line="276" w:lineRule="auto"/>
        <w:rPr>
          <w:sz w:val="20"/>
          <w:szCs w:val="20"/>
          <w:color w:val="auto"/>
        </w:rPr>
      </w:pPr>
      <w:r>
        <w:rPr>
          <w:rFonts w:ascii="Times New Roman" w:cs="Times New Roman" w:eastAsia="Times New Roman" w:hAnsi="Times New Roman"/>
          <w:sz w:val="17"/>
          <w:szCs w:val="17"/>
          <w:color w:val="auto"/>
        </w:rPr>
        <w:t>The term loans amortize in annual installments equal to 1.0% of the original aggregate principal amount of the term loans and the Company repaid $18.0 million on January 13, 2023. On December 12, 2023, the Company made a voluntary prepayment of $55.0 million, and the payment is applied toward subsequent annual amortization installments.</w:t>
      </w:r>
    </w:p>
    <w:p>
      <w:pPr>
        <w:spacing w:after="0" w:line="190"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In January 2022, in order to align the Company’s existing swap agreements with the Original Credit Agreement, the Company amended its existing five-year $525.0 million floating-to-fixed interest rate swap agreement and five-year $1,000.0 million floating-to-fixed interest rate swap agreement to align the floating rate term of such swap agreements to SOFR. These two interest rate swaps met the criteria to be considered and were designated as qualifying cash flow hedges under ASC 815, and they effectively fixed interest payment obligations on $525.0 million and $1,000.0 million of principal under the first lien term loan facility in relation to the Original Credit Agreement at rates of 4.5% and 4.6% through September 2024 and January 2025, respectively.</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65" w:name="page66"/>
    <w:bookmarkEnd w:id="65"/>
    <w:p>
      <w:pPr>
        <w:ind w:firstLine="629"/>
        <w:spacing w:after="0" w:line="265" w:lineRule="auto"/>
        <w:rPr>
          <w:sz w:val="20"/>
          <w:szCs w:val="20"/>
          <w:color w:val="auto"/>
        </w:rPr>
      </w:pPr>
      <w:r>
        <w:rPr>
          <w:rFonts w:ascii="Times New Roman" w:cs="Times New Roman" w:eastAsia="Times New Roman" w:hAnsi="Times New Roman"/>
          <w:sz w:val="17"/>
          <w:szCs w:val="17"/>
          <w:color w:val="auto"/>
        </w:rPr>
        <w:t>In December 2023, the Company terminated the two interest rate swap arrangements and received $55.8 million in proceeds from the counterparty. The Company therefore dedesignated those cash flow hedges under ASC 815, and the amounts in AOCI related to the terminated swaps are amortized through interest expense. The Company simultaneously entered into a two-year $1,525.0 million floating-to-fixed interest rate swap agreement with the same counterparty (the “December 2023 Swap”). The December 2023 Swap met the criteria to be considered and was designated as a qualifying cash flow hedge under ASC 815 as of December 2023, and it effectively fixed interest payment obligations on $1,525.0 million of principal under the first lien term loan facility at a rate of 7.5% through November 2025, based on the interest rates set forth in the Original Credit Agreement.</w:t>
      </w:r>
    </w:p>
    <w:p>
      <w:pPr>
        <w:spacing w:after="0" w:line="198" w:lineRule="exact"/>
        <w:rPr>
          <w:sz w:val="20"/>
          <w:szCs w:val="20"/>
          <w:color w:val="auto"/>
        </w:rPr>
      </w:pPr>
    </w:p>
    <w:p>
      <w:pPr>
        <w:ind w:right="120" w:firstLine="629"/>
        <w:spacing w:after="0" w:line="265" w:lineRule="auto"/>
        <w:rPr>
          <w:sz w:val="20"/>
          <w:szCs w:val="20"/>
          <w:color w:val="auto"/>
        </w:rPr>
      </w:pPr>
      <w:r>
        <w:rPr>
          <w:rFonts w:ascii="Times New Roman" w:cs="Times New Roman" w:eastAsia="Times New Roman" w:hAnsi="Times New Roman"/>
          <w:sz w:val="17"/>
          <w:szCs w:val="17"/>
          <w:color w:val="auto"/>
        </w:rPr>
        <w:t>On June 21, 2024 (the “Amendment No. 1 Effective Date”), the Company entered into Amendment No. 1 to the Original Credit Agreement (as amended, the “First Amended Credit Agreement”) and completed the issuance of the Notes (as defined below). Pursuant to the First Amended Credit Agreement, $1,245.0 million in aggregate principal amount of Senior Secured First Lien Term B-1 Loans due 2031 (the “Term B-1 Loans”) were issued, the proceeds of which were used, along with the proceeds of the Notes, to repay in full all term loans previously outstanding under the Original Credit Agreement. Additionally, the First Amended Credit Agreement provides an increase in its senior secured first lien revolving credit facility from $250.0 million to $300.0 million and an extension of the maturity thereof to three years after the Amendment No. 1 Effective Date.</w:t>
      </w:r>
    </w:p>
    <w:p>
      <w:pPr>
        <w:spacing w:after="0" w:line="198" w:lineRule="exact"/>
        <w:rPr>
          <w:sz w:val="20"/>
          <w:szCs w:val="20"/>
          <w:color w:val="auto"/>
        </w:rPr>
      </w:pPr>
    </w:p>
    <w:p>
      <w:pPr>
        <w:ind w:right="140" w:firstLine="629"/>
        <w:spacing w:after="0" w:line="265" w:lineRule="auto"/>
        <w:rPr>
          <w:sz w:val="20"/>
          <w:szCs w:val="20"/>
          <w:color w:val="auto"/>
        </w:rPr>
      </w:pPr>
      <w:r>
        <w:rPr>
          <w:rFonts w:ascii="Times New Roman" w:cs="Times New Roman" w:eastAsia="Times New Roman" w:hAnsi="Times New Roman"/>
          <w:sz w:val="17"/>
          <w:szCs w:val="17"/>
          <w:color w:val="auto"/>
        </w:rPr>
        <w:t>The Term B-1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1.00% and (d) 1.00%, plus, in each case, 1.75%, or (ii) the greater of (x) term SOFR for the interest period in effect and (y) 0%, plus, in each case, 2.75%. The Term B-1 Loans will mature on the seventh anniversary of the Amendment No. 1 Effective Date and amortize in annual installments equal to 1.0% of the original aggregate principal amount of the Term B-1 Loans. The Term B-1 Loans are also subject to contingent principal payments based on excess cash flow and certain other triggering events.</w:t>
      </w:r>
    </w:p>
    <w:p>
      <w:pPr>
        <w:spacing w:after="0" w:line="198" w:lineRule="exact"/>
        <w:rPr>
          <w:sz w:val="20"/>
          <w:szCs w:val="20"/>
          <w:color w:val="auto"/>
        </w:rPr>
      </w:pPr>
    </w:p>
    <w:p>
      <w:pPr>
        <w:ind w:right="260" w:firstLine="629"/>
        <w:spacing w:after="0" w:line="267" w:lineRule="auto"/>
        <w:rPr>
          <w:sz w:val="20"/>
          <w:szCs w:val="20"/>
          <w:color w:val="auto"/>
        </w:rPr>
      </w:pPr>
      <w:r>
        <w:rPr>
          <w:rFonts w:ascii="Times New Roman" w:cs="Times New Roman" w:eastAsia="Times New Roman" w:hAnsi="Times New Roman"/>
          <w:sz w:val="17"/>
          <w:szCs w:val="17"/>
          <w:color w:val="auto"/>
        </w:rPr>
        <w:t>In connection with its entry into the First Amended Credit Agreement and the associated reduction in term loan balance, the Company partially terminated the December 2023 Swap, reducing the notional amount thereof from $1,525.0 million to $1,075.0 million and received $2.0 million in proceeds from the counterparty. The cash flow hedge was proportionally dedesignated under ASC 815 as of June 21, 2024. As a result of the partial dedesignation, we recognized a gain of $5.7 million in Other Income. The remaining interest rate swap effectively fixed interest payment obligations on the $1,075.0 million of principal of the Term B-1 Loans at a rate of 7.17% through November 2025, based on the interest rates set forth in the First Amended Credit Agreement.</w:t>
      </w:r>
    </w:p>
    <w:p>
      <w:pPr>
        <w:spacing w:after="0" w:line="196"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On February 19, 2025 (the “Amendment No. 2 Effective Date”), the Company entered into Amendment No. 2 to the First Amended Credit Agreement (“Amendment No. 2”). Amendment No. 2 amended the First Amended Credit Agreement (as amended, the “Credit Agreement”) to, among other things, effect a repricing of the $1,245.0 million in aggregate principal amount of Term B-1 Loans by establishing a new refinancing tranche of $1,245.0 million in aggregate principal amount of Senior Secured First Lien Term B-2 Loans (the “Original Term B-2 Loans”), the proceeds of which were used to repay in full the Term B-1 Loans on the Amendment No. 2 Effective Date.</w:t>
      </w:r>
    </w:p>
    <w:p>
      <w:pPr>
        <w:spacing w:after="0" w:line="196" w:lineRule="exact"/>
        <w:rPr>
          <w:sz w:val="20"/>
          <w:szCs w:val="20"/>
          <w:color w:val="auto"/>
        </w:rPr>
      </w:pPr>
    </w:p>
    <w:p>
      <w:pPr>
        <w:ind w:right="100" w:firstLine="629"/>
        <w:spacing w:after="0" w:line="270" w:lineRule="auto"/>
        <w:rPr>
          <w:sz w:val="20"/>
          <w:szCs w:val="20"/>
          <w:color w:val="auto"/>
        </w:rPr>
      </w:pPr>
      <w:r>
        <w:rPr>
          <w:rFonts w:ascii="Times New Roman" w:cs="Times New Roman" w:eastAsia="Times New Roman" w:hAnsi="Times New Roman"/>
          <w:sz w:val="17"/>
          <w:szCs w:val="17"/>
          <w:color w:val="auto"/>
        </w:rPr>
        <w:t>On September 23, 2025 (the “Amendment No. 3 Effective Date”), the Company entered into Amendment No. 3 to the First Amended Credit Agreement (“Amendment No. 3”). Amendment No. 3 amended the Credit Agreement to effect the issuance of incremental Senior Secured First Lien Term B-2 Loans in the amount of $300.0 million, the proceeds of which were used for general corporate purposes, for a total Term B-2 Loan balance of $1,545.0 million (collectively, the “Term B-2 Loans”).</w:t>
      </w:r>
    </w:p>
    <w:p>
      <w:pPr>
        <w:spacing w:after="0" w:line="194" w:lineRule="exact"/>
        <w:rPr>
          <w:sz w:val="20"/>
          <w:szCs w:val="20"/>
          <w:color w:val="auto"/>
        </w:rPr>
      </w:pPr>
    </w:p>
    <w:p>
      <w:pPr>
        <w:ind w:right="140" w:firstLine="629"/>
        <w:spacing w:after="0" w:line="265" w:lineRule="auto"/>
        <w:rPr>
          <w:sz w:val="20"/>
          <w:szCs w:val="20"/>
          <w:color w:val="auto"/>
        </w:rPr>
      </w:pPr>
      <w:r>
        <w:rPr>
          <w:rFonts w:ascii="Times New Roman" w:cs="Times New Roman" w:eastAsia="Times New Roman" w:hAnsi="Times New Roman"/>
          <w:sz w:val="17"/>
          <w:szCs w:val="17"/>
          <w:color w:val="auto"/>
        </w:rPr>
        <w:t>The Term B-2 Loans bear interest, at the Company’s election, at either (i) the greatest of (a) the prime rate in effect, (b) the greater of (1) the federal funds effective rate and (2) the overnight bank funding rate, in each case plus 0.50%, (c) term SOFR for a borrowing with an interest period of one month plus 1.0% and (d) 1.0%, plus, in each case, 1.50%, or (ii) the greater of (x) term SOFR for the interest period in effect and (y) 0%, plus, in each case, 2.50%. The Term B-2 Loans will mature on June 21, 2031 and amortize in annual installments equal to 1.0% of the original aggregate principal amount of the Term B-2 Loans due on each anniversary of the Amendment No. 2 Effective Date. On February 19, 2026, the Company repaid $15.5 million. The Term B-2 Loans are also subject to contingent principal payments based on excess cash flow and certain other triggering events.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103" w:right="359" w:bottom="1440" w:gutter="0" w:footer="0" w:header="0"/>
        </w:sectPr>
      </w:pPr>
    </w:p>
    <w:bookmarkStart w:id="66" w:name="page67"/>
    <w:bookmarkEnd w:id="66"/>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The interest rate swap effectively fixed interest payment obligations on $1,075.0 million of principal of the Term B-2 Loans at a rate of 6.92% through November 2025, based on the interest rates set forth in the Credit Agreement. The designation of the interest rate swap as a cash flow hedge was discontinued upon the termination of the swap in November 2025.</w:t>
      </w:r>
    </w:p>
    <w:p>
      <w:pPr>
        <w:spacing w:after="0" w:line="190" w:lineRule="exact"/>
        <w:rPr>
          <w:sz w:val="20"/>
          <w:szCs w:val="20"/>
          <w:color w:val="auto"/>
        </w:rPr>
      </w:pPr>
    </w:p>
    <w:p>
      <w:pPr>
        <w:ind w:right="140" w:firstLine="629"/>
        <w:spacing w:after="0" w:line="267" w:lineRule="auto"/>
        <w:rPr>
          <w:sz w:val="20"/>
          <w:szCs w:val="20"/>
          <w:color w:val="auto"/>
        </w:rPr>
      </w:pPr>
      <w:r>
        <w:rPr>
          <w:rFonts w:ascii="Times New Roman" w:cs="Times New Roman" w:eastAsia="Times New Roman" w:hAnsi="Times New Roman"/>
          <w:sz w:val="17"/>
          <w:szCs w:val="17"/>
          <w:color w:val="auto"/>
        </w:rPr>
        <w:t>The revolving facility under the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196" w:lineRule="exact"/>
        <w:rPr>
          <w:sz w:val="20"/>
          <w:szCs w:val="20"/>
          <w:color w:val="auto"/>
        </w:rPr>
      </w:pPr>
    </w:p>
    <w:p>
      <w:pPr>
        <w:jc w:val="both"/>
        <w:ind w:right="400" w:firstLine="629"/>
        <w:spacing w:after="0" w:line="270" w:lineRule="auto"/>
        <w:rPr>
          <w:sz w:val="20"/>
          <w:szCs w:val="20"/>
          <w:color w:val="auto"/>
        </w:rPr>
      </w:pPr>
      <w:r>
        <w:rPr>
          <w:rFonts w:ascii="Times New Roman" w:cs="Times New Roman" w:eastAsia="Times New Roman" w:hAnsi="Times New Roman"/>
          <w:sz w:val="17"/>
          <w:szCs w:val="17"/>
          <w:color w:val="auto"/>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94" w:lineRule="exact"/>
        <w:rPr>
          <w:sz w:val="20"/>
          <w:szCs w:val="20"/>
          <w:color w:val="auto"/>
        </w:rPr>
      </w:pPr>
    </w:p>
    <w:p>
      <w:pPr>
        <w:ind w:right="120" w:firstLine="629"/>
        <w:spacing w:after="0" w:line="296" w:lineRule="auto"/>
        <w:rPr>
          <w:sz w:val="20"/>
          <w:szCs w:val="20"/>
          <w:color w:val="auto"/>
        </w:rPr>
      </w:pPr>
      <w:r>
        <w:rPr>
          <w:rFonts w:ascii="Times New Roman" w:cs="Times New Roman" w:eastAsia="Times New Roman" w:hAnsi="Times New Roman"/>
          <w:sz w:val="17"/>
          <w:szCs w:val="17"/>
          <w:color w:val="auto"/>
        </w:rPr>
        <w:t>As of March 31, 2026, $1,529.6 million was outstanding under the current term loans. We were in compliance with all applicable covenants under the Credit Agreement as of March 31,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Secured First Lien Notes</w:t>
      </w:r>
    </w:p>
    <w:p>
      <w:pPr>
        <w:spacing w:after="0" w:line="254"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On June 21, 2024, VFH and Valor Co-Issuer, Inc., a subsidiary of Virtu Financial, (the “Co-Issuer”) completed the offering of $500.0 million aggregate principal amount of 7.50% senior secured first lien notes due 2031 (the “Notes”). The Notes were issued under an Indenture, dated as of June 21, 2024 (the “Indenture”), among the VFH, the Co-Issuer, Virtu Financial and the subsidiary guarantors party thereto, and U.S. Bank Trust Company, National Association, as the trustee and collateral agent. The Notes mature on June 15, 2031. Interest on the Notes accrues at 7.50% per annum, payable every six months through maturity on each June 15 and December 15, beginning on December 15, 2024. We refer to VFH and the Co-Issuer together as, the “Issuers.”</w:t>
      </w:r>
    </w:p>
    <w:p>
      <w:pPr>
        <w:spacing w:after="0" w:line="196" w:lineRule="exact"/>
        <w:rPr>
          <w:sz w:val="20"/>
          <w:szCs w:val="20"/>
          <w:color w:val="auto"/>
        </w:rPr>
      </w:pPr>
    </w:p>
    <w:p>
      <w:pPr>
        <w:ind w:right="100" w:firstLine="629"/>
        <w:spacing w:after="0" w:line="268" w:lineRule="auto"/>
        <w:rPr>
          <w:sz w:val="20"/>
          <w:szCs w:val="20"/>
          <w:color w:val="auto"/>
        </w:rPr>
      </w:pPr>
      <w:r>
        <w:rPr>
          <w:rFonts w:ascii="Times New Roman" w:cs="Times New Roman" w:eastAsia="Times New Roman" w:hAnsi="Times New Roman"/>
          <w:sz w:val="17"/>
          <w:szCs w:val="17"/>
          <w:color w:val="auto"/>
        </w:rPr>
        <w:t>The Notes and the related guarantees are secured by first-priority perfected liens on substantially all of the Issuers’ and guarantors’ existing and future assets, subject to certain exceptions, including all material personal property, a pledge of the</w:t>
      </w:r>
    </w:p>
    <w:p>
      <w:pPr>
        <w:spacing w:after="0" w:line="1"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7"/>
          <w:szCs w:val="17"/>
          <w:color w:val="auto"/>
        </w:rPr>
        <w:t>capital stock of the Issuers, the guarantors (other than Virtu Financial) and the direct subsidiaries of the Issuers and the guarantors and 100% of the non-voting capital stock and up to 65.0% of the voting capital stock of any now-owned or later acquired foreign subsidiaries that are directly owned by the Issuers or any of the guarantors, which assets also secure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obligations under the Credit Agreement on a first-priority basis.</w:t>
      </w:r>
    </w:p>
    <w:p>
      <w:pPr>
        <w:spacing w:after="0" w:line="232" w:lineRule="exact"/>
        <w:rPr>
          <w:sz w:val="20"/>
          <w:szCs w:val="20"/>
          <w:color w:val="auto"/>
        </w:rPr>
      </w:pPr>
    </w:p>
    <w:p>
      <w:pPr>
        <w:ind w:firstLine="629"/>
        <w:spacing w:after="0" w:line="265" w:lineRule="auto"/>
        <w:rPr>
          <w:sz w:val="20"/>
          <w:szCs w:val="20"/>
          <w:color w:val="auto"/>
        </w:rPr>
      </w:pPr>
      <w:r>
        <w:rPr>
          <w:rFonts w:ascii="Times New Roman" w:cs="Times New Roman" w:eastAsia="Times New Roman" w:hAnsi="Times New Roman"/>
          <w:sz w:val="17"/>
          <w:szCs w:val="17"/>
          <w:color w:val="auto"/>
        </w:rPr>
        <w:t>The Indenture imposes certain limitations on our ability to (i) incur or guarantee additional indebtedness or issue preferred stock; (ii) pay dividends, make certain investments and make repayments on indebtedness that is subordinated in right of payment to the Notes and make other “restricted payments”; (iii) create liens on their assets to secure debt; (iv) enter into transactions with affiliates; (v) merge, consolidate or amalgamate with another company; (vi) transfer and sell assets; and (vii) permit restrictions on the payment of dividends by Virtu Financial’s subsidiaries. The Indenture also contains customary events of default, including, among others, payment defaults related to the failure to pay principal or interest on Notes, covenant defaults, final maturity default or cross-acceleration with respect to material indebtedness and certain bankruptcy events.</w:t>
      </w:r>
    </w:p>
    <w:p>
      <w:pPr>
        <w:spacing w:after="0" w:line="198" w:lineRule="exact"/>
        <w:rPr>
          <w:sz w:val="20"/>
          <w:szCs w:val="20"/>
          <w:color w:val="auto"/>
        </w:rPr>
      </w:pPr>
    </w:p>
    <w:p>
      <w:pPr>
        <w:ind w:right="140" w:firstLine="629"/>
        <w:spacing w:after="0" w:line="296" w:lineRule="auto"/>
        <w:rPr>
          <w:sz w:val="20"/>
          <w:szCs w:val="20"/>
          <w:color w:val="auto"/>
        </w:rPr>
      </w:pPr>
      <w:r>
        <w:rPr>
          <w:rFonts w:ascii="Times New Roman" w:cs="Times New Roman" w:eastAsia="Times New Roman" w:hAnsi="Times New Roman"/>
          <w:sz w:val="17"/>
          <w:szCs w:val="17"/>
          <w:color w:val="auto"/>
        </w:rPr>
        <w:t>Prior to June 15, 2027, we may redeem some or all of the Notes at a redemption price equal to 100% of the principal amount plus accrued and unpaid interest, if any, to (but not including) the date of redemption, plus an applicable “make whole” premium.</w:t>
      </w:r>
    </w:p>
    <w:p>
      <w:pPr>
        <w:spacing w:after="0" w:line="173" w:lineRule="exact"/>
        <w:rPr>
          <w:sz w:val="20"/>
          <w:szCs w:val="20"/>
          <w:color w:val="auto"/>
        </w:rPr>
      </w:pPr>
    </w:p>
    <w:p>
      <w:pPr>
        <w:ind w:right="200" w:firstLine="629"/>
        <w:spacing w:after="0" w:line="276" w:lineRule="auto"/>
        <w:rPr>
          <w:sz w:val="20"/>
          <w:szCs w:val="20"/>
          <w:color w:val="auto"/>
        </w:rPr>
      </w:pPr>
      <w:r>
        <w:rPr>
          <w:rFonts w:ascii="Times New Roman" w:cs="Times New Roman" w:eastAsia="Times New Roman" w:hAnsi="Times New Roman"/>
          <w:sz w:val="17"/>
          <w:szCs w:val="17"/>
          <w:color w:val="auto"/>
        </w:rPr>
        <w:t>Prior to June 15, 2027, we may also redeem up to 40% of the aggregate principal amount of the Notes with the net cash proceeds from certain equity offerings at a redemption price equal to 107.500% of the principal amount thereof, plus accrued and unpaid interest, if any, to (but not including) the date of redemption.</w:t>
      </w:r>
    </w:p>
    <w:p>
      <w:pPr>
        <w:spacing w:after="0" w:line="190" w:lineRule="exact"/>
        <w:rPr>
          <w:sz w:val="20"/>
          <w:szCs w:val="20"/>
          <w:color w:val="auto"/>
        </w:rPr>
      </w:pPr>
    </w:p>
    <w:p>
      <w:pPr>
        <w:ind w:right="40" w:firstLine="629"/>
        <w:spacing w:after="0" w:line="276" w:lineRule="auto"/>
        <w:rPr>
          <w:sz w:val="20"/>
          <w:szCs w:val="20"/>
          <w:color w:val="auto"/>
        </w:rPr>
      </w:pPr>
      <w:r>
        <w:rPr>
          <w:rFonts w:ascii="Times New Roman" w:cs="Times New Roman" w:eastAsia="Times New Roman" w:hAnsi="Times New Roman"/>
          <w:sz w:val="17"/>
          <w:szCs w:val="17"/>
          <w:color w:val="auto"/>
        </w:rPr>
        <w:t>Prior to June 15, 2027, we may also, on one or more occasions, redeem during each successive twelve-month period following June 21, 2024 up to 10% of the aggregate original principal amount of notes, at a redemption price equal to 103% of the principal amount of notes to be redeemed, plus accrued and unpaid interest to, but not including, the redemption date.</w:t>
      </w:r>
    </w:p>
    <w:p>
      <w:pPr>
        <w:spacing w:after="0" w:line="190" w:lineRule="exact"/>
        <w:rPr>
          <w:sz w:val="20"/>
          <w:szCs w:val="20"/>
          <w:color w:val="auto"/>
        </w:rPr>
      </w:pPr>
    </w:p>
    <w:p>
      <w:pPr>
        <w:ind w:right="40" w:firstLine="629"/>
        <w:spacing w:after="0" w:line="276" w:lineRule="auto"/>
        <w:rPr>
          <w:sz w:val="20"/>
          <w:szCs w:val="20"/>
          <w:color w:val="auto"/>
        </w:rPr>
      </w:pPr>
      <w:r>
        <w:rPr>
          <w:rFonts w:ascii="Times New Roman" w:cs="Times New Roman" w:eastAsia="Times New Roman" w:hAnsi="Times New Roman"/>
          <w:sz w:val="17"/>
          <w:szCs w:val="17"/>
          <w:color w:val="auto"/>
        </w:rPr>
        <w:t>On or after June 15, 2027, we may redeem some or all of the Notes, at the following redemption prices (expressed as percentages of principal amount), plus accrued and unpaid interest to (but not including) the date of redemption, if redeemed during the 12-month period beginning on June 15 of the years indicated below:</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67" w:name="page68"/>
    <w:bookmarkEnd w:id="67"/>
    <w:tbl>
      <w:tblPr>
        <w:tblLayout w:type="fixed"/>
        <w:tblInd w:w="3120" w:type="dxa"/>
        <w:tblCellMar>
          <w:top w:w="0" w:type="dxa"/>
          <w:left w:w="0" w:type="dxa"/>
          <w:bottom w:w="0" w:type="dxa"/>
          <w:right w:w="0" w:type="dxa"/>
        </w:tblCellMar>
      </w:tblPr>
      <w:tr>
        <w:trPr>
          <w:trHeight w:val="184"/>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00" w:type="dxa"/>
            <w:vAlign w:val="bottom"/>
          </w:tcPr>
          <w:p>
            <w:pPr>
              <w:jc w:val="center"/>
              <w:ind w:left="55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r>
      <w:tr>
        <w:trPr>
          <w:trHeight w:val="23"/>
        </w:trPr>
        <w:tc>
          <w:tcPr>
            <w:tcW w:w="240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r>
        <w:trPr>
          <w:trHeight w:val="19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260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4"/>
                <w:szCs w:val="14"/>
                <w:color w:val="auto"/>
                <w:w w:val="97"/>
              </w:rPr>
              <w:t>103.750%</w:t>
            </w:r>
          </w:p>
        </w:tc>
      </w:tr>
      <w:tr>
        <w:trPr>
          <w:trHeight w:val="189"/>
        </w:trPr>
        <w:tc>
          <w:tcPr>
            <w:tcW w:w="2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2600" w:type="dxa"/>
            <w:vAlign w:val="bottom"/>
          </w:tcPr>
          <w:p>
            <w:pPr>
              <w:jc w:val="center"/>
              <w:ind w:left="570"/>
              <w:spacing w:after="0"/>
              <w:rPr>
                <w:sz w:val="20"/>
                <w:szCs w:val="20"/>
                <w:color w:val="auto"/>
              </w:rPr>
            </w:pPr>
            <w:r>
              <w:rPr>
                <w:rFonts w:ascii="Times New Roman" w:cs="Times New Roman" w:eastAsia="Times New Roman" w:hAnsi="Times New Roman"/>
                <w:sz w:val="14"/>
                <w:szCs w:val="14"/>
                <w:color w:val="auto"/>
                <w:w w:val="97"/>
              </w:rPr>
              <w:t>101.875%</w:t>
            </w:r>
          </w:p>
        </w:tc>
      </w:tr>
      <w:tr>
        <w:trPr>
          <w:trHeight w:val="20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2029 and thereafter</w:t>
            </w:r>
          </w:p>
        </w:tc>
        <w:tc>
          <w:tcPr>
            <w:tcW w:w="260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4"/>
                <w:szCs w:val="14"/>
                <w:color w:val="auto"/>
                <w:w w:val="97"/>
              </w:rPr>
              <w:t>100.000%</w:t>
            </w:r>
          </w:p>
        </w:tc>
      </w:tr>
    </w:tbl>
    <w:p>
      <w:pPr>
        <w:spacing w:after="0" w:line="309" w:lineRule="exact"/>
        <w:rPr>
          <w:sz w:val="20"/>
          <w:szCs w:val="20"/>
          <w:color w:val="auto"/>
        </w:rPr>
      </w:pPr>
    </w:p>
    <w:p>
      <w:pPr>
        <w:ind w:right="220" w:firstLine="629"/>
        <w:spacing w:after="0" w:line="296" w:lineRule="auto"/>
        <w:rPr>
          <w:sz w:val="20"/>
          <w:szCs w:val="20"/>
          <w:color w:val="auto"/>
        </w:rPr>
      </w:pPr>
      <w:r>
        <w:rPr>
          <w:rFonts w:ascii="Times New Roman" w:cs="Times New Roman" w:eastAsia="Times New Roman" w:hAnsi="Times New Roman"/>
          <w:sz w:val="17"/>
          <w:szCs w:val="17"/>
          <w:color w:val="auto"/>
        </w:rPr>
        <w:t>Upon the occurrence of specified change of control events as defined in the Indenture, we must offer to repurchase the outstanding Notes at 101% of the aggregate principal amount, plus accrued and unpaid interest, if any, to (but excluding) the purchase date.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254" w:lineRule="exact"/>
        <w:rPr>
          <w:sz w:val="20"/>
          <w:szCs w:val="20"/>
          <w:color w:val="auto"/>
        </w:rPr>
      </w:pPr>
    </w:p>
    <w:p>
      <w:pPr>
        <w:ind w:right="380" w:firstLine="629"/>
        <w:spacing w:after="0" w:line="296" w:lineRule="auto"/>
        <w:rPr>
          <w:sz w:val="20"/>
          <w:szCs w:val="20"/>
          <w:color w:val="auto"/>
        </w:rPr>
      </w:pPr>
      <w:r>
        <w:rPr>
          <w:rFonts w:ascii="Times New Roman" w:cs="Times New Roman" w:eastAsia="Times New Roman" w:hAnsi="Times New Roman"/>
          <w:sz w:val="17"/>
          <w:szCs w:val="17"/>
          <w:color w:val="auto"/>
        </w:rPr>
        <w:t>Our main sources of liquidity are cash flow from the operations of our subsidiaries, our broker-dealer credit facilities (as described above), margin financing provided by our prime brokers and cash on hand.</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table below summarizes our primary sources and uses of cash for the three months ended March 31, 2026 and 2025.</w:t>
      </w:r>
    </w:p>
    <w:p>
      <w:pPr>
        <w:spacing w:after="0" w:line="283" w:lineRule="exact"/>
        <w:rPr>
          <w:sz w:val="20"/>
          <w:szCs w:val="20"/>
          <w:color w:val="auto"/>
        </w:rPr>
      </w:pPr>
    </w:p>
    <w:tbl>
      <w:tblPr>
        <w:tblLayout w:type="fixed"/>
        <w:tblInd w:w="1260" w:type="dxa"/>
        <w:tblCellMar>
          <w:top w:w="0" w:type="dxa"/>
          <w:left w:w="0" w:type="dxa"/>
          <w:bottom w:w="0" w:type="dxa"/>
          <w:right w:w="0" w:type="dxa"/>
        </w:tblCellMar>
      </w:tblPr>
      <w:tr>
        <w:trPr>
          <w:trHeight w:val="184"/>
        </w:trPr>
        <w:tc>
          <w:tcPr>
            <w:tcW w:w="5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6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550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activities</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14,964</w:t>
            </w:r>
          </w:p>
        </w:tc>
        <w:tc>
          <w:tcPr>
            <w:tcW w:w="0" w:type="dxa"/>
            <w:vAlign w:val="bottom"/>
          </w:tcPr>
          <w:p>
            <w:pPr>
              <w:spacing w:after="0"/>
              <w:rPr>
                <w:sz w:val="1"/>
                <w:szCs w:val="1"/>
                <w:color w:val="auto"/>
              </w:rPr>
            </w:pPr>
          </w:p>
        </w:tc>
      </w:tr>
      <w:tr>
        <w:trPr>
          <w:trHeight w:val="189"/>
        </w:trPr>
        <w:tc>
          <w:tcPr>
            <w:tcW w:w="56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Investing activities</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(36,075)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(31,008)</w:t>
            </w:r>
          </w:p>
        </w:tc>
        <w:tc>
          <w:tcPr>
            <w:tcW w:w="0" w:type="dxa"/>
            <w:vAlign w:val="bottom"/>
          </w:tcPr>
          <w:p>
            <w:pPr>
              <w:spacing w:after="0"/>
              <w:rPr>
                <w:sz w:val="1"/>
                <w:szCs w:val="1"/>
                <w:color w:val="auto"/>
              </w:rPr>
            </w:pPr>
          </w:p>
        </w:tc>
      </w:tr>
      <w:tr>
        <w:trPr>
          <w:trHeight w:val="204"/>
        </w:trPr>
        <w:tc>
          <w:tcPr>
            <w:tcW w:w="5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Financing activities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(56,596)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(131,673)</w:t>
            </w:r>
          </w:p>
        </w:tc>
        <w:tc>
          <w:tcPr>
            <w:tcW w:w="0" w:type="dxa"/>
            <w:vAlign w:val="bottom"/>
          </w:tcPr>
          <w:p>
            <w:pPr>
              <w:spacing w:after="0"/>
              <w:rPr>
                <w:sz w:val="1"/>
                <w:szCs w:val="1"/>
                <w:color w:val="auto"/>
              </w:rPr>
            </w:pPr>
          </w:p>
        </w:tc>
      </w:tr>
      <w:tr>
        <w:trPr>
          <w:trHeight w:val="190"/>
        </w:trPr>
        <w:tc>
          <w:tcPr>
            <w:tcW w:w="5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0" w:type="dxa"/>
            <w:vAlign w:val="bottom"/>
          </w:tcPr>
          <w:p>
            <w:pPr>
              <w:spacing w:after="0"/>
              <w:rPr>
                <w:sz w:val="1"/>
                <w:szCs w:val="1"/>
                <w:color w:val="auto"/>
              </w:rPr>
            </w:pPr>
          </w:p>
        </w:tc>
      </w:tr>
      <w:tr>
        <w:trPr>
          <w:trHeight w:val="221"/>
        </w:trPr>
        <w:tc>
          <w:tcPr>
            <w:tcW w:w="56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(96,240)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(142,977)</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252" w:lineRule="exact"/>
        <w:rPr>
          <w:sz w:val="20"/>
          <w:szCs w:val="20"/>
          <w:color w:val="auto"/>
        </w:rPr>
      </w:pPr>
    </w:p>
    <w:p>
      <w:pPr>
        <w:ind w:right="140" w:firstLine="629"/>
        <w:spacing w:after="0" w:line="274" w:lineRule="auto"/>
        <w:rPr>
          <w:sz w:val="20"/>
          <w:szCs w:val="20"/>
          <w:color w:val="auto"/>
        </w:rPr>
      </w:pPr>
      <w:r>
        <w:rPr>
          <w:rFonts w:ascii="Times New Roman" w:cs="Times New Roman" w:eastAsia="Times New Roman" w:hAnsi="Times New Roman"/>
          <w:sz w:val="17"/>
          <w:szCs w:val="17"/>
          <w:color w:val="auto"/>
        </w:rPr>
        <w:t>Net cash used in operating activities was $0.1 million for the three months ended March 31, 2026, compared to net cash provided by operating activities of $15.0 million for the three months ended March 31, 2025. The change in net cash used in operating activities was primarily attributable to movements in noncash adjustments, partially offset by higher Net income for the three months ended March 31, 2026 compared to the same period in the prior year.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252" w:lineRule="exact"/>
        <w:rPr>
          <w:sz w:val="20"/>
          <w:szCs w:val="20"/>
          <w:color w:val="auto"/>
        </w:rPr>
      </w:pPr>
    </w:p>
    <w:p>
      <w:pPr>
        <w:ind w:right="340" w:firstLine="629"/>
        <w:spacing w:after="0" w:line="270" w:lineRule="auto"/>
        <w:rPr>
          <w:sz w:val="20"/>
          <w:szCs w:val="20"/>
          <w:color w:val="auto"/>
        </w:rPr>
      </w:pPr>
      <w:r>
        <w:rPr>
          <w:rFonts w:ascii="Times New Roman" w:cs="Times New Roman" w:eastAsia="Times New Roman" w:hAnsi="Times New Roman"/>
          <w:sz w:val="17"/>
          <w:szCs w:val="17"/>
          <w:color w:val="auto"/>
        </w:rPr>
        <w:t>Net cash used in investing activities, which includes cash used with respect to capitalized software and cash used in the acquisition of property and equipment, was $36.1 million for the three months ended March 31, 2026, compared with net cash used in investing activities of $31.0 million for the three months ended March 31, 2025. The increase in net cash used in investing activities was primarily attributable to increases in acquisition of property and equipment and other investing activities for the three months ended March 31, 2026.</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252"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Net cash used in financing activities was $56.6 million for the three months ended March 31, 2026, compared to Net cash used in financing activities of $131.7 million for the three months ended March 31, 2025. The cash used in financing activities for the three months ended March 31, 2026 was primarily attributable to $114.5 million in dividends to stockholders and distributions made to noncontrolling interests and $55.8 million in purchases of treasury stock, partially offset by $144.5 million of net proceeds from short-term borrowings. The cash used in financing activities of $131.7 million during the same period of 2025 primarily reflects $1,245.0 million of repayment of our previous long-term borrowings, $94.7 million in dividends to stockholders and distributions to noncontrolling interests, and $88.9 million purchase of treasury stock, partially offset by $1,245.0 million of net proceeds from long-term borrowings and $77.7 million of net proceeds from short-term borrowings.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i w:val="1"/>
          <w:iCs w:val="1"/>
          <w:color w:val="auto"/>
        </w:rPr>
        <w:t>Share Repurchase Program</w:t>
      </w:r>
    </w:p>
    <w:p>
      <w:pPr>
        <w:spacing w:after="0" w:line="254"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On November 6, 2020, the Company’s Board of Directors authorized a share repurchase program of up to $100.0 million in Class A common stock and Virtu Financial Units by December 31, 2021. Subsequently, the Company’s Board of Directors authorized expansions of the share repurchase program on February 11, 2021 to $170.0 million, on May 4, 2021 to $470.0 million (and extended the duration through May 4, 2022), on November 3, 2021 to $1,220.0 million (and extended the duration through November 3, 2023, and on November 2, 2023, further extended the program through December 31, 2024), and on April 24, 2024 to $1,720 million (and extended the duration through April 24, 2026).</w:t>
      </w:r>
    </w:p>
    <w:p>
      <w:pPr>
        <w:spacing w:after="0" w:line="196" w:lineRule="exact"/>
        <w:rPr>
          <w:sz w:val="20"/>
          <w:szCs w:val="20"/>
          <w:color w:val="auto"/>
        </w:rPr>
      </w:pPr>
    </w:p>
    <w:p>
      <w:pPr>
        <w:ind w:right="160" w:firstLine="629"/>
        <w:spacing w:after="0" w:line="265" w:lineRule="auto"/>
        <w:rPr>
          <w:sz w:val="20"/>
          <w:szCs w:val="20"/>
          <w:color w:val="auto"/>
        </w:rPr>
      </w:pPr>
      <w:r>
        <w:rPr>
          <w:rFonts w:ascii="Times New Roman" w:cs="Times New Roman" w:eastAsia="Times New Roman" w:hAnsi="Times New Roman"/>
          <w:sz w:val="17"/>
          <w:szCs w:val="17"/>
          <w:color w:val="auto"/>
        </w:rPr>
        <w:t>The share repurchase program authorized the Company to repurchase shares from time to time in open market transactions, privately negotiated transactions or by other means. Repurchases were also permitted to be made under Rule 10b5-1 plans. The timing and amount of repurchase transactions were determined by the Company’s management based on its evaluation of market conditions, share price, cash sources, legal requirements and other factors. From the inception of the program through March 31, 2026, the Company repurchased approximately 53.8 million shares of Class A Common Stock and Virtu Financial Units for approximately $1,417.2 million. As of March 31, 2026, the Company had approximately of $302.8 million remaining capacity for future purchases of shares of Class A Common Stock and Virtu Financial Units under the program.</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52"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w:t>
      </w:r>
    </w:p>
    <w:p>
      <w:pPr>
        <w:spacing w:after="0" w:line="196" w:lineRule="exact"/>
        <w:rPr>
          <w:sz w:val="20"/>
          <w:szCs w:val="20"/>
          <w:color w:val="auto"/>
        </w:rPr>
      </w:pPr>
    </w:p>
    <w:p>
      <w:pPr>
        <w:ind w:right="40" w:firstLine="629"/>
        <w:spacing w:after="0" w:line="267" w:lineRule="auto"/>
        <w:rPr>
          <w:sz w:val="20"/>
          <w:szCs w:val="20"/>
          <w:color w:val="auto"/>
        </w:rPr>
      </w:pPr>
      <w:r>
        <w:rPr>
          <w:rFonts w:ascii="Times New Roman" w:cs="Times New Roman" w:eastAsia="Times New Roman" w:hAnsi="Times New Roman"/>
          <w:sz w:val="17"/>
          <w:szCs w:val="17"/>
          <w:color w:val="auto"/>
        </w:rPr>
        <w:t>While our significant accounting policies are described in more detail in the notes to our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of Financial Instruments</w:t>
      </w:r>
    </w:p>
    <w:p>
      <w:pPr>
        <w:spacing w:after="0" w:line="254" w:lineRule="exact"/>
        <w:rPr>
          <w:sz w:val="20"/>
          <w:szCs w:val="20"/>
          <w:color w:val="auto"/>
        </w:rPr>
      </w:pPr>
    </w:p>
    <w:p>
      <w:pPr>
        <w:ind w:right="60" w:firstLine="629"/>
        <w:spacing w:after="0" w:line="266" w:lineRule="auto"/>
        <w:rPr>
          <w:sz w:val="20"/>
          <w:szCs w:val="20"/>
          <w:color w:val="auto"/>
        </w:rPr>
      </w:pPr>
      <w:r>
        <w:rPr>
          <w:rFonts w:ascii="Times New Roman" w:cs="Times New Roman" w:eastAsia="Times New Roman" w:hAnsi="Times New Roman"/>
          <w:sz w:val="17"/>
          <w:szCs w:val="17"/>
          <w:color w:val="auto"/>
        </w:rPr>
        <w:t>Due to the nature of our operations, substantially all of our financial instrument assets, comprised of financial instruments owned, securities purchased under agreements to resell, receivables from brokers, dealers and clearing organizations, and digital assets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200" w:lineRule="exact"/>
        <w:rPr>
          <w:sz w:val="20"/>
          <w:szCs w:val="20"/>
          <w:color w:val="auto"/>
        </w:rPr>
      </w:pPr>
    </w:p>
    <w:p>
      <w:pPr>
        <w:spacing w:after="0" w:line="210"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Level 1 — Unadjusted quoted prices in active markets that are accessible at the measurement date for identical, unrestricted assets or liabilities;</w:t>
      </w:r>
    </w:p>
    <w:p>
      <w:pPr>
        <w:spacing w:after="0" w:line="250" w:lineRule="exact"/>
        <w:rPr>
          <w:sz w:val="20"/>
          <w:szCs w:val="20"/>
          <w:color w:val="auto"/>
        </w:rPr>
      </w:pPr>
    </w:p>
    <w:p>
      <w:pPr>
        <w:ind w:right="480" w:firstLine="629"/>
        <w:spacing w:after="0" w:line="296" w:lineRule="auto"/>
        <w:rPr>
          <w:sz w:val="20"/>
          <w:szCs w:val="20"/>
          <w:color w:val="auto"/>
        </w:rPr>
      </w:pPr>
      <w:r>
        <w:rPr>
          <w:rFonts w:ascii="Times New Roman" w:cs="Times New Roman" w:eastAsia="Times New Roman" w:hAnsi="Times New Roman"/>
          <w:sz w:val="17"/>
          <w:szCs w:val="17"/>
          <w:color w:val="auto"/>
        </w:rPr>
        <w:t>Level 2 — Quoted prices in markets that are not active and financial instruments for which all significant inputs are observable, either directly or indirectly; or</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Level 3 — Prices or valuations that require inputs that are both significant to the fair value measurement and unobservable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9" w:name="page70"/>
    <w:bookmarkEnd w:id="69"/>
    <w:p>
      <w:pPr>
        <w:ind w:right="60" w:firstLine="629"/>
        <w:spacing w:after="0" w:line="249" w:lineRule="auto"/>
        <w:rPr>
          <w:sz w:val="20"/>
          <w:szCs w:val="20"/>
          <w:color w:val="auto"/>
        </w:rPr>
      </w:pPr>
      <w:r>
        <w:rPr>
          <w:rFonts w:ascii="Times New Roman" w:cs="Times New Roman" w:eastAsia="Times New Roman" w:hAnsi="Times New Roman"/>
          <w:sz w:val="17"/>
          <w:szCs w:val="17"/>
          <w:color w:val="auto"/>
        </w:rPr>
        <w:t>The fair values for substantially all of our financial instruments owned, financial instruments sold but not yet purchased, and digital assets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Due to the relative immateriality of our financial instruments classified as level 3, we do not believe that a significant change to the inputs underlying the fair value of our level 3 financial instruments would have a material impact on our Condensed Consolidated Financial Statements. See Note 10 “Financial Assets and Liabilities” of Part I Item 1 “Financial Statements” of this Quarterly Report on Form 10-Q for further information about fair value measurements.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Trading Income, Net</w:t>
      </w:r>
    </w:p>
    <w:p>
      <w:pPr>
        <w:spacing w:after="0" w:line="252" w:lineRule="exact"/>
        <w:rPr>
          <w:sz w:val="20"/>
          <w:szCs w:val="20"/>
          <w:color w:val="auto"/>
        </w:rPr>
      </w:pPr>
    </w:p>
    <w:p>
      <w:pPr>
        <w:ind w:right="380" w:firstLine="629"/>
        <w:spacing w:after="0" w:line="276" w:lineRule="auto"/>
        <w:rPr>
          <w:sz w:val="20"/>
          <w:szCs w:val="20"/>
          <w:color w:val="auto"/>
        </w:rPr>
      </w:pPr>
      <w:r>
        <w:rPr>
          <w:rFonts w:ascii="Times New Roman" w:cs="Times New Roman" w:eastAsia="Times New Roman" w:hAnsi="Times New Roman"/>
          <w:sz w:val="17"/>
          <w:szCs w:val="17"/>
          <w:color w:val="auto"/>
        </w:rPr>
        <w:t>Trading income, net, consists of trading gains and losses that are recorded on a trade date basis and reported on a net basis. Trading income, net, is primarily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and Dividends Income/Interest and Dividends Expense</w:t>
      </w:r>
    </w:p>
    <w:p>
      <w:pPr>
        <w:spacing w:after="0" w:line="252" w:lineRule="exact"/>
        <w:rPr>
          <w:sz w:val="20"/>
          <w:szCs w:val="20"/>
          <w:color w:val="auto"/>
        </w:rPr>
      </w:pPr>
    </w:p>
    <w:p>
      <w:pPr>
        <w:ind w:right="200" w:firstLine="629"/>
        <w:spacing w:after="0" w:line="276" w:lineRule="auto"/>
        <w:rPr>
          <w:sz w:val="20"/>
          <w:szCs w:val="20"/>
          <w:color w:val="auto"/>
        </w:rPr>
      </w:pPr>
      <w:r>
        <w:rPr>
          <w:rFonts w:ascii="Times New Roman" w:cs="Times New Roman" w:eastAsia="Times New Roman" w:hAnsi="Times New Roman"/>
          <w:sz w:val="17"/>
          <w:szCs w:val="17"/>
          <w:color w:val="auto"/>
        </w:rPr>
        <w:t>Interest income and interest expense are accrued in accordance with contractual rates. Interest income consists of income earned on collateralized financing arrangements and on cash held by brokers and banks. Interest expense includes interest expense from collateralized transactions, margin and related short-term lending facilities. Dividends are recorded on the ex-dividend date, and interest is recognized on an accrual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Commissions, Net and Technology Services</w:t>
      </w:r>
    </w:p>
    <w:p>
      <w:pPr>
        <w:spacing w:after="0" w:line="252" w:lineRule="exact"/>
        <w:rPr>
          <w:sz w:val="20"/>
          <w:szCs w:val="20"/>
          <w:color w:val="auto"/>
        </w:rPr>
      </w:pPr>
    </w:p>
    <w:p>
      <w:pPr>
        <w:ind w:right="40" w:firstLine="629"/>
        <w:spacing w:after="0" w:line="270" w:lineRule="auto"/>
        <w:rPr>
          <w:sz w:val="20"/>
          <w:szCs w:val="20"/>
          <w:color w:val="auto"/>
        </w:rPr>
      </w:pPr>
      <w:r>
        <w:rPr>
          <w:rFonts w:ascii="Times New Roman" w:cs="Times New Roman" w:eastAsia="Times New Roman" w:hAnsi="Times New Roman"/>
          <w:sz w:val="17"/>
          <w:szCs w:val="17"/>
          <w:color w:val="auto"/>
        </w:rPr>
        <w:t>Commissions, net, which primarily comprise commissions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w:t>
      </w:r>
    </w:p>
    <w:p>
      <w:pPr>
        <w:spacing w:after="0" w:line="194" w:lineRule="exact"/>
        <w:rPr>
          <w:sz w:val="20"/>
          <w:szCs w:val="20"/>
          <w:color w:val="auto"/>
        </w:rPr>
      </w:pPr>
    </w:p>
    <w:p>
      <w:pPr>
        <w:ind w:right="700" w:firstLine="629"/>
        <w:spacing w:after="0" w:line="296" w:lineRule="auto"/>
        <w:rPr>
          <w:sz w:val="20"/>
          <w:szCs w:val="20"/>
          <w:color w:val="auto"/>
        </w:rPr>
      </w:pPr>
      <w:r>
        <w:rPr>
          <w:rFonts w:ascii="Times New Roman" w:cs="Times New Roman" w:eastAsia="Times New Roman" w:hAnsi="Times New Roman"/>
          <w:sz w:val="17"/>
          <w:szCs w:val="17"/>
          <w:color w:val="auto"/>
        </w:rPr>
        <w:t>Workflow technology revenues consist of order and trade execution management and order routing services we provide through our front-end workflow solutions and network capabilities.</w:t>
      </w:r>
    </w:p>
    <w:p>
      <w:pPr>
        <w:spacing w:after="0" w:line="173" w:lineRule="exact"/>
        <w:rPr>
          <w:sz w:val="20"/>
          <w:szCs w:val="20"/>
          <w:color w:val="auto"/>
        </w:rPr>
      </w:pPr>
    </w:p>
    <w:p>
      <w:pPr>
        <w:ind w:right="80" w:firstLine="629"/>
        <w:spacing w:after="0" w:line="267" w:lineRule="auto"/>
        <w:rPr>
          <w:sz w:val="20"/>
          <w:szCs w:val="20"/>
          <w:color w:val="auto"/>
        </w:rPr>
      </w:pPr>
      <w:r>
        <w:rPr>
          <w:rFonts w:ascii="Times New Roman" w:cs="Times New Roman" w:eastAsia="Times New Roman" w:hAnsi="Times New Roman"/>
          <w:sz w:val="17"/>
          <w:szCs w:val="17"/>
          <w:color w:val="auto"/>
        </w:rPr>
        <w:t>We provide trade order routing from our execution management system (“EMS”) to our execution services offerings, with each trade order routed through the EMS representing a separate performance obligation, which is the trade date for that trade order routed,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spacing w:after="0" w:line="196" w:lineRule="exact"/>
        <w:rPr>
          <w:sz w:val="20"/>
          <w:szCs w:val="20"/>
          <w:color w:val="auto"/>
        </w:rPr>
      </w:pPr>
    </w:p>
    <w:p>
      <w:pPr>
        <w:ind w:right="480" w:firstLine="629"/>
        <w:spacing w:after="0" w:line="296" w:lineRule="auto"/>
        <w:rPr>
          <w:sz w:val="20"/>
          <w:szCs w:val="20"/>
          <w:color w:val="auto"/>
        </w:rPr>
      </w:pPr>
      <w:r>
        <w:rPr>
          <w:rFonts w:ascii="Times New Roman" w:cs="Times New Roman" w:eastAsia="Times New Roman" w:hAnsi="Times New Roman"/>
          <w:sz w:val="17"/>
          <w:szCs w:val="17"/>
          <w:color w:val="auto"/>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spacing w:after="0" w:line="17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94" w:lineRule="exact"/>
        <w:rPr>
          <w:sz w:val="20"/>
          <w:szCs w:val="20"/>
          <w:color w:val="auto"/>
        </w:rPr>
      </w:pPr>
    </w:p>
    <w:p>
      <w:pPr>
        <w:ind w:right="140" w:firstLine="629"/>
        <w:spacing w:after="0" w:line="270" w:lineRule="auto"/>
        <w:rPr>
          <w:sz w:val="20"/>
          <w:szCs w:val="20"/>
          <w:color w:val="auto"/>
        </w:rPr>
      </w:pPr>
      <w:r>
        <w:rPr>
          <w:rFonts w:ascii="Times New Roman" w:cs="Times New Roman" w:eastAsia="Times New Roman" w:hAnsi="Times New Roman"/>
          <w:sz w:val="17"/>
          <w:szCs w:val="17"/>
          <w:color w:val="auto"/>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70" w:name="page71"/>
    <w:bookmarkEnd w:id="70"/>
    <w:p>
      <w:pPr>
        <w:ind w:right="200"/>
        <w:spacing w:after="0" w:line="296" w:lineRule="auto"/>
        <w:rPr>
          <w:sz w:val="20"/>
          <w:szCs w:val="20"/>
          <w:color w:val="auto"/>
        </w:rPr>
      </w:pPr>
      <w:r>
        <w:rPr>
          <w:rFonts w:ascii="Times New Roman" w:cs="Times New Roman" w:eastAsia="Times New Roman" w:hAnsi="Times New Roman"/>
          <w:sz w:val="17"/>
          <w:szCs w:val="17"/>
          <w:color w:val="auto"/>
        </w:rPr>
        <w:t>measure of progress on a monthly basis, since the analytics products and services are continually provided to the client. Point in time performance obligations are recognized when the analytics reports are delivered to the client.</w:t>
      </w:r>
    </w:p>
    <w:p>
      <w:pPr>
        <w:spacing w:after="0" w:line="173" w:lineRule="exact"/>
        <w:rPr>
          <w:sz w:val="20"/>
          <w:szCs w:val="20"/>
          <w:color w:val="auto"/>
        </w:rPr>
      </w:pPr>
    </w:p>
    <w:p>
      <w:pPr>
        <w:ind w:right="140" w:firstLine="629"/>
        <w:spacing w:after="0" w:line="276" w:lineRule="auto"/>
        <w:rPr>
          <w:sz w:val="20"/>
          <w:szCs w:val="20"/>
          <w:color w:val="auto"/>
        </w:rPr>
      </w:pPr>
      <w:r>
        <w:rPr>
          <w:rFonts w:ascii="Times New Roman" w:cs="Times New Roman" w:eastAsia="Times New Roman" w:hAnsi="Times New Roman"/>
          <w:sz w:val="17"/>
          <w:szCs w:val="17"/>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64" w:lineRule="exact"/>
        <w:rPr>
          <w:sz w:val="20"/>
          <w:szCs w:val="20"/>
          <w:color w:val="auto"/>
        </w:rPr>
      </w:pPr>
    </w:p>
    <w:p>
      <w:pPr>
        <w:ind w:left="1260" w:right="480" w:hanging="626"/>
        <w:spacing w:after="0" w:line="268" w:lineRule="auto"/>
        <w:tabs>
          <w:tab w:leader="none" w:pos="1255"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commission value for each customer for the products and services it receives, which is priced using the value for similar stand-alone subscription arrangements; and</w:t>
      </w:r>
    </w:p>
    <w:p>
      <w:pPr>
        <w:ind w:left="1260" w:right="560" w:hanging="626"/>
        <w:spacing w:after="0" w:line="274" w:lineRule="auto"/>
        <w:tabs>
          <w:tab w:leader="none" w:pos="1251"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calculated ratio of the commission value for the products and services relative to the total amount of commissions generated from the customer.</w:t>
      </w:r>
    </w:p>
    <w:p>
      <w:pPr>
        <w:spacing w:after="0" w:line="191"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254"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90" w:lineRule="exact"/>
        <w:rPr>
          <w:sz w:val="20"/>
          <w:szCs w:val="20"/>
          <w:color w:val="auto"/>
        </w:rPr>
      </w:pPr>
    </w:p>
    <w:p>
      <w:pPr>
        <w:ind w:firstLine="629"/>
        <w:spacing w:after="0" w:line="261" w:lineRule="auto"/>
        <w:rPr>
          <w:sz w:val="20"/>
          <w:szCs w:val="20"/>
          <w:color w:val="auto"/>
        </w:rPr>
      </w:pPr>
      <w:r>
        <w:rPr>
          <w:rFonts w:ascii="Times New Roman" w:cs="Times New Roman" w:eastAsia="Times New Roman" w:hAnsi="Times New Roman"/>
          <w:sz w:val="17"/>
          <w:szCs w:val="17"/>
          <w:color w:val="auto"/>
        </w:rPr>
        <w:t>Share-based awards issued for compensation in connection with or subsequent to the Reorganization Transactions and the IPO pursuant to our Second Amended and Restated 2015 Management Incentive Plan were in the form of stock options, Class A Common Stock, restricted stock awards (“RSAs”) and restricted stock units (“RSUs”). The fair value of the stock option grants is determined through the application of the Black-Scholes-Merton model. The fair value of the Class A Common Stock and RSUs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The assessment of the performance condition becomes certain within the year of grant. At year end there is no future assessment that would affect grants with a performance condition. We record as treasury stock shares repurchased from employees for the purpose of settling tax liabilities incurred upon the issuance of common stock, the vesting of RSUs or the exercise of stock options.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54" w:lineRule="exact"/>
        <w:rPr>
          <w:sz w:val="20"/>
          <w:szCs w:val="20"/>
          <w:color w:val="auto"/>
        </w:rPr>
      </w:pPr>
    </w:p>
    <w:p>
      <w:pPr>
        <w:ind w:right="280" w:firstLine="629"/>
        <w:spacing w:after="0" w:line="296" w:lineRule="auto"/>
        <w:rPr>
          <w:sz w:val="20"/>
          <w:szCs w:val="20"/>
          <w:color w:val="auto"/>
        </w:rPr>
      </w:pPr>
      <w:r>
        <w:rPr>
          <w:rFonts w:ascii="Times New Roman" w:cs="Times New Roman" w:eastAsia="Times New Roman" w:hAnsi="Times New Roman"/>
          <w:sz w:val="17"/>
          <w:szCs w:val="17"/>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73" w:lineRule="exact"/>
        <w:rPr>
          <w:sz w:val="20"/>
          <w:szCs w:val="20"/>
          <w:color w:val="auto"/>
        </w:rPr>
      </w:pPr>
    </w:p>
    <w:p>
      <w:pPr>
        <w:jc w:val="both"/>
        <w:ind w:right="140" w:firstLine="629"/>
        <w:spacing w:after="0" w:line="276" w:lineRule="auto"/>
        <w:rPr>
          <w:sz w:val="20"/>
          <w:szCs w:val="20"/>
          <w:color w:val="auto"/>
        </w:rPr>
      </w:pPr>
      <w:r>
        <w:rPr>
          <w:rFonts w:ascii="Times New Roman" w:cs="Times New Roman" w:eastAsia="Times New Roman" w:hAnsi="Times New Roman"/>
          <w:sz w:val="17"/>
          <w:szCs w:val="17"/>
          <w:color w:val="auto"/>
        </w:rPr>
        <w:t>Certain of our wholly owned subsidiaries are subject to income taxes in foreign jurisdictions. The provision for income tax is composed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90" w:lineRule="exact"/>
        <w:rPr>
          <w:sz w:val="20"/>
          <w:szCs w:val="20"/>
          <w:color w:val="auto"/>
        </w:rPr>
      </w:pPr>
    </w:p>
    <w:p>
      <w:pPr>
        <w:ind w:right="60" w:firstLine="629"/>
        <w:spacing w:after="0" w:line="261" w:lineRule="auto"/>
        <w:rPr>
          <w:sz w:val="20"/>
          <w:szCs w:val="20"/>
          <w:color w:val="auto"/>
        </w:rPr>
      </w:pPr>
      <w:r>
        <w:rPr>
          <w:rFonts w:ascii="Times New Roman" w:cs="Times New Roman" w:eastAsia="Times New Roman" w:hAnsi="Times New Roman"/>
          <w:sz w:val="17"/>
          <w:szCs w:val="17"/>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 We believe the judgments and</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1" w:name="page72"/>
    <w:bookmarkEnd w:id="71"/>
    <w:p>
      <w:pPr>
        <w:ind w:right="100"/>
        <w:spacing w:after="0" w:line="296" w:lineRule="auto"/>
        <w:rPr>
          <w:sz w:val="20"/>
          <w:szCs w:val="20"/>
          <w:color w:val="auto"/>
        </w:rPr>
      </w:pPr>
      <w:r>
        <w:rPr>
          <w:rFonts w:ascii="Times New Roman" w:cs="Times New Roman" w:eastAsia="Times New Roman" w:hAnsi="Times New Roman"/>
          <w:sz w:val="17"/>
          <w:szCs w:val="17"/>
          <w:color w:val="auto"/>
        </w:rPr>
        <w:t>estimates discussed above are reasonable. However, if actual results are not consistent with our estimates or assumptions, we may be exposed to losses or gains that could be material.</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Receivable Agreements</w:t>
      </w:r>
    </w:p>
    <w:p>
      <w:pPr>
        <w:spacing w:after="0" w:line="254"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We are required under the tax receivable agreements entered into in connection with our IPO to make payments to TRA Parties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we estimate the cumulative tax receivable agreement obligations to be reported on the consolidated financial statements. The tax attributes are computed as the difference between our basis in the partnership interest (“outside basis”) as compared to our share of the adjusted tax basis of partnership property (“inside basis”), at the time of each Exchange. The computation of inside basis requires judgments in estimating the components included in the inside basis as of the date of the Exchange (such as, cash received on hypothetical sale of assets, allocation of gain/loss at the time of the Exchange taking into account complex partnership tax rules). In addition, we estimate the period of time that may generate cash tax savings of such tax attributes and the realizability of the tax attributes.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Goodwill and Intangible Assets</w:t>
      </w:r>
    </w:p>
    <w:p>
      <w:pPr>
        <w:spacing w:after="0" w:line="254" w:lineRule="exact"/>
        <w:rPr>
          <w:sz w:val="20"/>
          <w:szCs w:val="20"/>
          <w:color w:val="auto"/>
        </w:rPr>
      </w:pPr>
    </w:p>
    <w:p>
      <w:pPr>
        <w:ind w:right="360" w:firstLine="629"/>
        <w:spacing w:after="0" w:line="270" w:lineRule="auto"/>
        <w:rPr>
          <w:sz w:val="20"/>
          <w:szCs w:val="20"/>
          <w:color w:val="auto"/>
        </w:rPr>
      </w:pPr>
      <w:r>
        <w:rPr>
          <w:rFonts w:ascii="Times New Roman" w:cs="Times New Roman" w:eastAsia="Times New Roman" w:hAnsi="Times New Roman"/>
          <w:sz w:val="17"/>
          <w:szCs w:val="17"/>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81" w:lineRule="exact"/>
        <w:rPr>
          <w:sz w:val="20"/>
          <w:szCs w:val="20"/>
          <w:color w:val="auto"/>
        </w:rPr>
      </w:pPr>
    </w:p>
    <w:p>
      <w:pPr>
        <w:jc w:val="both"/>
        <w:ind w:right="60" w:firstLine="629"/>
        <w:spacing w:after="0" w:line="252" w:lineRule="auto"/>
        <w:rPr>
          <w:sz w:val="20"/>
          <w:szCs w:val="20"/>
          <w:color w:val="auto"/>
        </w:rPr>
      </w:pPr>
      <w:r>
        <w:rPr>
          <w:rFonts w:ascii="Times New Roman" w:cs="Times New Roman" w:eastAsia="Times New Roman" w:hAnsi="Times New Roman"/>
          <w:sz w:val="17"/>
          <w:szCs w:val="17"/>
          <w:color w:val="auto"/>
        </w:rPr>
        <w:t>When assessing impairment, an entity may perform an initial qualitative assessment, under which it assesses qualitative factors to determine whether it is more likely than not that the fair value of a reporting unit is less than its carrying amount, including goodwill. In evaluating whether it is more likely than not that the fair value of a reporting unit is less than its carrying amount, an entity shall assess relevant events and circumstances, including the following:</w:t>
      </w:r>
    </w:p>
    <w:p>
      <w:pPr>
        <w:spacing w:after="0" w:line="196" w:lineRule="exact"/>
        <w:rPr>
          <w:sz w:val="20"/>
          <w:szCs w:val="20"/>
          <w:color w:val="auto"/>
        </w:rPr>
      </w:pPr>
    </w:p>
    <w:p>
      <w:pPr>
        <w:ind w:left="1260" w:hanging="312"/>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w:t>
      </w:r>
    </w:p>
    <w:p>
      <w:pPr>
        <w:spacing w:after="0" w:line="32"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limitations on accessing capital;</w:t>
      </w:r>
    </w:p>
    <w:p>
      <w:pPr>
        <w:spacing w:after="0" w:line="14" w:lineRule="exact"/>
        <w:rPr>
          <w:rFonts w:ascii="Times New Roman" w:cs="Times New Roman" w:eastAsia="Times New Roman" w:hAnsi="Times New Roman"/>
          <w:sz w:val="17"/>
          <w:szCs w:val="17"/>
          <w:color w:val="auto"/>
        </w:rPr>
      </w:pPr>
    </w:p>
    <w:p>
      <w:pPr>
        <w:ind w:left="1260" w:hanging="312"/>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foreign exchange rates or other developments in equity and credit markets;</w:t>
      </w:r>
    </w:p>
    <w:p>
      <w:pPr>
        <w:spacing w:after="0" w:line="14" w:lineRule="exact"/>
        <w:rPr>
          <w:rFonts w:ascii="Times New Roman" w:cs="Times New Roman" w:eastAsia="Times New Roman" w:hAnsi="Times New Roman"/>
          <w:sz w:val="17"/>
          <w:szCs w:val="17"/>
          <w:color w:val="auto"/>
        </w:rPr>
      </w:pPr>
    </w:p>
    <w:p>
      <w:pPr>
        <w:ind w:left="640" w:firstLine="308"/>
        <w:spacing w:after="0" w:line="257" w:lineRule="auto"/>
        <w:tabs>
          <w:tab w:leader="none" w:pos="126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and market considerations such as a deterioration in the environment in which an entity operates, an increased competitive environment, a decline in market-dependent multiples or metrics (considered in both absolute terms and relative to peers), a change in the market for an entity’s products or services, or a regulatory or political development;</w:t>
      </w:r>
    </w:p>
    <w:p>
      <w:pPr>
        <w:ind w:left="1260" w:hanging="312"/>
        <w:spacing w:after="0"/>
        <w:tabs>
          <w:tab w:leader="none" w:pos="12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factors such as increases in raw materials, labor, or other costs that have a negative effect on earnings and cash flows;</w:t>
      </w:r>
    </w:p>
    <w:p>
      <w:pPr>
        <w:spacing w:after="0" w:line="14" w:lineRule="exact"/>
        <w:rPr>
          <w:rFonts w:ascii="Times New Roman" w:cs="Times New Roman" w:eastAsia="Times New Roman" w:hAnsi="Times New Roman"/>
          <w:sz w:val="17"/>
          <w:szCs w:val="17"/>
          <w:color w:val="auto"/>
        </w:rPr>
      </w:pPr>
    </w:p>
    <w:p>
      <w:pPr>
        <w:ind w:left="640" w:right="280" w:firstLine="308"/>
        <w:spacing w:after="0" w:line="257" w:lineRule="auto"/>
        <w:tabs>
          <w:tab w:leader="none" w:pos="126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financial performance such as negative or declining cash flows or a decline in actual or planned revenue or earnings compared with actual and projected results of relevant prior periods;</w:t>
      </w:r>
    </w:p>
    <w:p>
      <w:pPr>
        <w:ind w:left="640" w:right="220" w:firstLine="308"/>
        <w:spacing w:after="0" w:line="274" w:lineRule="auto"/>
        <w:tabs>
          <w:tab w:leader="none" w:pos="1264"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relevant entity-specific events such as changes in management, key personnel, strategy, or customers, contemplation of bankruptcy, or litigation.</w:t>
      </w:r>
    </w:p>
    <w:p>
      <w:pPr>
        <w:spacing w:after="0" w:line="191" w:lineRule="exact"/>
        <w:rPr>
          <w:sz w:val="20"/>
          <w:szCs w:val="20"/>
          <w:color w:val="auto"/>
        </w:rPr>
      </w:pPr>
    </w:p>
    <w:p>
      <w:pPr>
        <w:ind w:right="240" w:firstLine="629"/>
        <w:spacing w:after="0" w:line="296" w:lineRule="auto"/>
        <w:rPr>
          <w:sz w:val="20"/>
          <w:szCs w:val="20"/>
          <w:color w:val="auto"/>
        </w:rPr>
      </w:pPr>
      <w:r>
        <w:rPr>
          <w:rFonts w:ascii="Times New Roman" w:cs="Times New Roman" w:eastAsia="Times New Roman" w:hAnsi="Times New Roman"/>
          <w:sz w:val="17"/>
          <w:szCs w:val="17"/>
          <w:color w:val="auto"/>
        </w:rPr>
        <w:t>If, after assessing the totality of such events or circumstances, an entity determines that it is not more likely than not that the fair value of a reporting unit is less than its carrying amount, then no further goodwill impairment testing is necessary.</w:t>
      </w:r>
    </w:p>
    <w:p>
      <w:pPr>
        <w:spacing w:after="0" w:line="173" w:lineRule="exact"/>
        <w:rPr>
          <w:sz w:val="20"/>
          <w:szCs w:val="20"/>
          <w:color w:val="auto"/>
        </w:rPr>
      </w:pPr>
    </w:p>
    <w:p>
      <w:pPr>
        <w:ind w:right="180" w:firstLine="629"/>
        <w:spacing w:after="0" w:line="270" w:lineRule="auto"/>
        <w:rPr>
          <w:sz w:val="20"/>
          <w:szCs w:val="20"/>
          <w:color w:val="auto"/>
        </w:rPr>
      </w:pPr>
      <w:r>
        <w:rPr>
          <w:rFonts w:ascii="Times New Roman" w:cs="Times New Roman" w:eastAsia="Times New Roman" w:hAnsi="Times New Roman"/>
          <w:sz w:val="17"/>
          <w:szCs w:val="17"/>
          <w:color w:val="auto"/>
        </w:rPr>
        <w:t>If further testing is necessary, the fair value of the reporting unit is compared to its carrying value; if the fair value of the reporting unit is less than its carrying value, a goodwill impairment loss is recorded, equal to the excess of the reporting unit’s carrying amount over its fair value (not to exceed the total goodwill allocated to that reporting unit). Our estimate of goodwill impairment, if indicated based on results of the qualitative assessment, is highly dependent on our estimate of a reporting unit’s fair value.</w:t>
      </w:r>
    </w:p>
    <w:p>
      <w:pPr>
        <w:spacing w:after="0" w:line="194" w:lineRule="exact"/>
        <w:rPr>
          <w:sz w:val="20"/>
          <w:szCs w:val="20"/>
          <w:color w:val="auto"/>
        </w:rPr>
      </w:pPr>
    </w:p>
    <w:p>
      <w:pPr>
        <w:ind w:right="260" w:firstLine="629"/>
        <w:spacing w:after="0" w:line="276" w:lineRule="auto"/>
        <w:rPr>
          <w:sz w:val="20"/>
          <w:szCs w:val="20"/>
          <w:color w:val="auto"/>
        </w:rPr>
      </w:pPr>
      <w:r>
        <w:rPr>
          <w:rFonts w:ascii="Times New Roman" w:cs="Times New Roman" w:eastAsia="Times New Roman" w:hAnsi="Times New Roman"/>
          <w:sz w:val="17"/>
          <w:szCs w:val="17"/>
          <w:color w:val="auto"/>
        </w:rPr>
        <w:t>We assess goodwill for impairment on an annual basis as of July 1st and on an interim basis when certain events or circumstances exist. In the impairment assessment as of July 1, 2025, we performed a qualitative assessment as described above for each reporting unit. No impairment of goodwill was identified.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2" w:name="page73"/>
    <w:bookmarkEnd w:id="72"/>
    <w:p>
      <w:pPr>
        <w:ind w:firstLine="629"/>
        <w:spacing w:after="0" w:line="262" w:lineRule="auto"/>
        <w:rPr>
          <w:sz w:val="20"/>
          <w:szCs w:val="20"/>
          <w:color w:val="auto"/>
        </w:rPr>
      </w:pPr>
      <w:r>
        <w:rPr>
          <w:rFonts w:ascii="Times New Roman" w:cs="Times New Roman" w:eastAsia="Times New Roman" w:hAnsi="Times New Roman"/>
          <w:sz w:val="17"/>
          <w:szCs w:val="17"/>
          <w:color w:val="auto"/>
        </w:rPr>
        <w:t>Valuation of intangible assets involves the use of significant estimates and assumptions with respect to the timing and amounts of revenue growth rates, customer attrition rates, future tax rates, royalty rates, contributory asset charges, discount rate and the resulting cash flows. We amortize finite-lived intangible assets over their estimated useful lives. Our largest finite-lived intangible asset is customer relationships, which is being amortized over an estimated useful life of ten to twelve years. Had we used a shorter estimated useful life of seven years, the Company’s amortization expense would have been reduced by</w:t>
      </w:r>
    </w:p>
    <w:p>
      <w:pPr>
        <w:spacing w:after="0" w:line="3" w:lineRule="exact"/>
        <w:rPr>
          <w:sz w:val="20"/>
          <w:szCs w:val="20"/>
          <w:color w:val="auto"/>
        </w:rPr>
      </w:pPr>
    </w:p>
    <w:p>
      <w:pPr>
        <w:ind w:right="720"/>
        <w:spacing w:after="0" w:line="274" w:lineRule="auto"/>
        <w:rPr>
          <w:sz w:val="20"/>
          <w:szCs w:val="20"/>
          <w:color w:val="auto"/>
        </w:rPr>
      </w:pPr>
      <w:r>
        <w:rPr>
          <w:rFonts w:ascii="Times New Roman" w:cs="Times New Roman" w:eastAsia="Times New Roman" w:hAnsi="Times New Roman"/>
          <w:sz w:val="17"/>
          <w:szCs w:val="17"/>
          <w:color w:val="auto"/>
        </w:rPr>
        <w:t>$1.5 million and increased by $3.6 million for the three months ended March 31, 2026 and 2025, respectively. We test finite-lived intangible assets for impairment when impairment indicators are present, and if impaired, they are written down to fair value.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52" w:lineRule="exact"/>
        <w:rPr>
          <w:sz w:val="20"/>
          <w:szCs w:val="20"/>
          <w:color w:val="auto"/>
        </w:rPr>
      </w:pPr>
    </w:p>
    <w:p>
      <w:pPr>
        <w:ind w:right="140" w:firstLine="629"/>
        <w:spacing w:after="0" w:line="296" w:lineRule="auto"/>
        <w:rPr>
          <w:sz w:val="20"/>
          <w:szCs w:val="20"/>
          <w:color w:val="auto"/>
        </w:rPr>
      </w:pPr>
      <w:r>
        <w:rPr>
          <w:rFonts w:ascii="Times New Roman" w:cs="Times New Roman" w:eastAsia="Times New Roman" w:hAnsi="Times New Roman"/>
          <w:sz w:val="17"/>
          <w:szCs w:val="17"/>
          <w:color w:val="auto"/>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868" w:right="3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Risk</w:t>
      </w:r>
    </w:p>
    <w:p>
      <w:pPr>
        <w:spacing w:after="0" w:line="252" w:lineRule="exact"/>
        <w:rPr>
          <w:sz w:val="20"/>
          <w:szCs w:val="20"/>
          <w:color w:val="auto"/>
        </w:rPr>
      </w:pPr>
    </w:p>
    <w:p>
      <w:pPr>
        <w:ind w:right="260" w:firstLine="629"/>
        <w:spacing w:after="0" w:line="296" w:lineRule="auto"/>
        <w:rPr>
          <w:sz w:val="20"/>
          <w:szCs w:val="20"/>
          <w:color w:val="auto"/>
        </w:rPr>
      </w:pPr>
      <w:r>
        <w:rPr>
          <w:rFonts w:ascii="Times New Roman" w:cs="Times New Roman" w:eastAsia="Times New Roman" w:hAnsi="Times New Roman"/>
          <w:sz w:val="17"/>
          <w:szCs w:val="17"/>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73"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203" w:lineRule="exact"/>
        <w:rPr>
          <w:sz w:val="20"/>
          <w:szCs w:val="20"/>
          <w:color w:val="auto"/>
        </w:rPr>
      </w:pPr>
    </w:p>
    <w:p>
      <w:pPr>
        <w:ind w:firstLine="629"/>
        <w:spacing w:after="0" w:line="276" w:lineRule="auto"/>
        <w:rPr>
          <w:sz w:val="20"/>
          <w:szCs w:val="20"/>
          <w:color w:val="auto"/>
        </w:rPr>
      </w:pPr>
      <w:r>
        <w:rPr>
          <w:rFonts w:ascii="Times New Roman" w:cs="Times New Roman" w:eastAsia="Times New Roman" w:hAnsi="Times New Roman"/>
          <w:sz w:val="17"/>
          <w:szCs w:val="17"/>
          <w:color w:val="auto"/>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senior trading personnel, designated risk personnel and senior management.</w:t>
      </w:r>
    </w:p>
    <w:p>
      <w:pPr>
        <w:spacing w:after="0" w:line="190" w:lineRule="exact"/>
        <w:rPr>
          <w:sz w:val="20"/>
          <w:szCs w:val="20"/>
          <w:color w:val="auto"/>
        </w:rPr>
      </w:pPr>
    </w:p>
    <w:p>
      <w:pPr>
        <w:ind w:right="60" w:firstLine="629"/>
        <w:spacing w:after="0" w:line="276" w:lineRule="auto"/>
        <w:rPr>
          <w:sz w:val="20"/>
          <w:szCs w:val="20"/>
          <w:color w:val="auto"/>
        </w:rPr>
      </w:pPr>
      <w:r>
        <w:rPr>
          <w:rFonts w:ascii="Times New Roman" w:cs="Times New Roman" w:eastAsia="Times New Roman" w:hAnsi="Times New Roman"/>
          <w:sz w:val="17"/>
          <w:szCs w:val="17"/>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90" w:lineRule="exact"/>
        <w:rPr>
          <w:sz w:val="20"/>
          <w:szCs w:val="20"/>
          <w:color w:val="auto"/>
        </w:rPr>
      </w:pPr>
    </w:p>
    <w:p>
      <w:pPr>
        <w:ind w:right="80" w:firstLine="629"/>
        <w:spacing w:after="0" w:line="264" w:lineRule="auto"/>
        <w:rPr>
          <w:sz w:val="20"/>
          <w:szCs w:val="20"/>
          <w:color w:val="auto"/>
        </w:rPr>
      </w:pPr>
      <w:r>
        <w:rPr>
          <w:rFonts w:ascii="Times New Roman" w:cs="Times New Roman" w:eastAsia="Times New Roman" w:hAnsi="Times New Roman"/>
          <w:sz w:val="17"/>
          <w:szCs w:val="17"/>
          <w:color w:val="auto"/>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200" w:lineRule="exact"/>
        <w:rPr>
          <w:sz w:val="20"/>
          <w:szCs w:val="20"/>
          <w:color w:val="auto"/>
        </w:rPr>
      </w:pPr>
    </w:p>
    <w:p>
      <w:pPr>
        <w:spacing w:after="0" w:line="213"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In the normal course of business, we maintain inventories of exchange-listed and other equity securities, and to a lesser extent, fixed income securities, listed equity options, and digital assets. The fair value of these financial instruments at March 31, 2026 and December 31, 2025 was $13.0 billion and $10.6 billion, respectively, in long positions and $12.3 billion and $9.1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spacing w:after="0" w:line="196" w:lineRule="exact"/>
        <w:rPr>
          <w:sz w:val="20"/>
          <w:szCs w:val="20"/>
          <w:color w:val="auto"/>
        </w:rPr>
      </w:pPr>
    </w:p>
    <w:p>
      <w:pPr>
        <w:jc w:val="both"/>
        <w:ind w:right="40" w:firstLine="629"/>
        <w:spacing w:after="0" w:line="270" w:lineRule="auto"/>
        <w:rPr>
          <w:sz w:val="20"/>
          <w:szCs w:val="20"/>
          <w:color w:val="auto"/>
        </w:rPr>
      </w:pPr>
      <w:r>
        <w:rPr>
          <w:rFonts w:ascii="Times New Roman" w:cs="Times New Roman" w:eastAsia="Times New Roman" w:hAnsi="Times New Roman"/>
          <w:sz w:val="17"/>
          <w:szCs w:val="17"/>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194" w:lineRule="exact"/>
        <w:rPr>
          <w:sz w:val="20"/>
          <w:szCs w:val="20"/>
          <w:color w:val="auto"/>
        </w:rPr>
      </w:pPr>
    </w:p>
    <w:p>
      <w:pPr>
        <w:ind w:right="120" w:firstLine="629"/>
        <w:spacing w:after="0" w:line="267" w:lineRule="auto"/>
        <w:rPr>
          <w:sz w:val="20"/>
          <w:szCs w:val="20"/>
          <w:color w:val="auto"/>
        </w:rPr>
      </w:pPr>
      <w:r>
        <w:rPr>
          <w:rFonts w:ascii="Times New Roman" w:cs="Times New Roman" w:eastAsia="Times New Roman" w:hAnsi="Times New Roman"/>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1075" w:right="3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color w:val="auto"/>
        </w:rPr>
        <w:t>Interest Rate Risk, Derivative Instruments</w:t>
      </w:r>
    </w:p>
    <w:p>
      <w:pPr>
        <w:spacing w:after="0" w:line="252" w:lineRule="exact"/>
        <w:rPr>
          <w:sz w:val="20"/>
          <w:szCs w:val="20"/>
          <w:color w:val="auto"/>
        </w:rPr>
      </w:pPr>
    </w:p>
    <w:p>
      <w:pPr>
        <w:ind w:right="20" w:firstLine="629"/>
        <w:spacing w:after="0" w:line="267" w:lineRule="auto"/>
        <w:rPr>
          <w:sz w:val="20"/>
          <w:szCs w:val="20"/>
          <w:color w:val="auto"/>
        </w:rPr>
      </w:pPr>
      <w:r>
        <w:rPr>
          <w:rFonts w:ascii="Times New Roman" w:cs="Times New Roman" w:eastAsia="Times New Roman" w:hAnsi="Times New Roman"/>
          <w:sz w:val="17"/>
          <w:szCs w:val="17"/>
          <w:color w:val="auto"/>
        </w:rPr>
        <w:t>In the normal course of business, we utilize derivative financial instruments in connection with our proprietary trading activities. We carry our trading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96" w:lineRule="exact"/>
        <w:rPr>
          <w:sz w:val="20"/>
          <w:szCs w:val="20"/>
          <w:color w:val="auto"/>
        </w:rPr>
      </w:pPr>
    </w:p>
    <w:p>
      <w:pPr>
        <w:ind w:right="40" w:firstLine="629"/>
        <w:spacing w:after="0" w:line="261" w:lineRule="auto"/>
        <w:rPr>
          <w:sz w:val="20"/>
          <w:szCs w:val="20"/>
          <w:color w:val="auto"/>
        </w:rPr>
      </w:pPr>
      <w:r>
        <w:rPr>
          <w:rFonts w:ascii="Times New Roman" w:cs="Times New Roman" w:eastAsia="Times New Roman" w:hAnsi="Times New Roman"/>
          <w:sz w:val="17"/>
          <w:szCs w:val="17"/>
          <w:color w:val="auto"/>
        </w:rPr>
        <w:t>We may also use derivative instruments for risk management purposes, including cash flow hedges used to manage interest rate risk on long-term borrowings and net investment hedges used to manage foreign exchange risk. We had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spacing w:after="0" w:line="204" w:lineRule="exact"/>
        <w:rPr>
          <w:sz w:val="20"/>
          <w:szCs w:val="20"/>
          <w:color w:val="auto"/>
        </w:rPr>
      </w:pPr>
    </w:p>
    <w:p>
      <w:pPr>
        <w:ind w:right="100" w:firstLine="629"/>
        <w:spacing w:after="0" w:line="267" w:lineRule="auto"/>
        <w:rPr>
          <w:sz w:val="20"/>
          <w:szCs w:val="20"/>
          <w:color w:val="auto"/>
        </w:rPr>
      </w:pPr>
      <w:r>
        <w:rPr>
          <w:rFonts w:ascii="Times New Roman" w:cs="Times New Roman" w:eastAsia="Times New Roman" w:hAnsi="Times New Roman"/>
          <w:sz w:val="17"/>
          <w:szCs w:val="17"/>
          <w:i w:val="1"/>
          <w:iCs w:val="1"/>
          <w:color w:val="auto"/>
        </w:rPr>
        <w:t>Futures Contracts</w:t>
      </w:r>
      <w:r>
        <w:rPr>
          <w:rFonts w:ascii="Times New Roman" w:cs="Times New Roman" w:eastAsia="Times New Roman" w:hAnsi="Times New Roman"/>
          <w:sz w:val="17"/>
          <w:szCs w:val="17"/>
          <w:color w:val="auto"/>
        </w:rPr>
        <w:t>. As part of our proprietary market making trading strategies, we use futures contracts to gain exposure to changes in values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96" w:lineRule="exact"/>
        <w:rPr>
          <w:sz w:val="20"/>
          <w:szCs w:val="20"/>
          <w:color w:val="auto"/>
        </w:rPr>
      </w:pPr>
    </w:p>
    <w:p>
      <w:pPr>
        <w:ind w:right="260" w:firstLine="629"/>
        <w:spacing w:after="0" w:line="299" w:lineRule="auto"/>
        <w:rPr>
          <w:sz w:val="20"/>
          <w:szCs w:val="20"/>
          <w:color w:val="auto"/>
        </w:rPr>
      </w:pPr>
      <w:r>
        <w:rPr>
          <w:rFonts w:ascii="Times New Roman" w:cs="Times New Roman" w:eastAsia="Times New Roman" w:hAnsi="Times New Roman"/>
          <w:sz w:val="17"/>
          <w:szCs w:val="17"/>
          <w:i w:val="1"/>
          <w:iCs w:val="1"/>
          <w:color w:val="auto"/>
        </w:rPr>
        <w:t>Due from Broker-Dealers and Clearing Organizations</w:t>
      </w:r>
      <w:r>
        <w:rPr>
          <w:rFonts w:ascii="Times New Roman" w:cs="Times New Roman" w:eastAsia="Times New Roman" w:hAnsi="Times New Roman"/>
          <w:sz w:val="17"/>
          <w:szCs w:val="17"/>
          <w:color w:val="auto"/>
        </w:rPr>
        <w:t>. Management periodically evaluates our counterparty credit exposures to various brokers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clearing organizations with a view to limiting potential losses resulting from counterparty insolvency.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Foreign Currency Risk</w:t>
      </w:r>
    </w:p>
    <w:p>
      <w:pPr>
        <w:spacing w:after="0" w:line="252" w:lineRule="exact"/>
        <w:rPr>
          <w:sz w:val="20"/>
          <w:szCs w:val="20"/>
          <w:color w:val="auto"/>
        </w:rPr>
      </w:pPr>
    </w:p>
    <w:p>
      <w:pPr>
        <w:ind w:right="180" w:firstLine="629"/>
        <w:spacing w:after="0" w:line="267" w:lineRule="auto"/>
        <w:rPr>
          <w:sz w:val="20"/>
          <w:szCs w:val="20"/>
          <w:color w:val="auto"/>
        </w:rPr>
      </w:pPr>
      <w:r>
        <w:rPr>
          <w:rFonts w:ascii="Times New Roman" w:cs="Times New Roman" w:eastAsia="Times New Roman" w:hAnsi="Times New Roman"/>
          <w:sz w:val="17"/>
          <w:szCs w:val="17"/>
          <w:color w:val="auto"/>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196" w:lineRule="exact"/>
        <w:rPr>
          <w:sz w:val="20"/>
          <w:szCs w:val="20"/>
          <w:color w:val="auto"/>
        </w:rPr>
      </w:pPr>
    </w:p>
    <w:p>
      <w:pPr>
        <w:jc w:val="both"/>
        <w:ind w:right="180" w:firstLine="629"/>
        <w:spacing w:after="0" w:line="276" w:lineRule="auto"/>
        <w:rPr>
          <w:sz w:val="20"/>
          <w:szCs w:val="20"/>
          <w:color w:val="auto"/>
        </w:rPr>
      </w:pPr>
      <w:r>
        <w:rPr>
          <w:rFonts w:ascii="Times New Roman" w:cs="Times New Roman" w:eastAsia="Times New Roman" w:hAnsi="Times New Roman"/>
          <w:sz w:val="17"/>
          <w:szCs w:val="17"/>
          <w:color w:val="auto"/>
        </w:rPr>
        <w:t>Approximately 24.4% and 15.4% of our total revenues for the three months ended March 31, 2026 and 2025, respectively, were denominated in non-U.S. dollar currencies. We estimate that a hypothetical 10% adverse change in the value of the U.S. dollar relative to our foreign denominated earnings would have resulted in decreases in total revenues of $26.7 million and $12.9 million for the three months ended March 31, 2026 and 2025, respectively.</w:t>
      </w:r>
    </w:p>
    <w:p>
      <w:pPr>
        <w:spacing w:after="0" w:line="190" w:lineRule="exact"/>
        <w:rPr>
          <w:sz w:val="20"/>
          <w:szCs w:val="20"/>
          <w:color w:val="auto"/>
        </w:rPr>
      </w:pPr>
    </w:p>
    <w:p>
      <w:pPr>
        <w:ind w:firstLine="629"/>
        <w:spacing w:after="0" w:line="267" w:lineRule="auto"/>
        <w:rPr>
          <w:sz w:val="20"/>
          <w:szCs w:val="20"/>
          <w:color w:val="auto"/>
        </w:rPr>
      </w:pPr>
      <w:r>
        <w:rPr>
          <w:rFonts w:ascii="Times New Roman" w:cs="Times New Roman" w:eastAsia="Times New Roman" w:hAnsi="Times New Roman"/>
          <w:sz w:val="17"/>
          <w:szCs w:val="17"/>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Condensed Consolidated Statements of Changes in Equity. Our primary currency translation exposures historically relate to net investments in subsidiaries having functional currencies denominated in the Euro, Pound Sterling, and Canadian dollar.</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color w:val="auto"/>
        </w:rPr>
        <w:t>Financial Instruments with Off Balance Sheet Risk</w:t>
      </w:r>
    </w:p>
    <w:p>
      <w:pPr>
        <w:spacing w:after="0" w:line="252"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We enter into various transactions involving derivatives and other off-balance sheet financial instruments. These financial instruments include futures, forward contracts, swaps,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94" w:lineRule="exact"/>
        <w:rPr>
          <w:sz w:val="20"/>
          <w:szCs w:val="20"/>
          <w:color w:val="auto"/>
        </w:rPr>
      </w:pPr>
    </w:p>
    <w:p>
      <w:pPr>
        <w:ind w:firstLine="629"/>
        <w:spacing w:after="0" w:line="263" w:lineRule="auto"/>
        <w:rPr>
          <w:sz w:val="20"/>
          <w:szCs w:val="20"/>
          <w:color w:val="auto"/>
        </w:rPr>
      </w:pPr>
      <w:r>
        <w:rPr>
          <w:rFonts w:ascii="Times New Roman" w:cs="Times New Roman" w:eastAsia="Times New Roman" w:hAnsi="Times New Roman"/>
          <w:sz w:val="17"/>
          <w:szCs w:val="17"/>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Condensed Consolidated Statements of Financial Condition. Market risk is substantially dependent upon the value of the underlying financial instruments and is affected by market forces, such as volatility and changes in interest and foreign exchange rates.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52" w:lineRule="exact"/>
        <w:rPr>
          <w:sz w:val="20"/>
          <w:szCs w:val="20"/>
          <w:color w:val="auto"/>
        </w:rPr>
      </w:pPr>
    </w:p>
    <w:p>
      <w:pPr>
        <w:ind w:firstLine="629"/>
        <w:spacing w:after="0" w:line="264" w:lineRule="auto"/>
        <w:rPr>
          <w:sz w:val="20"/>
          <w:szCs w:val="20"/>
          <w:color w:val="auto"/>
        </w:rPr>
      </w:pPr>
      <w:r>
        <w:rPr>
          <w:rFonts w:ascii="Times New Roman" w:cs="Times New Roman" w:eastAsia="Times New Roman" w:hAnsi="Times New Roman"/>
          <w:sz w:val="17"/>
          <w:szCs w:val="17"/>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March 31, 2026. Based upon that evaluation, our Chief Executive Officer and Chief Financial Officer concluded that, as of March 31, 2026,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13" w:lineRule="exact"/>
        <w:rPr>
          <w:sz w:val="20"/>
          <w:szCs w:val="20"/>
          <w:color w:val="auto"/>
        </w:rPr>
      </w:pPr>
    </w:p>
    <w:p>
      <w:pPr>
        <w:ind w:right="60" w:firstLine="629"/>
        <w:spacing w:after="0" w:line="263" w:lineRule="auto"/>
        <w:rPr>
          <w:sz w:val="20"/>
          <w:szCs w:val="20"/>
          <w:color w:val="auto"/>
        </w:rPr>
      </w:pPr>
      <w:r>
        <w:rPr>
          <w:rFonts w:ascii="Times New Roman" w:cs="Times New Roman" w:eastAsia="Times New Roman" w:hAnsi="Times New Roman"/>
          <w:sz w:val="17"/>
          <w:szCs w:val="17"/>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203" w:lineRule="exact"/>
        <w:rPr>
          <w:sz w:val="20"/>
          <w:szCs w:val="20"/>
          <w:color w:val="auto"/>
        </w:rPr>
      </w:pPr>
    </w:p>
    <w:p>
      <w:pPr>
        <w:ind w:firstLine="629"/>
        <w:spacing w:after="0" w:line="270" w:lineRule="auto"/>
        <w:rPr>
          <w:sz w:val="20"/>
          <w:szCs w:val="20"/>
          <w:color w:val="auto"/>
        </w:rPr>
      </w:pPr>
      <w:r>
        <w:rPr>
          <w:rFonts w:ascii="Times New Roman" w:cs="Times New Roman" w:eastAsia="Times New Roman" w:hAnsi="Times New Roman"/>
          <w:sz w:val="17"/>
          <w:szCs w:val="17"/>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to Internal Control over Financial Reporting</w:t>
      </w:r>
    </w:p>
    <w:p>
      <w:pPr>
        <w:spacing w:after="0" w:line="252" w:lineRule="exact"/>
        <w:rPr>
          <w:sz w:val="20"/>
          <w:szCs w:val="20"/>
          <w:color w:val="auto"/>
        </w:rPr>
      </w:pPr>
    </w:p>
    <w:p>
      <w:pPr>
        <w:ind w:right="340" w:firstLine="629"/>
        <w:spacing w:after="0" w:line="296"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 13a-15(f) under the Exchange Act) occurred during the three months ended March 31, 2026 that has or is reasonably likely to materially affect, our internal control over financial reporting.</w:t>
      </w: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00"/>
          </w:cols>
          <w:pgMar w:left="320" w:top="866" w:right="37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52" w:lineRule="exact"/>
        <w:rPr>
          <w:sz w:val="20"/>
          <w:szCs w:val="20"/>
          <w:color w:val="auto"/>
        </w:rPr>
      </w:pPr>
    </w:p>
    <w:p>
      <w:pPr>
        <w:ind w:right="120" w:firstLine="629"/>
        <w:spacing w:after="0" w:line="296" w:lineRule="auto"/>
        <w:rPr>
          <w:sz w:val="20"/>
          <w:szCs w:val="20"/>
          <w:color w:val="auto"/>
        </w:rPr>
      </w:pPr>
      <w:r>
        <w:rPr>
          <w:rFonts w:ascii="Times New Roman" w:cs="Times New Roman" w:eastAsia="Times New Roman" w:hAnsi="Times New Roman"/>
          <w:sz w:val="17"/>
          <w:szCs w:val="17"/>
          <w:color w:val="auto"/>
        </w:rPr>
        <w:t>The information required by this item is set forth in the “Legal Proceedings” section in Note 16 “Commitments, Contingencies and Guarantees” to the Company’s Condensed Consolidated Financial Statements included in Part I Item 1 “Financial Statements”, which is incorporated by reference herein.</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There have been no material changes to the Risk Factors described in Part I Item 1A. “Risk Factors” in our 2025 Form 10-K.</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52" w:lineRule="exact"/>
        <w:rPr>
          <w:sz w:val="20"/>
          <w:szCs w:val="20"/>
          <w:color w:val="auto"/>
        </w:rPr>
      </w:pPr>
    </w:p>
    <w:p>
      <w:pPr>
        <w:ind w:right="80" w:firstLine="629"/>
        <w:spacing w:after="0" w:line="270" w:lineRule="auto"/>
        <w:rPr>
          <w:sz w:val="20"/>
          <w:szCs w:val="20"/>
          <w:color w:val="auto"/>
        </w:rPr>
      </w:pPr>
      <w:r>
        <w:rPr>
          <w:rFonts w:ascii="Times New Roman" w:cs="Times New Roman" w:eastAsia="Times New Roman" w:hAnsi="Times New Roman"/>
          <w:sz w:val="17"/>
          <w:szCs w:val="17"/>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Total share repurchases for the three months ended March 31, 2026 were as follows:</w:t>
      </w:r>
    </w:p>
    <w:p>
      <w:pPr>
        <w:sectPr>
          <w:pgSz w:w="11900" w:h="16838" w:orient="portrait"/>
          <w:cols w:equalWidth="0" w:num="1">
            <w:col w:w="11240"/>
          </w:cols>
          <w:pgMar w:left="320" w:top="86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Period</w:t>
      </w:r>
    </w:p>
    <w:p>
      <w:pPr>
        <w:spacing w:after="0" w:line="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January 1, 2026 - January 31, 2026</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Class A Common Stock repurchases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40"/>
        <w:spacing w:after="0"/>
        <w:tabs>
          <w:tab w:leader="none" w:pos="1520" w:val="left"/>
        </w:tabs>
        <w:rPr>
          <w:sz w:val="20"/>
          <w:szCs w:val="20"/>
          <w:color w:val="auto"/>
        </w:rPr>
      </w:pPr>
      <w:r>
        <w:rPr>
          <w:rFonts w:ascii="Times New Roman" w:cs="Times New Roman" w:eastAsia="Times New Roman" w:hAnsi="Times New Roman"/>
          <w:sz w:val="14"/>
          <w:szCs w:val="14"/>
          <w:b w:val="1"/>
          <w:bCs w:val="1"/>
          <w:color w:val="auto"/>
        </w:rPr>
        <w:t>Total Number of</w:t>
      </w:r>
      <w:r>
        <w:rPr>
          <w:sz w:val="20"/>
          <w:szCs w:val="20"/>
          <w:color w:val="auto"/>
        </w:rPr>
        <w:tab/>
      </w:r>
      <w:r>
        <w:rPr>
          <w:rFonts w:ascii="Times New Roman" w:cs="Times New Roman" w:eastAsia="Times New Roman" w:hAnsi="Times New Roman"/>
          <w:sz w:val="13"/>
          <w:szCs w:val="13"/>
          <w:b w:val="1"/>
          <w:bCs w:val="1"/>
          <w:color w:val="auto"/>
        </w:rPr>
        <w:t>Average Price Paid</w:t>
      </w:r>
    </w:p>
    <w:p>
      <w:pPr>
        <w:spacing w:after="0" w:line="1" w:lineRule="exact"/>
        <w:rPr>
          <w:sz w:val="20"/>
          <w:szCs w:val="20"/>
          <w:color w:val="auto"/>
        </w:rPr>
      </w:pPr>
    </w:p>
    <w:p>
      <w:pPr>
        <w:spacing w:after="0"/>
        <w:tabs>
          <w:tab w:leader="none" w:pos="1800" w:val="left"/>
        </w:tabs>
        <w:rPr>
          <w:sz w:val="20"/>
          <w:szCs w:val="20"/>
          <w:color w:val="auto"/>
        </w:rPr>
      </w:pPr>
      <w:r>
        <w:rPr>
          <w:rFonts w:ascii="Times New Roman" w:cs="Times New Roman" w:eastAsia="Times New Roman" w:hAnsi="Times New Roman"/>
          <w:sz w:val="14"/>
          <w:szCs w:val="14"/>
          <w:b w:val="1"/>
          <w:bCs w:val="1"/>
          <w:color w:val="auto"/>
        </w:rPr>
        <w:t>Shares Purchased (1)</w:t>
      </w:r>
      <w:r>
        <w:rPr>
          <w:sz w:val="20"/>
          <w:szCs w:val="20"/>
          <w:color w:val="auto"/>
        </w:rPr>
        <w:tab/>
      </w:r>
      <w:r>
        <w:rPr>
          <w:rFonts w:ascii="Times New Roman" w:cs="Times New Roman" w:eastAsia="Times New Roman" w:hAnsi="Times New Roman"/>
          <w:sz w:val="13"/>
          <w:szCs w:val="13"/>
          <w:b w:val="1"/>
          <w:bCs w:val="1"/>
          <w:color w:val="auto"/>
        </w:rPr>
        <w:t>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10160</wp:posOffset>
            </wp:positionV>
            <wp:extent cx="7111365" cy="1244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1365" cy="124460"/>
                    </a:xfrm>
                    <a:prstGeom prst="rect">
                      <a:avLst/>
                    </a:prstGeom>
                    <a:noFill/>
                  </pic:spPr>
                </pic:pic>
              </a:graphicData>
            </a:graphic>
          </wp:anchor>
        </w:drawing>
      </w:r>
    </w:p>
    <w:p>
      <w:pPr>
        <w:spacing w:after="0" w:line="183" w:lineRule="exact"/>
        <w:rPr>
          <w:sz w:val="20"/>
          <w:szCs w:val="20"/>
          <w:color w:val="auto"/>
        </w:rPr>
      </w:pPr>
    </w:p>
    <w:p>
      <w:pPr>
        <w:jc w:val="both"/>
        <w:ind w:left="800"/>
        <w:spacing w:after="0"/>
        <w:tabs>
          <w:tab w:leader="none" w:pos="1460" w:val="left"/>
          <w:tab w:leader="none" w:pos="2360" w:val="left"/>
        </w:tabs>
        <w:rPr>
          <w:sz w:val="20"/>
          <w:szCs w:val="20"/>
          <w:color w:val="auto"/>
        </w:rPr>
      </w:pPr>
      <w:r>
        <w:rPr>
          <w:rFonts w:ascii="Times New Roman" w:cs="Times New Roman" w:eastAsia="Times New Roman" w:hAnsi="Times New Roman"/>
          <w:sz w:val="14"/>
          <w:szCs w:val="14"/>
          <w:color w:val="auto"/>
        </w:rPr>
        <w:t>236,748</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41.51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28575</wp:posOffset>
            </wp:positionV>
            <wp:extent cx="7111365" cy="16637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11365" cy="1663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8"/>
              </w:rPr>
              <w:t>Total Number of Shares</w:t>
            </w:r>
          </w:p>
        </w:tc>
        <w:tc>
          <w:tcPr>
            <w:tcW w:w="1440" w:type="dxa"/>
            <w:vAlign w:val="bottom"/>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2"/>
        </w:trPr>
        <w:tc>
          <w:tcPr>
            <w:tcW w:w="1520" w:type="dxa"/>
            <w:vAlign w:val="bottom"/>
            <w:vMerge w:val="continue"/>
          </w:tcPr>
          <w:p>
            <w:pPr>
              <w:spacing w:after="0"/>
              <w:rPr>
                <w:sz w:val="12"/>
                <w:szCs w:val="12"/>
                <w:color w:val="auto"/>
              </w:rPr>
            </w:pPr>
          </w:p>
        </w:tc>
        <w:tc>
          <w:tcPr>
            <w:tcW w:w="1440" w:type="dxa"/>
            <w:vAlign w:val="bottom"/>
          </w:tcPr>
          <w:p>
            <w:pPr>
              <w:jc w:val="center"/>
              <w:ind w:left="30"/>
              <w:spacing w:after="0" w:line="143" w:lineRule="exact"/>
              <w:rPr>
                <w:sz w:val="20"/>
                <w:szCs w:val="20"/>
                <w:color w:val="auto"/>
              </w:rPr>
            </w:pPr>
            <w:r>
              <w:rPr>
                <w:rFonts w:ascii="Times New Roman" w:cs="Times New Roman" w:eastAsia="Times New Roman" w:hAnsi="Times New Roman"/>
                <w:sz w:val="14"/>
                <w:szCs w:val="14"/>
                <w:b w:val="1"/>
                <w:bCs w:val="1"/>
                <w:color w:val="auto"/>
                <w:w w:val="96"/>
              </w:rPr>
              <w:t>Value of Shares that</w:t>
            </w:r>
          </w:p>
        </w:tc>
        <w:tc>
          <w:tcPr>
            <w:tcW w:w="0" w:type="dxa"/>
            <w:vAlign w:val="bottom"/>
          </w:tcPr>
          <w:p>
            <w:pPr>
              <w:spacing w:after="0"/>
              <w:rPr>
                <w:sz w:val="1"/>
                <w:szCs w:val="1"/>
                <w:color w:val="auto"/>
              </w:rPr>
            </w:pPr>
          </w:p>
        </w:tc>
      </w:tr>
      <w:tr>
        <w:trPr>
          <w:trHeight w:val="131"/>
        </w:trPr>
        <w:tc>
          <w:tcPr>
            <w:tcW w:w="1520" w:type="dxa"/>
            <w:vAlign w:val="bottom"/>
          </w:tcPr>
          <w:p>
            <w:pPr>
              <w:jc w:val="center"/>
              <w:ind w:right="10"/>
              <w:spacing w:after="0" w:line="131" w:lineRule="exact"/>
              <w:rPr>
                <w:sz w:val="20"/>
                <w:szCs w:val="20"/>
                <w:color w:val="auto"/>
              </w:rPr>
            </w:pPr>
            <w:r>
              <w:rPr>
                <w:rFonts w:ascii="Times New Roman" w:cs="Times New Roman" w:eastAsia="Times New Roman" w:hAnsi="Times New Roman"/>
                <w:sz w:val="14"/>
                <w:szCs w:val="14"/>
                <w:b w:val="1"/>
                <w:bCs w:val="1"/>
                <w:color w:val="auto"/>
                <w:w w:val="99"/>
              </w:rPr>
              <w:t>Purchased as Part of</w:t>
            </w:r>
          </w:p>
        </w:tc>
        <w:tc>
          <w:tcPr>
            <w:tcW w:w="1440" w:type="dxa"/>
            <w:vAlign w:val="bottom"/>
          </w:tcPr>
          <w:p>
            <w:pPr>
              <w:jc w:val="center"/>
              <w:ind w:left="30"/>
              <w:spacing w:after="0" w:line="131" w:lineRule="exact"/>
              <w:rPr>
                <w:sz w:val="20"/>
                <w:szCs w:val="20"/>
                <w:color w:val="auto"/>
              </w:rPr>
            </w:pPr>
            <w:r>
              <w:rPr>
                <w:rFonts w:ascii="Times New Roman" w:cs="Times New Roman" w:eastAsia="Times New Roman" w:hAnsi="Times New Roman"/>
                <w:sz w:val="14"/>
                <w:szCs w:val="14"/>
                <w:b w:val="1"/>
                <w:bCs w:val="1"/>
                <w:color w:val="auto"/>
                <w:w w:val="97"/>
              </w:rPr>
              <w:t>May Yet Be Purchased</w:t>
            </w:r>
          </w:p>
        </w:tc>
        <w:tc>
          <w:tcPr>
            <w:tcW w:w="0" w:type="dxa"/>
            <w:vAlign w:val="bottom"/>
          </w:tcPr>
          <w:p>
            <w:pPr>
              <w:spacing w:after="0"/>
              <w:rPr>
                <w:sz w:val="1"/>
                <w:szCs w:val="1"/>
                <w:color w:val="auto"/>
              </w:rPr>
            </w:pPr>
          </w:p>
        </w:tc>
      </w:tr>
      <w:tr>
        <w:trPr>
          <w:trHeight w:val="144"/>
        </w:trPr>
        <w:tc>
          <w:tcPr>
            <w:tcW w:w="1520" w:type="dxa"/>
            <w:vAlign w:val="bottom"/>
          </w:tcPr>
          <w:p>
            <w:pPr>
              <w:jc w:val="center"/>
              <w:ind w:right="10"/>
              <w:spacing w:after="0" w:line="144" w:lineRule="exact"/>
              <w:rPr>
                <w:sz w:val="20"/>
                <w:szCs w:val="20"/>
                <w:color w:val="auto"/>
              </w:rPr>
            </w:pPr>
            <w:r>
              <w:rPr>
                <w:rFonts w:ascii="Times New Roman" w:cs="Times New Roman" w:eastAsia="Times New Roman" w:hAnsi="Times New Roman"/>
                <w:sz w:val="14"/>
                <w:szCs w:val="14"/>
                <w:b w:val="1"/>
                <w:bCs w:val="1"/>
                <w:color w:val="auto"/>
                <w:w w:val="99"/>
              </w:rPr>
              <w:t>Publicly Announced</w:t>
            </w:r>
          </w:p>
        </w:tc>
        <w:tc>
          <w:tcPr>
            <w:tcW w:w="1440" w:type="dxa"/>
            <w:vAlign w:val="bottom"/>
          </w:tcPr>
          <w:p>
            <w:pPr>
              <w:jc w:val="center"/>
              <w:ind w:left="30"/>
              <w:spacing w:after="0" w:line="144"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86"/>
        </w:trPr>
        <w:tc>
          <w:tcPr>
            <w:tcW w:w="1520" w:type="dxa"/>
            <w:vAlign w:val="bottom"/>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9"/>
              </w:rPr>
              <w:t>Plans or Programs</w:t>
            </w:r>
          </w:p>
        </w:tc>
        <w:tc>
          <w:tcPr>
            <w:tcW w:w="1440" w:type="dxa"/>
            <w:vAlign w:val="bottom"/>
          </w:tcPr>
          <w:p>
            <w:pPr>
              <w:jc w:val="center"/>
              <w:ind w:left="30"/>
              <w:spacing w:after="0"/>
              <w:rPr>
                <w:sz w:val="20"/>
                <w:szCs w:val="20"/>
                <w:color w:val="auto"/>
              </w:rPr>
            </w:pPr>
            <w:r>
              <w:rPr>
                <w:rFonts w:ascii="Times New Roman" w:cs="Times New Roman" w:eastAsia="Times New Roman" w:hAnsi="Times New Roman"/>
                <w:sz w:val="14"/>
                <w:szCs w:val="14"/>
                <w:b w:val="1"/>
                <w:bCs w:val="1"/>
                <w:color w:val="auto"/>
                <w:w w:val="98"/>
              </w:rPr>
              <w:t>Programs</w:t>
            </w:r>
          </w:p>
        </w:tc>
        <w:tc>
          <w:tcPr>
            <w:tcW w:w="0" w:type="dxa"/>
            <w:vAlign w:val="bottom"/>
          </w:tcPr>
          <w:p>
            <w:pPr>
              <w:spacing w:after="0"/>
              <w:rPr>
                <w:sz w:val="1"/>
                <w:szCs w:val="1"/>
                <w:color w:val="auto"/>
              </w:rPr>
            </w:pPr>
          </w:p>
        </w:tc>
      </w:tr>
      <w:tr>
        <w:trPr>
          <w:trHeight w:val="380"/>
        </w:trPr>
        <w:tc>
          <w:tcPr>
            <w:tcW w:w="1520" w:type="dxa"/>
            <w:vAlign w:val="bottom"/>
          </w:tcPr>
          <w:p>
            <w:pPr>
              <w:jc w:val="center"/>
              <w:ind w:right="30"/>
              <w:spacing w:after="0"/>
              <w:rPr>
                <w:sz w:val="20"/>
                <w:szCs w:val="20"/>
                <w:color w:val="auto"/>
              </w:rPr>
            </w:pPr>
            <w:r>
              <w:rPr>
                <w:rFonts w:ascii="Times New Roman" w:cs="Times New Roman" w:eastAsia="Times New Roman" w:hAnsi="Times New Roman"/>
                <w:sz w:val="14"/>
                <w:szCs w:val="14"/>
                <w:color w:val="auto"/>
                <w:w w:val="99"/>
              </w:rPr>
              <w:t>—</w:t>
            </w:r>
          </w:p>
        </w:tc>
        <w:tc>
          <w:tcPr>
            <w:tcW w:w="1440" w:type="dxa"/>
            <w:vAlign w:val="bottom"/>
          </w:tcPr>
          <w:p>
            <w:pPr>
              <w:jc w:val="center"/>
              <w:ind w:left="30"/>
              <w:spacing w:after="0"/>
              <w:rPr>
                <w:sz w:val="20"/>
                <w:szCs w:val="20"/>
                <w:color w:val="auto"/>
              </w:rPr>
            </w:pPr>
            <w:r>
              <w:rPr>
                <w:rFonts w:ascii="Times New Roman" w:cs="Times New Roman" w:eastAsia="Times New Roman" w:hAnsi="Times New Roman"/>
                <w:sz w:val="14"/>
                <w:szCs w:val="14"/>
                <w:color w:val="auto"/>
              </w:rPr>
              <w:t>$302,812,949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3">
            <w:col w:w="4600" w:space="720"/>
            <w:col w:w="2700" w:space="180"/>
            <w:col w:w="3040"/>
          </w:cols>
          <w:pgMar w:left="320" w:top="866" w:right="339" w:bottom="1440" w:gutter="0" w:footer="0" w:header="0"/>
          <w:type w:val="continuous"/>
        </w:sectPr>
      </w:pPr>
    </w:p>
    <w:p>
      <w:pPr>
        <w:spacing w:after="0" w:line="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February 1, 2026 - February 28, 2026</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Class A Common Stock repurchases</w:t>
      </w: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March 1, 2026 - March 31, 2026</w:t>
      </w:r>
    </w:p>
    <w:p>
      <w:pPr>
        <w:spacing w:after="0" w:line="3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3"/>
          <w:szCs w:val="13"/>
          <w:color w:val="auto"/>
        </w:rPr>
        <w:t>Class A Common Stock repurchases</w:t>
      </w:r>
    </w:p>
    <w:p>
      <w:pPr>
        <w:spacing w:after="0" w:line="8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Total Common Stock repurchases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942,797</w:t>
            </w:r>
          </w:p>
        </w:tc>
        <w:tc>
          <w:tcPr>
            <w:tcW w:w="140" w:type="dxa"/>
            <w:vAlign w:val="bottom"/>
          </w:tcPr>
          <w:p>
            <w:pPr>
              <w:spacing w:after="0"/>
              <w:rPr>
                <w:sz w:val="15"/>
                <w:szCs w:val="15"/>
                <w:color w:val="auto"/>
              </w:rPr>
            </w:pPr>
          </w:p>
        </w:tc>
        <w:tc>
          <w:tcPr>
            <w:tcW w:w="50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38.51</w:t>
            </w:r>
          </w:p>
        </w:tc>
        <w:tc>
          <w:tcPr>
            <w:tcW w:w="120" w:type="dxa"/>
            <w:vAlign w:val="bottom"/>
          </w:tcPr>
          <w:p>
            <w:pPr>
              <w:spacing w:after="0"/>
              <w:rPr>
                <w:sz w:val="15"/>
                <w:szCs w:val="15"/>
                <w:color w:val="auto"/>
              </w:rPr>
            </w:pPr>
          </w:p>
        </w:tc>
        <w:tc>
          <w:tcPr>
            <w:tcW w:w="15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302,812,949</w:t>
            </w:r>
          </w:p>
        </w:tc>
      </w:tr>
      <w:tr>
        <w:trPr>
          <w:trHeight w:val="655"/>
        </w:trPr>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233,200</w:t>
            </w:r>
          </w:p>
        </w:tc>
        <w:tc>
          <w:tcPr>
            <w:tcW w:w="140" w:type="dxa"/>
            <w:vAlign w:val="bottom"/>
          </w:tcPr>
          <w:p>
            <w:pPr>
              <w:spacing w:after="0"/>
              <w:rPr>
                <w:sz w:val="24"/>
                <w:szCs w:val="24"/>
                <w:color w:val="auto"/>
              </w:rPr>
            </w:pPr>
          </w:p>
        </w:tc>
        <w:tc>
          <w:tcPr>
            <w:tcW w:w="500" w:type="dxa"/>
            <w:vAlign w:val="bottom"/>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41.43</w:t>
            </w:r>
          </w:p>
        </w:tc>
        <w:tc>
          <w:tcPr>
            <w:tcW w:w="120" w:type="dxa"/>
            <w:vAlign w:val="bottom"/>
          </w:tcPr>
          <w:p>
            <w:pPr>
              <w:spacing w:after="0"/>
              <w:rPr>
                <w:sz w:val="24"/>
                <w:szCs w:val="24"/>
                <w:color w:val="auto"/>
              </w:rPr>
            </w:pPr>
          </w:p>
        </w:tc>
        <w:tc>
          <w:tcPr>
            <w:tcW w:w="15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302,812,949</w:t>
            </w:r>
          </w:p>
        </w:tc>
      </w:tr>
      <w:tr>
        <w:trPr>
          <w:trHeight w:val="23"/>
        </w:trPr>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3"/>
        </w:trPr>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1,412,745</w:t>
            </w:r>
          </w:p>
        </w:tc>
        <w:tc>
          <w:tcPr>
            <w:tcW w:w="140" w:type="dxa"/>
            <w:vAlign w:val="bottom"/>
          </w:tcPr>
          <w:p>
            <w:pPr>
              <w:spacing w:after="0"/>
              <w:rPr>
                <w:sz w:val="15"/>
                <w:szCs w:val="15"/>
                <w:color w:val="auto"/>
              </w:rPr>
            </w:pPr>
          </w:p>
        </w:tc>
        <w:tc>
          <w:tcPr>
            <w:tcW w:w="5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39.49</w:t>
            </w:r>
          </w:p>
        </w:tc>
        <w:tc>
          <w:tcPr>
            <w:tcW w:w="120" w:type="dxa"/>
            <w:vAlign w:val="bottom"/>
          </w:tcPr>
          <w:p>
            <w:pPr>
              <w:spacing w:after="0"/>
              <w:rPr>
                <w:sz w:val="15"/>
                <w:szCs w:val="15"/>
                <w:color w:val="auto"/>
              </w:rPr>
            </w:pPr>
          </w:p>
        </w:tc>
        <w:tc>
          <w:tcPr>
            <w:tcW w:w="14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$302,812,949</w:t>
            </w:r>
          </w:p>
        </w:tc>
      </w:tr>
      <w:tr>
        <w:trPr>
          <w:trHeight w:val="26"/>
        </w:trPr>
        <w:tc>
          <w:tcPr>
            <w:tcW w:w="13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-706120</wp:posOffset>
            </wp:positionV>
            <wp:extent cx="7111365" cy="1244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11365" cy="12446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-415290</wp:posOffset>
            </wp:positionV>
            <wp:extent cx="7111365" cy="1244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11365" cy="124460"/>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-165735</wp:posOffset>
            </wp:positionV>
            <wp:extent cx="7111365" cy="1498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11365" cy="149860"/>
                    </a:xfrm>
                    <a:prstGeom prst="rect">
                      <a:avLst/>
                    </a:prstGeom>
                    <a:noFill/>
                  </pic:spPr>
                </pic:pic>
              </a:graphicData>
            </a:graphic>
          </wp:anchor>
        </w:drawing>
      </w:r>
    </w:p>
    <w:p>
      <w:pPr>
        <w:spacing w:after="0" w:line="43" w:lineRule="exact"/>
        <w:rPr>
          <w:sz w:val="20"/>
          <w:szCs w:val="20"/>
          <w:color w:val="auto"/>
        </w:rPr>
      </w:pPr>
    </w:p>
    <w:p>
      <w:pPr>
        <w:sectPr>
          <w:pgSz w:w="11900" w:h="16838" w:orient="portrait"/>
          <w:cols w:equalWidth="0" w:num="2">
            <w:col w:w="4560" w:space="720"/>
            <w:col w:w="5960"/>
          </w:cols>
          <w:pgMar w:left="320" w:top="866" w:right="339" w:bottom="1440" w:gutter="0" w:footer="0" w:header="0"/>
          <w:type w:val="continuous"/>
        </w:sectPr>
      </w:pPr>
    </w:p>
    <w:p>
      <w:pPr>
        <w:ind w:firstLine="5"/>
        <w:spacing w:after="0" w:line="266" w:lineRule="auto"/>
        <w:tabs>
          <w:tab w:leader="none" w:pos="198"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repurchase of 1,412,745 shares from employees in order to satisfy statutory tax withholding requirements upon the net settlement of equity awards for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type w:val="continuous"/>
        </w:sectPr>
      </w:pPr>
    </w:p>
    <w:bookmarkStart w:id="77" w:name="page78"/>
    <w:bookmarkEnd w:id="77"/>
    <w:p>
      <w:pPr>
        <w:ind w:left="640"/>
        <w:spacing w:after="0"/>
        <w:rPr>
          <w:sz w:val="20"/>
          <w:szCs w:val="20"/>
          <w:color w:val="auto"/>
        </w:rPr>
      </w:pPr>
      <w:r>
        <w:rPr>
          <w:rFonts w:ascii="Times New Roman" w:cs="Times New Roman" w:eastAsia="Times New Roman" w:hAnsi="Times New Roman"/>
          <w:sz w:val="17"/>
          <w:szCs w:val="17"/>
          <w:color w:val="auto"/>
        </w:rPr>
        <w:t>On November 6, 2020, the Company announced that the Board of Directors had authorized a share repurchase program of up to $100.0 million in Class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common stock and Virtu Financial Units by December 31, 2021. On February 11, 2021, the Company announced that the Board of Directors had authorized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expansion of the program by an additional $70 million in Class A Common Stock and Virtu Financial Units. On May 4, 2021, the Company announced that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Board of Directors had authorized the expansion of the Company's share repurchase program, increasing the total authorized amount by $300 million to</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$470 million in Class A Common Stock and Virtu Financial Units and extending the duration of the program through May 4, 2022. On November 3, 2021,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announced that the Board of Directors had authorized the expansion of the program by an additional $750 million to $1,220 million and extending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duration of the program through November 3, 2023, which was subsequently extended through December 31, 2024. On April 24, 2024, the Company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announced that the Board of Directors had authorized the expansion of the program by an additional $500 million to $1,720 million and extended the duration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through April 24, 2026. The share repurchase program authorized the Company to repurchase shares from time to time in open market transactions, privately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negotiated transactions or by other means. Repurchases were also permitted to be made under Rule 10b5-1 plans. The timing and amount of repurchase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transactions were determined by the Company’s management based on its evaluation of market conditions, share price, cash sources, legal requirements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factors. From the inception of the program through March 31, 2026, the Company repurchased approximately 53.8 million shares of Class A Common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and Virtu Financial Units for approximately $1,417.2 million. As of March 31, 2026, the Company had approximately $302.8 million remaining capacity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future purchases of shares of Class A Common Stock and Virtu Financial Units under the program.</w:t>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None.</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52" w:lineRule="exact"/>
        <w:rPr>
          <w:sz w:val="20"/>
          <w:szCs w:val="20"/>
          <w:color w:val="auto"/>
        </w:rPr>
      </w:pPr>
    </w:p>
    <w:p>
      <w:pPr>
        <w:ind w:right="20" w:firstLine="629"/>
        <w:spacing w:after="0" w:line="276" w:lineRule="auto"/>
        <w:rPr>
          <w:sz w:val="20"/>
          <w:szCs w:val="20"/>
          <w:color w:val="auto"/>
        </w:rPr>
      </w:pPr>
      <w:r>
        <w:rPr>
          <w:rFonts w:ascii="Times New Roman" w:cs="Times New Roman" w:eastAsia="Times New Roman" w:hAnsi="Times New Roman"/>
          <w:sz w:val="17"/>
          <w:szCs w:val="17"/>
          <w:color w:val="auto"/>
        </w:rPr>
        <w:t>During the three months ended March 31, 2026, no director or “officer” (as defined in Rule 16a-1(f) under the Exchange Act) of the Company adopted, modified or terminated a "Rule 10b5-1 trading arrangement" or a “non-Rule 10b5-1 trading arrangement,” as each term is defined in Item 408(a) of Regulation S-K under the Exchange Act.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880" w:type="dxa"/>
            <w:vAlign w:val="bottom"/>
            <w:gridSpan w:val="9"/>
          </w:tcPr>
          <w:p>
            <w:pPr>
              <w:ind w:left="2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23"/>
        </w:trPr>
        <w:tc>
          <w:tcPr>
            <w:tcW w:w="1440" w:type="dxa"/>
            <w:vAlign w:val="bottom"/>
            <w:tcBorders>
              <w:bottom w:val="single" w:sz="8" w:color="auto"/>
            </w:tcBorders>
          </w:tcPr>
          <w:p>
            <w:pPr>
              <w:spacing w:after="0"/>
              <w:rPr>
                <w:sz w:val="2"/>
                <w:szCs w:val="2"/>
                <w:color w:val="auto"/>
              </w:rPr>
            </w:pPr>
          </w:p>
        </w:tc>
        <w:tc>
          <w:tcPr>
            <w:tcW w:w="540" w:type="dxa"/>
            <w:vAlign w:val="bottom"/>
            <w:tcBorders>
              <w:bottom w:val="single" w:sz="8" w:color="FEFEFE"/>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1440" w:type="dxa"/>
            <w:vAlign w:val="bottom"/>
            <w:shd w:val="clear" w:color="auto" w:fill="FEFEFE"/>
          </w:tcPr>
          <w:p>
            <w:pPr>
              <w:ind w:left="20"/>
              <w:spacing w:after="0" w:line="176" w:lineRule="exact"/>
              <w:rPr>
                <w:sz w:val="20"/>
                <w:szCs w:val="20"/>
                <w:color w:val="auto"/>
              </w:rPr>
            </w:pPr>
            <w:r>
              <w:rPr>
                <w:rFonts w:ascii="Times New Roman" w:cs="Times New Roman" w:eastAsia="Times New Roman" w:hAnsi="Times New Roman"/>
                <w:sz w:val="17"/>
                <w:szCs w:val="17"/>
                <w:color w:val="auto"/>
              </w:rPr>
              <w:t>3.1</w:t>
            </w:r>
          </w:p>
        </w:tc>
        <w:tc>
          <w:tcPr>
            <w:tcW w:w="540" w:type="dxa"/>
            <w:vAlign w:val="bottom"/>
            <w:tcBorders>
              <w:right w:val="single" w:sz="8" w:color="FEFEFE"/>
            </w:tcBorders>
            <w:shd w:val="clear" w:color="auto" w:fill="FEFEFE"/>
          </w:tcPr>
          <w:p>
            <w:pPr>
              <w:spacing w:after="0"/>
              <w:rPr>
                <w:sz w:val="15"/>
                <w:szCs w:val="15"/>
                <w:color w:val="auto"/>
              </w:rPr>
            </w:pPr>
          </w:p>
        </w:tc>
        <w:tc>
          <w:tcPr>
            <w:tcW w:w="9240" w:type="dxa"/>
            <w:vAlign w:val="bottom"/>
            <w:gridSpan w:val="10"/>
            <w:shd w:val="clear" w:color="auto" w:fill="FEFEFE"/>
          </w:tcPr>
          <w:p>
            <w:pPr>
              <w:spacing w:after="0" w:line="176"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Second Amended and Restated Certificate of Incorporation of the Registrant (incorporated herein by reference to Exhibit 3.1 to the</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9160" w:type="dxa"/>
            <w:vAlign w:val="bottom"/>
            <w:tcBorders>
              <w:top w:val="single" w:sz="8" w:color="0000FF"/>
            </w:tcBorders>
            <w:gridSpan w:val="9"/>
            <w:shd w:val="clear" w:color="auto" w:fill="FEFEFE"/>
          </w:tcPr>
          <w:p>
            <w:pPr>
              <w:spacing w:after="0" w:line="150"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Company’s Quarterly Report on Form 10-Q (File No. 001-37352), filed on July 28, 2023).</w:t>
              </w:r>
            </w:hyperlink>
          </w:p>
        </w:tc>
        <w:tc>
          <w:tcPr>
            <w:tcW w:w="80" w:type="dxa"/>
            <w:vAlign w:val="bottom"/>
            <w:tcBorders>
              <w:top w:val="single" w:sz="8" w:color="FEFEFE"/>
            </w:tcBorders>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3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38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3.2</w:t>
            </w:r>
          </w:p>
        </w:tc>
        <w:tc>
          <w:tcPr>
            <w:tcW w:w="540" w:type="dxa"/>
            <w:vAlign w:val="bottom"/>
            <w:tcBorders>
              <w:right w:val="single" w:sz="8" w:color="FEFEFE"/>
            </w:tcBorders>
            <w:shd w:val="clear" w:color="auto" w:fill="FEFEFE"/>
          </w:tcPr>
          <w:p>
            <w:pPr>
              <w:spacing w:after="0"/>
              <w:rPr>
                <w:sz w:val="18"/>
                <w:szCs w:val="18"/>
                <w:color w:val="auto"/>
              </w:rPr>
            </w:pPr>
          </w:p>
        </w:tc>
        <w:tc>
          <w:tcPr>
            <w:tcW w:w="9240" w:type="dxa"/>
            <w:vAlign w:val="bottom"/>
            <w:gridSpan w:val="10"/>
            <w:shd w:val="clear" w:color="auto" w:fill="FEFEFE"/>
          </w:tcPr>
          <w:p>
            <w:pPr>
              <w:spacing w:after="0"/>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Amended and Restated By-laws of the Registrant (incorporated herein by reference to Exhibit 3.2 to the Company’s Quarterly</w:t>
              </w:r>
            </w:hyperlink>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8820" w:type="dxa"/>
            <w:vAlign w:val="bottom"/>
            <w:tcBorders>
              <w:top w:val="single" w:sz="8" w:color="0000FF"/>
            </w:tcBorders>
            <w:gridSpan w:val="6"/>
            <w:shd w:val="clear" w:color="auto" w:fill="FEFEFE"/>
          </w:tcPr>
          <w:p>
            <w:pPr>
              <w:spacing w:after="0" w:line="150"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Report on Form 10-Q, as amended (File No. 001-37352), filed on May 29, 2015).</w:t>
              </w:r>
            </w:hyperlink>
          </w:p>
        </w:tc>
        <w:tc>
          <w:tcPr>
            <w:tcW w:w="140" w:type="dxa"/>
            <w:vAlign w:val="bottom"/>
            <w:tcBorders>
              <w:top w:val="single" w:sz="8" w:color="FEFEFE"/>
            </w:tcBorders>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20" w:type="dxa"/>
            <w:vAlign w:val="bottom"/>
            <w:tcBorders>
              <w:top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340" w:type="dxa"/>
            <w:vAlign w:val="bottom"/>
            <w:tcBorders>
              <w:right w:val="single" w:sz="8" w:color="0000FF"/>
            </w:tcBorders>
            <w:shd w:val="clear" w:color="auto" w:fill="0000FF"/>
          </w:tcPr>
          <w:p>
            <w:pPr>
              <w:spacing w:after="0" w:line="20" w:lineRule="exact"/>
              <w:rPr>
                <w:sz w:val="1"/>
                <w:szCs w:val="1"/>
                <w:color w:val="auto"/>
              </w:rPr>
            </w:pPr>
          </w:p>
        </w:tc>
        <w:tc>
          <w:tcPr>
            <w:tcW w:w="620" w:type="dxa"/>
            <w:vAlign w:val="bottom"/>
            <w:shd w:val="clear" w:color="auto" w:fill="FEFEFE"/>
          </w:tcPr>
          <w:p>
            <w:pPr>
              <w:spacing w:after="0" w:line="20" w:lineRule="exact"/>
              <w:rPr>
                <w:sz w:val="1"/>
                <w:szCs w:val="1"/>
                <w:color w:val="auto"/>
              </w:rPr>
            </w:pPr>
          </w:p>
        </w:tc>
        <w:tc>
          <w:tcPr>
            <w:tcW w:w="238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140" w:type="dxa"/>
            <w:vAlign w:val="bottom"/>
            <w:shd w:val="clear" w:color="auto" w:fill="FEFEFE"/>
          </w:tcPr>
          <w:p>
            <w:pPr>
              <w:spacing w:after="0" w:line="20" w:lineRule="exact"/>
              <w:rPr>
                <w:sz w:val="1"/>
                <w:szCs w:val="1"/>
                <w:color w:val="auto"/>
              </w:rPr>
            </w:pPr>
          </w:p>
        </w:tc>
        <w:tc>
          <w:tcPr>
            <w:tcW w:w="8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540" w:type="dxa"/>
            <w:vAlign w:val="bottom"/>
            <w:tcBorders>
              <w:right w:val="single" w:sz="8" w:color="FEFEFE"/>
            </w:tcBorders>
            <w:shd w:val="clear" w:color="auto" w:fill="FEFEFE"/>
          </w:tcPr>
          <w:p>
            <w:pPr>
              <w:spacing w:after="0"/>
              <w:rPr>
                <w:sz w:val="18"/>
                <w:szCs w:val="18"/>
                <w:color w:val="auto"/>
              </w:rPr>
            </w:pPr>
          </w:p>
        </w:tc>
        <w:tc>
          <w:tcPr>
            <w:tcW w:w="9240" w:type="dxa"/>
            <w:vAlign w:val="bottom"/>
            <w:gridSpan w:val="10"/>
            <w:shd w:val="clear" w:color="auto" w:fill="FEFEFE"/>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required by Rule 13a-14(a)/15d-14(a) under the Securities Exchange Act of 1934, as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8740" w:type="dxa"/>
            <w:vAlign w:val="bottom"/>
            <w:tcBorders>
              <w:top w:val="single" w:sz="8" w:color="0000FF"/>
            </w:tcBorders>
            <w:gridSpan w:val="5"/>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amended, as adopted pursuant to Section 302 of the Sarbanes-Oxley Act of 2002.</w:t>
            </w:r>
          </w:p>
        </w:tc>
        <w:tc>
          <w:tcPr>
            <w:tcW w:w="220" w:type="dxa"/>
            <w:vAlign w:val="bottom"/>
            <w:tcBorders>
              <w:top w:val="single" w:sz="8" w:color="FEFEFE"/>
            </w:tcBorders>
            <w:gridSpan w:val="2"/>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20" w:type="dxa"/>
            <w:vAlign w:val="bottom"/>
            <w:tcBorders>
              <w:top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340" w:type="dxa"/>
            <w:vAlign w:val="bottom"/>
            <w:tcBorders>
              <w:right w:val="single" w:sz="8" w:color="FEFEFE"/>
            </w:tcBorders>
            <w:shd w:val="clear" w:color="auto" w:fill="0000FF"/>
          </w:tcPr>
          <w:p>
            <w:pPr>
              <w:spacing w:after="0" w:line="20" w:lineRule="exact"/>
              <w:rPr>
                <w:sz w:val="1"/>
                <w:szCs w:val="1"/>
                <w:color w:val="auto"/>
              </w:rPr>
            </w:pPr>
          </w:p>
        </w:tc>
        <w:tc>
          <w:tcPr>
            <w:tcW w:w="3000" w:type="dxa"/>
            <w:vAlign w:val="bottom"/>
            <w:gridSpan w:val="2"/>
            <w:shd w:val="clear" w:color="auto" w:fill="FEFEFE"/>
          </w:tcPr>
          <w:p>
            <w:pPr>
              <w:spacing w:after="0" w:line="20" w:lineRule="exact"/>
              <w:rPr>
                <w:sz w:val="1"/>
                <w:szCs w:val="1"/>
                <w:color w:val="auto"/>
              </w:rPr>
            </w:pPr>
          </w:p>
        </w:tc>
        <w:tc>
          <w:tcPr>
            <w:tcW w:w="260" w:type="dxa"/>
            <w:vAlign w:val="bottom"/>
            <w:gridSpan w:val="3"/>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20" w:type="dxa"/>
            <w:vAlign w:val="bottom"/>
            <w:gridSpan w:val="2"/>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540" w:type="dxa"/>
            <w:vAlign w:val="bottom"/>
            <w:tcBorders>
              <w:right w:val="single" w:sz="8" w:color="FEFEFE"/>
            </w:tcBorders>
            <w:shd w:val="clear" w:color="auto" w:fill="FEFEFE"/>
          </w:tcPr>
          <w:p>
            <w:pPr>
              <w:spacing w:after="0"/>
              <w:rPr>
                <w:sz w:val="18"/>
                <w:szCs w:val="18"/>
                <w:color w:val="auto"/>
              </w:rPr>
            </w:pPr>
          </w:p>
        </w:tc>
        <w:tc>
          <w:tcPr>
            <w:tcW w:w="9240" w:type="dxa"/>
            <w:vAlign w:val="bottom"/>
            <w:gridSpan w:val="10"/>
            <w:shd w:val="clear" w:color="auto" w:fill="FEFEFE"/>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required by Rule 13a-14(a)/15d-14(a) under the Securities Exchange Act of 1934, as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tcBorders>
            <w:shd w:val="clear" w:color="auto" w:fill="FEFEFE"/>
          </w:tcPr>
          <w:p>
            <w:pPr>
              <w:spacing w:after="0"/>
              <w:rPr>
                <w:sz w:val="13"/>
                <w:szCs w:val="13"/>
                <w:color w:val="auto"/>
              </w:rPr>
            </w:pPr>
          </w:p>
        </w:tc>
        <w:tc>
          <w:tcPr>
            <w:tcW w:w="540" w:type="dxa"/>
            <w:vAlign w:val="bottom"/>
            <w:tcBorders>
              <w:top w:val="single" w:sz="8" w:color="FEFEFE"/>
              <w:right w:val="single" w:sz="8" w:color="FEFEFE"/>
            </w:tcBorders>
            <w:shd w:val="clear" w:color="auto" w:fill="FEFEFE"/>
          </w:tcPr>
          <w:p>
            <w:pPr>
              <w:spacing w:after="0"/>
              <w:rPr>
                <w:sz w:val="13"/>
                <w:szCs w:val="13"/>
                <w:color w:val="auto"/>
              </w:rPr>
            </w:pPr>
          </w:p>
        </w:tc>
        <w:tc>
          <w:tcPr>
            <w:tcW w:w="8700" w:type="dxa"/>
            <w:vAlign w:val="bottom"/>
            <w:tcBorders>
              <w:top w:val="single" w:sz="8" w:color="0000FF"/>
            </w:tcBorders>
            <w:gridSpan w:val="4"/>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amended, as adopted pursuant to Section 302 of the Sarbanes-Oxley Act of 2002.</w:t>
            </w:r>
          </w:p>
        </w:tc>
        <w:tc>
          <w:tcPr>
            <w:tcW w:w="260" w:type="dxa"/>
            <w:vAlign w:val="bottom"/>
            <w:tcBorders>
              <w:top w:val="single" w:sz="8" w:color="FEFEFE"/>
            </w:tcBorders>
            <w:gridSpan w:val="3"/>
            <w:shd w:val="clear" w:color="auto" w:fill="FEFEFE"/>
          </w:tcPr>
          <w:p>
            <w:pPr>
              <w:spacing w:after="0"/>
              <w:rPr>
                <w:sz w:val="13"/>
                <w:szCs w:val="13"/>
                <w:color w:val="auto"/>
              </w:rPr>
            </w:pPr>
          </w:p>
        </w:tc>
        <w:tc>
          <w:tcPr>
            <w:tcW w:w="60" w:type="dxa"/>
            <w:vAlign w:val="bottom"/>
            <w:tcBorders>
              <w:top w:val="single" w:sz="8" w:color="FEFEFE"/>
            </w:tcBorders>
            <w:shd w:val="clear" w:color="auto" w:fill="FEFEFE"/>
          </w:tcPr>
          <w:p>
            <w:pPr>
              <w:spacing w:after="0"/>
              <w:rPr>
                <w:sz w:val="13"/>
                <w:szCs w:val="13"/>
                <w:color w:val="auto"/>
              </w:rPr>
            </w:pPr>
          </w:p>
        </w:tc>
        <w:tc>
          <w:tcPr>
            <w:tcW w:w="220" w:type="dxa"/>
            <w:vAlign w:val="bottom"/>
            <w:tcBorders>
              <w:top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340" w:type="dxa"/>
            <w:vAlign w:val="bottom"/>
            <w:tcBorders>
              <w:right w:val="single" w:sz="8" w:color="FEFEFE"/>
            </w:tcBorders>
            <w:shd w:val="clear" w:color="auto" w:fill="0000FF"/>
          </w:tcPr>
          <w:p>
            <w:pPr>
              <w:spacing w:after="0" w:line="20" w:lineRule="exact"/>
              <w:rPr>
                <w:sz w:val="1"/>
                <w:szCs w:val="1"/>
                <w:color w:val="auto"/>
              </w:rPr>
            </w:pPr>
          </w:p>
        </w:tc>
        <w:tc>
          <w:tcPr>
            <w:tcW w:w="3260" w:type="dxa"/>
            <w:vAlign w:val="bottom"/>
            <w:gridSpan w:val="5"/>
            <w:shd w:val="clear" w:color="auto" w:fill="FEFEFE"/>
          </w:tcPr>
          <w:p>
            <w:pPr>
              <w:spacing w:after="0" w:line="20" w:lineRule="exact"/>
              <w:rPr>
                <w:sz w:val="1"/>
                <w:szCs w:val="1"/>
                <w:color w:val="auto"/>
              </w:rPr>
            </w:pPr>
          </w:p>
        </w:tc>
        <w:tc>
          <w:tcPr>
            <w:tcW w:w="60" w:type="dxa"/>
            <w:vAlign w:val="bottom"/>
            <w:shd w:val="clear" w:color="auto" w:fill="FEFEFE"/>
          </w:tcPr>
          <w:p>
            <w:pPr>
              <w:spacing w:after="0" w:line="20" w:lineRule="exact"/>
              <w:rPr>
                <w:sz w:val="1"/>
                <w:szCs w:val="1"/>
                <w:color w:val="auto"/>
              </w:rPr>
            </w:pPr>
          </w:p>
        </w:tc>
        <w:tc>
          <w:tcPr>
            <w:tcW w:w="220" w:type="dxa"/>
            <w:vAlign w:val="bottom"/>
            <w:gridSpan w:val="2"/>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32.1*</w:t>
            </w:r>
          </w:p>
        </w:tc>
        <w:tc>
          <w:tcPr>
            <w:tcW w:w="540" w:type="dxa"/>
            <w:vAlign w:val="bottom"/>
            <w:tcBorders>
              <w:right w:val="single" w:sz="8" w:color="FEFEFE"/>
            </w:tcBorders>
            <w:shd w:val="clear" w:color="auto" w:fill="FEFEFE"/>
          </w:tcPr>
          <w:p>
            <w:pPr>
              <w:spacing w:after="0"/>
              <w:rPr>
                <w:sz w:val="18"/>
                <w:szCs w:val="18"/>
                <w:color w:val="auto"/>
              </w:rPr>
            </w:pPr>
          </w:p>
        </w:tc>
        <w:tc>
          <w:tcPr>
            <w:tcW w:w="9240" w:type="dxa"/>
            <w:vAlign w:val="bottom"/>
            <w:gridSpan w:val="10"/>
            <w:shd w:val="clear" w:color="auto" w:fill="FEFEFE"/>
          </w:tcPr>
          <w:p>
            <w:pPr>
              <w:spacing w:after="0"/>
              <w:rPr>
                <w:sz w:val="20"/>
                <w:szCs w:val="20"/>
                <w:color w:val="auto"/>
              </w:rPr>
            </w:pPr>
            <w:r>
              <w:rPr>
                <w:rFonts w:ascii="Times New Roman" w:cs="Times New Roman" w:eastAsia="Times New Roman" w:hAnsi="Times New Roman"/>
                <w:sz w:val="17"/>
                <w:szCs w:val="17"/>
                <w:color w:val="0000FF"/>
              </w:rPr>
              <w:t>Certification of Chief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bottom w:val="single" w:sz="8" w:color="FEFEFE"/>
            </w:tcBorders>
            <w:shd w:val="clear" w:color="auto" w:fill="FEFEFE"/>
          </w:tcPr>
          <w:p>
            <w:pPr>
              <w:spacing w:after="0"/>
              <w:rPr>
                <w:sz w:val="13"/>
                <w:szCs w:val="13"/>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1360" w:type="dxa"/>
            <w:vAlign w:val="bottom"/>
            <w:tcBorders>
              <w:top w:val="single" w:sz="8" w:color="0000FF"/>
              <w:bottom w:val="single" w:sz="8" w:color="0000FF"/>
            </w:tcBorders>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Oxley Act of 2002.</w:t>
            </w:r>
          </w:p>
        </w:tc>
        <w:tc>
          <w:tcPr>
            <w:tcW w:w="7660" w:type="dxa"/>
            <w:vAlign w:val="bottom"/>
            <w:tcBorders>
              <w:top w:val="single" w:sz="8" w:color="0000FF"/>
              <w:bottom w:val="single" w:sz="8" w:color="FEFEFE"/>
            </w:tcBorders>
            <w:gridSpan w:val="7"/>
            <w:shd w:val="clear" w:color="auto" w:fill="FEFEFE"/>
          </w:tcPr>
          <w:p>
            <w:pPr>
              <w:spacing w:after="0"/>
              <w:rPr>
                <w:sz w:val="13"/>
                <w:szCs w:val="13"/>
                <w:color w:val="auto"/>
              </w:rPr>
            </w:pPr>
          </w:p>
        </w:tc>
        <w:tc>
          <w:tcPr>
            <w:tcW w:w="220" w:type="dxa"/>
            <w:vAlign w:val="bottom"/>
            <w:tcBorders>
              <w:top w:val="single" w:sz="8" w:color="FEFEFE"/>
              <w:bottom w:val="single" w:sz="8" w:color="FEFEFE"/>
            </w:tcBorders>
            <w:gridSpan w:val="2"/>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32.2*</w:t>
            </w:r>
          </w:p>
        </w:tc>
        <w:tc>
          <w:tcPr>
            <w:tcW w:w="540" w:type="dxa"/>
            <w:vAlign w:val="bottom"/>
            <w:tcBorders>
              <w:right w:val="single" w:sz="8" w:color="FEFEFE"/>
            </w:tcBorders>
            <w:shd w:val="clear" w:color="auto" w:fill="FEFEFE"/>
          </w:tcPr>
          <w:p>
            <w:pPr>
              <w:spacing w:after="0"/>
              <w:rPr>
                <w:sz w:val="18"/>
                <w:szCs w:val="18"/>
                <w:color w:val="auto"/>
              </w:rPr>
            </w:pPr>
          </w:p>
        </w:tc>
        <w:tc>
          <w:tcPr>
            <w:tcW w:w="9240" w:type="dxa"/>
            <w:vAlign w:val="bottom"/>
            <w:gridSpan w:val="10"/>
            <w:shd w:val="clear" w:color="auto" w:fill="FEFEFE"/>
          </w:tcPr>
          <w:p>
            <w:pPr>
              <w:spacing w:after="0"/>
              <w:rPr>
                <w:sz w:val="20"/>
                <w:szCs w:val="20"/>
                <w:color w:val="auto"/>
              </w:rPr>
            </w:pPr>
            <w:r>
              <w:rPr>
                <w:rFonts w:ascii="Times New Roman" w:cs="Times New Roman" w:eastAsia="Times New Roman" w:hAnsi="Times New Roman"/>
                <w:sz w:val="17"/>
                <w:szCs w:val="17"/>
                <w:color w:val="0000FF"/>
              </w:rPr>
              <w:t>Certification of Chief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50"/>
        </w:trPr>
        <w:tc>
          <w:tcPr>
            <w:tcW w:w="1440" w:type="dxa"/>
            <w:vAlign w:val="bottom"/>
            <w:tcBorders>
              <w:top w:val="single" w:sz="8" w:color="FEFEFE"/>
              <w:bottom w:val="single" w:sz="8" w:color="FEFEFE"/>
            </w:tcBorders>
            <w:shd w:val="clear" w:color="auto" w:fill="FEFEFE"/>
          </w:tcPr>
          <w:p>
            <w:pPr>
              <w:spacing w:after="0"/>
              <w:rPr>
                <w:sz w:val="13"/>
                <w:szCs w:val="13"/>
                <w:color w:val="auto"/>
              </w:rPr>
            </w:pPr>
          </w:p>
        </w:tc>
        <w:tc>
          <w:tcPr>
            <w:tcW w:w="540" w:type="dxa"/>
            <w:vAlign w:val="bottom"/>
            <w:tcBorders>
              <w:top w:val="single" w:sz="8" w:color="FEFEFE"/>
              <w:bottom w:val="single" w:sz="8" w:color="FEFEFE"/>
              <w:right w:val="single" w:sz="8" w:color="FEFEFE"/>
            </w:tcBorders>
            <w:shd w:val="clear" w:color="auto" w:fill="FEFEFE"/>
          </w:tcPr>
          <w:p>
            <w:pPr>
              <w:spacing w:after="0"/>
              <w:rPr>
                <w:sz w:val="13"/>
                <w:szCs w:val="13"/>
                <w:color w:val="auto"/>
              </w:rPr>
            </w:pPr>
          </w:p>
        </w:tc>
        <w:tc>
          <w:tcPr>
            <w:tcW w:w="1360" w:type="dxa"/>
            <w:vAlign w:val="bottom"/>
            <w:tcBorders>
              <w:top w:val="single" w:sz="8" w:color="0000FF"/>
              <w:bottom w:val="single" w:sz="8" w:color="0000FF"/>
            </w:tcBorders>
            <w:shd w:val="clear" w:color="auto" w:fill="FEFEFE"/>
          </w:tcPr>
          <w:p>
            <w:pPr>
              <w:spacing w:after="0" w:line="150" w:lineRule="exact"/>
              <w:rPr>
                <w:sz w:val="20"/>
                <w:szCs w:val="20"/>
                <w:color w:val="auto"/>
              </w:rPr>
            </w:pPr>
            <w:r>
              <w:rPr>
                <w:rFonts w:ascii="Times New Roman" w:cs="Times New Roman" w:eastAsia="Times New Roman" w:hAnsi="Times New Roman"/>
                <w:sz w:val="17"/>
                <w:szCs w:val="17"/>
                <w:color w:val="0000FF"/>
              </w:rPr>
              <w:t>Oxley Act of 2002.</w:t>
            </w:r>
          </w:p>
        </w:tc>
        <w:tc>
          <w:tcPr>
            <w:tcW w:w="7600" w:type="dxa"/>
            <w:vAlign w:val="bottom"/>
            <w:tcBorders>
              <w:top w:val="single" w:sz="8" w:color="0000FF"/>
              <w:bottom w:val="single" w:sz="8" w:color="FEFEFE"/>
            </w:tcBorders>
            <w:gridSpan w:val="6"/>
            <w:shd w:val="clear" w:color="auto" w:fill="FEFEFE"/>
          </w:tcPr>
          <w:p>
            <w:pPr>
              <w:spacing w:after="0"/>
              <w:rPr>
                <w:sz w:val="13"/>
                <w:szCs w:val="13"/>
                <w:color w:val="auto"/>
              </w:rPr>
            </w:pPr>
          </w:p>
        </w:tc>
        <w:tc>
          <w:tcPr>
            <w:tcW w:w="280" w:type="dxa"/>
            <w:vAlign w:val="bottom"/>
            <w:tcBorders>
              <w:top w:val="single" w:sz="8" w:color="FEFEFE"/>
              <w:bottom w:val="single" w:sz="8" w:color="FEFEFE"/>
            </w:tcBorders>
            <w:gridSpan w:val="3"/>
            <w:shd w:val="clear" w:color="auto" w:fill="FEFEFE"/>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101.INS*</w:t>
            </w:r>
          </w:p>
        </w:tc>
        <w:tc>
          <w:tcPr>
            <w:tcW w:w="540" w:type="dxa"/>
            <w:vAlign w:val="bottom"/>
            <w:tcBorders>
              <w:right w:val="single" w:sz="8" w:color="FEFEFE"/>
            </w:tcBorders>
            <w:shd w:val="clear" w:color="auto" w:fill="FEFEFE"/>
          </w:tcPr>
          <w:p>
            <w:pPr>
              <w:spacing w:after="0"/>
              <w:rPr>
                <w:sz w:val="22"/>
                <w:szCs w:val="22"/>
                <w:color w:val="auto"/>
              </w:rPr>
            </w:pPr>
          </w:p>
        </w:tc>
        <w:tc>
          <w:tcPr>
            <w:tcW w:w="9240" w:type="dxa"/>
            <w:vAlign w:val="bottom"/>
            <w:gridSpan w:val="10"/>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Instance Document</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10"/>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Schema</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10"/>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Calculation Linkbase</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10"/>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Label Linkbase</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10"/>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Presentation Linkbase</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10"/>
            <w:shd w:val="clear" w:color="auto" w:fill="FEFEFE"/>
          </w:tcPr>
          <w:p>
            <w:pPr>
              <w:spacing w:after="0"/>
              <w:rPr>
                <w:sz w:val="20"/>
                <w:szCs w:val="20"/>
                <w:color w:val="auto"/>
              </w:rPr>
            </w:pPr>
            <w:r>
              <w:rPr>
                <w:rFonts w:ascii="Times New Roman" w:cs="Times New Roman" w:eastAsia="Times New Roman" w:hAnsi="Times New Roman"/>
                <w:sz w:val="17"/>
                <w:szCs w:val="17"/>
                <w:color w:val="auto"/>
              </w:rPr>
              <w:t>XBRL Taxonomy Extension Definition Document</w:t>
            </w:r>
          </w:p>
        </w:tc>
        <w:tc>
          <w:tcPr>
            <w:tcW w:w="0" w:type="dxa"/>
            <w:vAlign w:val="bottom"/>
          </w:tcPr>
          <w:p>
            <w:pPr>
              <w:spacing w:after="0"/>
              <w:rPr>
                <w:sz w:val="1"/>
                <w:szCs w:val="1"/>
                <w:color w:val="auto"/>
              </w:rPr>
            </w:pPr>
          </w:p>
        </w:tc>
      </w:tr>
      <w:tr>
        <w:trPr>
          <w:trHeight w:val="249"/>
        </w:trPr>
        <w:tc>
          <w:tcPr>
            <w:tcW w:w="14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540" w:type="dxa"/>
            <w:vAlign w:val="bottom"/>
            <w:tcBorders>
              <w:right w:val="single" w:sz="8" w:color="FEFEFE"/>
            </w:tcBorders>
            <w:shd w:val="clear" w:color="auto" w:fill="FEFEFE"/>
          </w:tcPr>
          <w:p>
            <w:pPr>
              <w:spacing w:after="0"/>
              <w:rPr>
                <w:sz w:val="21"/>
                <w:szCs w:val="21"/>
                <w:color w:val="auto"/>
              </w:rPr>
            </w:pPr>
          </w:p>
        </w:tc>
        <w:tc>
          <w:tcPr>
            <w:tcW w:w="9240" w:type="dxa"/>
            <w:vAlign w:val="bottom"/>
            <w:gridSpan w:val="10"/>
            <w:vMerge w:val="restart"/>
            <w:shd w:val="clear" w:color="auto" w:fill="FEFEFE"/>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92"/>
        </w:trPr>
        <w:tc>
          <w:tcPr>
            <w:tcW w:w="1440" w:type="dxa"/>
            <w:vAlign w:val="bottom"/>
            <w:shd w:val="clear" w:color="auto" w:fill="FEFEFE"/>
          </w:tcPr>
          <w:p>
            <w:pPr>
              <w:spacing w:after="0"/>
              <w:rPr>
                <w:sz w:val="7"/>
                <w:szCs w:val="7"/>
                <w:color w:val="auto"/>
              </w:rPr>
            </w:pPr>
          </w:p>
        </w:tc>
        <w:tc>
          <w:tcPr>
            <w:tcW w:w="540" w:type="dxa"/>
            <w:vAlign w:val="bottom"/>
            <w:tcBorders>
              <w:right w:val="single" w:sz="8" w:color="FEFEFE"/>
            </w:tcBorders>
            <w:shd w:val="clear" w:color="auto" w:fill="FEFEFE"/>
          </w:tcPr>
          <w:p>
            <w:pPr>
              <w:spacing w:after="0"/>
              <w:rPr>
                <w:sz w:val="7"/>
                <w:szCs w:val="7"/>
                <w:color w:val="auto"/>
              </w:rPr>
            </w:pPr>
          </w:p>
        </w:tc>
        <w:tc>
          <w:tcPr>
            <w:tcW w:w="9240" w:type="dxa"/>
            <w:vAlign w:val="bottom"/>
            <w:gridSpan w:val="10"/>
            <w:vMerge w:val="continue"/>
            <w:shd w:val="clear" w:color="auto" w:fill="FEFEF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440" w:type="dxa"/>
            <w:vAlign w:val="bottom"/>
            <w:shd w:val="clear" w:color="auto" w:fill="FEFEFE"/>
          </w:tcPr>
          <w:p>
            <w:pPr>
              <w:spacing w:after="0"/>
              <w:rPr>
                <w:sz w:val="8"/>
                <w:szCs w:val="8"/>
                <w:color w:val="auto"/>
              </w:rPr>
            </w:pPr>
          </w:p>
        </w:tc>
        <w:tc>
          <w:tcPr>
            <w:tcW w:w="540" w:type="dxa"/>
            <w:vAlign w:val="bottom"/>
            <w:tcBorders>
              <w:right w:val="single" w:sz="8" w:color="FEFEFE"/>
            </w:tcBorders>
            <w:shd w:val="clear" w:color="auto" w:fill="FEFEFE"/>
          </w:tcPr>
          <w:p>
            <w:pPr>
              <w:spacing w:after="0"/>
              <w:rPr>
                <w:sz w:val="8"/>
                <w:szCs w:val="8"/>
                <w:color w:val="auto"/>
              </w:rPr>
            </w:pPr>
          </w:p>
        </w:tc>
        <w:tc>
          <w:tcPr>
            <w:tcW w:w="1360" w:type="dxa"/>
            <w:vAlign w:val="bottom"/>
            <w:shd w:val="clear" w:color="auto" w:fill="FEFEFE"/>
          </w:tcPr>
          <w:p>
            <w:pPr>
              <w:spacing w:after="0"/>
              <w:rPr>
                <w:sz w:val="8"/>
                <w:szCs w:val="8"/>
                <w:color w:val="auto"/>
              </w:rPr>
            </w:pPr>
          </w:p>
        </w:tc>
        <w:tc>
          <w:tcPr>
            <w:tcW w:w="4340" w:type="dxa"/>
            <w:vAlign w:val="bottom"/>
            <w:tcBorders>
              <w:right w:val="single" w:sz="8" w:color="FEFEFE"/>
            </w:tcBorders>
            <w:shd w:val="clear" w:color="auto" w:fill="FEFEFE"/>
          </w:tcPr>
          <w:p>
            <w:pPr>
              <w:spacing w:after="0"/>
              <w:rPr>
                <w:sz w:val="8"/>
                <w:szCs w:val="8"/>
                <w:color w:val="auto"/>
              </w:rPr>
            </w:pPr>
          </w:p>
        </w:tc>
        <w:tc>
          <w:tcPr>
            <w:tcW w:w="620" w:type="dxa"/>
            <w:vAlign w:val="bottom"/>
            <w:shd w:val="clear" w:color="auto" w:fill="FEFEFE"/>
          </w:tcPr>
          <w:p>
            <w:pPr>
              <w:spacing w:after="0"/>
              <w:rPr>
                <w:sz w:val="8"/>
                <w:szCs w:val="8"/>
                <w:color w:val="auto"/>
              </w:rPr>
            </w:pPr>
          </w:p>
        </w:tc>
        <w:tc>
          <w:tcPr>
            <w:tcW w:w="2380" w:type="dxa"/>
            <w:vAlign w:val="bottom"/>
            <w:shd w:val="clear" w:color="auto" w:fill="FEFEFE"/>
          </w:tcPr>
          <w:p>
            <w:pPr>
              <w:spacing w:after="0"/>
              <w:rPr>
                <w:sz w:val="8"/>
                <w:szCs w:val="8"/>
                <w:color w:val="auto"/>
              </w:rPr>
            </w:pPr>
          </w:p>
        </w:tc>
        <w:tc>
          <w:tcPr>
            <w:tcW w:w="40" w:type="dxa"/>
            <w:vAlign w:val="bottom"/>
            <w:shd w:val="clear" w:color="auto" w:fill="FEFEFE"/>
          </w:tcPr>
          <w:p>
            <w:pPr>
              <w:spacing w:after="0"/>
              <w:rPr>
                <w:sz w:val="8"/>
                <w:szCs w:val="8"/>
                <w:color w:val="auto"/>
              </w:rPr>
            </w:pPr>
          </w:p>
        </w:tc>
        <w:tc>
          <w:tcPr>
            <w:tcW w:w="80" w:type="dxa"/>
            <w:vAlign w:val="bottom"/>
            <w:shd w:val="clear" w:color="auto" w:fill="FEFEFE"/>
          </w:tcPr>
          <w:p>
            <w:pPr>
              <w:spacing w:after="0"/>
              <w:rPr>
                <w:sz w:val="8"/>
                <w:szCs w:val="8"/>
                <w:color w:val="auto"/>
              </w:rPr>
            </w:pPr>
          </w:p>
        </w:tc>
        <w:tc>
          <w:tcPr>
            <w:tcW w:w="140" w:type="dxa"/>
            <w:vAlign w:val="bottom"/>
            <w:shd w:val="clear" w:color="auto" w:fill="FEFEFE"/>
          </w:tcPr>
          <w:p>
            <w:pPr>
              <w:spacing w:after="0"/>
              <w:rPr>
                <w:sz w:val="8"/>
                <w:szCs w:val="8"/>
                <w:color w:val="auto"/>
              </w:rPr>
            </w:pPr>
          </w:p>
        </w:tc>
        <w:tc>
          <w:tcPr>
            <w:tcW w:w="60" w:type="dxa"/>
            <w:vAlign w:val="bottom"/>
            <w:shd w:val="clear" w:color="auto" w:fill="FEFEFE"/>
          </w:tcPr>
          <w:p>
            <w:pPr>
              <w:spacing w:after="0"/>
              <w:rPr>
                <w:sz w:val="8"/>
                <w:szCs w:val="8"/>
                <w:color w:val="auto"/>
              </w:rPr>
            </w:pPr>
          </w:p>
        </w:tc>
        <w:tc>
          <w:tcPr>
            <w:tcW w:w="140" w:type="dxa"/>
            <w:vAlign w:val="bottom"/>
            <w:shd w:val="clear" w:color="auto" w:fill="FEFEFE"/>
          </w:tcPr>
          <w:p>
            <w:pPr>
              <w:spacing w:after="0"/>
              <w:rPr>
                <w:sz w:val="8"/>
                <w:szCs w:val="8"/>
                <w:color w:val="auto"/>
              </w:rPr>
            </w:pPr>
          </w:p>
        </w:tc>
        <w:tc>
          <w:tcPr>
            <w:tcW w:w="80" w:type="dxa"/>
            <w:vAlign w:val="bottom"/>
            <w:shd w:val="clear" w:color="auto" w:fill="FEFEFE"/>
          </w:tcPr>
          <w:p>
            <w:pPr>
              <w:spacing w:after="0"/>
              <w:rPr>
                <w:sz w:val="8"/>
                <w:szCs w:val="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Filed herewith.</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Management contract or compensatory plan or arrangement.</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15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970" w:right="359" w:bottom="1440" w:gutter="0" w:footer="0" w:header="0"/>
        </w:sectPr>
      </w:pPr>
    </w:p>
    <w:bookmarkStart w:id="79" w:name="page80"/>
    <w:bookmarkEnd w:id="79"/>
    <w:p>
      <w:pPr>
        <w:ind w:left="506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0" w:lineRule="exact"/>
        <w:rPr>
          <w:sz w:val="20"/>
          <w:szCs w:val="20"/>
          <w:color w:val="auto"/>
        </w:rPr>
      </w:pPr>
    </w:p>
    <w:p>
      <w:pPr>
        <w:spacing w:after="0" w:line="288" w:lineRule="exact"/>
        <w:rPr>
          <w:sz w:val="20"/>
          <w:szCs w:val="20"/>
          <w:color w:val="auto"/>
        </w:rPr>
      </w:pPr>
    </w:p>
    <w:p>
      <w:pPr>
        <w:ind w:firstLine="629"/>
        <w:spacing w:after="0" w:line="28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228"/>
        </w:trPr>
        <w:tc>
          <w:tcPr>
            <w:tcW w:w="1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24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auto"/>
              </w:rPr>
              <w:t>Virtu Financial, Inc.</w:t>
            </w:r>
          </w:p>
        </w:tc>
      </w:tr>
      <w:tr>
        <w:trPr>
          <w:trHeight w:val="747"/>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2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May 1, 2026</w:t>
            </w:r>
          </w:p>
        </w:tc>
        <w:tc>
          <w:tcPr>
            <w:tcW w:w="13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Aaron Simons</w:t>
            </w:r>
          </w:p>
        </w:tc>
      </w:tr>
      <w:tr>
        <w:trPr>
          <w:trHeight w:val="211"/>
        </w:trPr>
        <w:tc>
          <w:tcPr>
            <w:tcW w:w="1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Aaron Simons</w:t>
            </w:r>
          </w:p>
        </w:tc>
      </w:tr>
      <w:tr>
        <w:trPr>
          <w:trHeight w:val="228"/>
        </w:trPr>
        <w:tc>
          <w:tcPr>
            <w:tcW w:w="1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Chief Executive Officer</w:t>
            </w:r>
          </w:p>
        </w:tc>
      </w:tr>
      <w:tr>
        <w:trPr>
          <w:trHeight w:val="747"/>
        </w:trPr>
        <w:tc>
          <w:tcPr>
            <w:tcW w:w="1180" w:type="dxa"/>
            <w:vAlign w:val="bottom"/>
          </w:tcPr>
          <w:p>
            <w:pPr>
              <w:spacing w:after="0"/>
              <w:rPr>
                <w:sz w:val="20"/>
                <w:szCs w:val="20"/>
                <w:color w:val="auto"/>
              </w:rPr>
            </w:pPr>
            <w:r>
              <w:rPr>
                <w:rFonts w:ascii="Times New Roman" w:cs="Times New Roman" w:eastAsia="Times New Roman" w:hAnsi="Times New Roman"/>
                <w:sz w:val="17"/>
                <w:szCs w:val="17"/>
                <w:color w:val="auto"/>
              </w:rPr>
              <w:t>DATE:</w:t>
            </w:r>
          </w:p>
        </w:tc>
        <w:tc>
          <w:tcPr>
            <w:tcW w:w="226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May 1, 2026</w:t>
            </w:r>
          </w:p>
        </w:tc>
        <w:tc>
          <w:tcPr>
            <w:tcW w:w="130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Cindy Lee</w:t>
            </w:r>
          </w:p>
        </w:tc>
      </w:tr>
      <w:tr>
        <w:trPr>
          <w:trHeight w:val="211"/>
        </w:trPr>
        <w:tc>
          <w:tcPr>
            <w:tcW w:w="11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Cindy Lee</w:t>
            </w:r>
          </w:p>
        </w:tc>
      </w:tr>
      <w:tr>
        <w:trPr>
          <w:trHeight w:val="228"/>
        </w:trPr>
        <w:tc>
          <w:tcPr>
            <w:tcW w:w="11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838"/>
        </w:trPr>
        <w:tc>
          <w:tcPr>
            <w:tcW w:w="1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7"/>
                <w:szCs w:val="17"/>
                <w:color w:val="auto"/>
              </w:rPr>
              <w:t>79</w:t>
            </w:r>
          </w:p>
        </w:tc>
      </w:tr>
    </w:tbl>
    <w:p>
      <w:pPr>
        <w:sectPr>
          <w:pgSz w:w="11900" w:h="16838" w:orient="portrait"/>
          <w:cols w:equalWidth="0" w:num="1">
            <w:col w:w="10660"/>
          </w:cols>
          <w:pgMar w:left="320" w:top="866" w:right="91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CEO 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302 OF THE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SARBANES — 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Aaron Simons, certify that:</w:t>
      </w:r>
    </w:p>
    <w:p>
      <w:pPr>
        <w:spacing w:after="0" w:line="250" w:lineRule="exact"/>
        <w:rPr>
          <w:sz w:val="20"/>
          <w:szCs w:val="20"/>
          <w:color w:val="auto"/>
        </w:rPr>
      </w:pPr>
    </w:p>
    <w:p>
      <w:pPr>
        <w:ind w:left="640" w:right="220" w:hanging="321"/>
        <w:spacing w:after="0" w:line="296" w:lineRule="auto"/>
        <w:tabs>
          <w:tab w:leader="none" w:pos="6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period ending March 31, 2026 of Virtu Financial, Inc. (the “registrant”) as filed with the Securities and Exchange Commission on the date hereof;</w:t>
      </w:r>
    </w:p>
    <w:p>
      <w:pPr>
        <w:spacing w:after="0" w:line="172" w:lineRule="exact"/>
        <w:rPr>
          <w:rFonts w:ascii="Times New Roman" w:cs="Times New Roman" w:eastAsia="Times New Roman" w:hAnsi="Times New Roman"/>
          <w:sz w:val="17"/>
          <w:szCs w:val="17"/>
          <w:color w:val="auto"/>
        </w:rPr>
      </w:pPr>
    </w:p>
    <w:p>
      <w:pPr>
        <w:jc w:val="both"/>
        <w:ind w:left="640" w:right="460" w:hanging="321"/>
        <w:spacing w:after="0" w:line="276" w:lineRule="auto"/>
        <w:tabs>
          <w:tab w:leader="none" w:pos="6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7"/>
          <w:szCs w:val="17"/>
          <w:color w:val="auto"/>
        </w:rPr>
      </w:pPr>
    </w:p>
    <w:p>
      <w:pPr>
        <w:ind w:left="640" w:right="420" w:hanging="321"/>
        <w:spacing w:after="0" w:line="296" w:lineRule="auto"/>
        <w:tabs>
          <w:tab w:leader="none" w:pos="6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left="640" w:right="40" w:hanging="321"/>
        <w:spacing w:after="0" w:line="276" w:lineRule="auto"/>
        <w:tabs>
          <w:tab w:leader="none" w:pos="6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0"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7"/>
          <w:szCs w:val="17"/>
          <w:color w:val="auto"/>
        </w:rPr>
      </w:pPr>
    </w:p>
    <w:p>
      <w:pPr>
        <w:ind w:left="1100" w:right="540" w:hanging="466"/>
        <w:spacing w:after="0" w:line="276" w:lineRule="auto"/>
        <w:tabs>
          <w:tab w:leader="none" w:pos="1094"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7"/>
          <w:szCs w:val="17"/>
          <w:color w:val="auto"/>
        </w:rPr>
      </w:pPr>
    </w:p>
    <w:p>
      <w:pPr>
        <w:jc w:val="both"/>
        <w:ind w:left="1100" w:right="700" w:hanging="466"/>
        <w:spacing w:after="0" w:line="296" w:lineRule="auto"/>
        <w:tabs>
          <w:tab w:leader="none" w:pos="109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4"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7"/>
          <w:szCs w:val="17"/>
          <w:color w:val="auto"/>
        </w:rPr>
      </w:pPr>
    </w:p>
    <w:p>
      <w:pPr>
        <w:ind w:left="640" w:right="340" w:hanging="321"/>
        <w:spacing w:after="0" w:line="296" w:lineRule="auto"/>
        <w:tabs>
          <w:tab w:leader="none" w:pos="6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100" w:right="140" w:hanging="466"/>
        <w:spacing w:after="0" w:line="296" w:lineRule="auto"/>
        <w:tabs>
          <w:tab w:leader="none" w:pos="109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1100" w:right="100" w:hanging="466"/>
        <w:spacing w:after="0" w:line="281" w:lineRule="auto"/>
        <w:tabs>
          <w:tab w:leader="none" w:pos="1094"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460" w:type="dxa"/>
            <w:vAlign w:val="bottom"/>
          </w:tcPr>
          <w:p>
            <w:pPr>
              <w:spacing w:after="0"/>
              <w:rPr>
                <w:sz w:val="20"/>
                <w:szCs w:val="20"/>
                <w:color w:val="auto"/>
              </w:rPr>
            </w:pPr>
            <w:r>
              <w:rPr>
                <w:rFonts w:ascii="Times New Roman" w:cs="Times New Roman" w:eastAsia="Times New Roman" w:hAnsi="Times New Roman"/>
                <w:sz w:val="17"/>
                <w:szCs w:val="17"/>
                <w:color w:val="auto"/>
              </w:rPr>
              <w:t>Date: May 1, 2026</w:t>
            </w:r>
          </w:p>
        </w:tc>
        <w:tc>
          <w:tcPr>
            <w:tcW w:w="2740" w:type="dxa"/>
            <w:vAlign w:val="bottom"/>
          </w:tcPr>
          <w:p>
            <w:pPr>
              <w:ind w:left="2140"/>
              <w:spacing w:after="0"/>
              <w:rPr>
                <w:sz w:val="20"/>
                <w:szCs w:val="20"/>
                <w:color w:val="auto"/>
              </w:rPr>
            </w:pPr>
            <w:r>
              <w:rPr>
                <w:rFonts w:ascii="Times New Roman" w:cs="Times New Roman" w:eastAsia="Times New Roman" w:hAnsi="Times New Roman"/>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Aaron Simons</w:t>
            </w:r>
          </w:p>
        </w:tc>
      </w:tr>
      <w:tr>
        <w:trPr>
          <w:trHeight w:val="211"/>
        </w:trPr>
        <w:tc>
          <w:tcPr>
            <w:tcW w:w="3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Aaron Simons</w:t>
            </w:r>
          </w:p>
        </w:tc>
      </w:tr>
      <w:tr>
        <w:trPr>
          <w:trHeight w:val="228"/>
        </w:trPr>
        <w:tc>
          <w:tcPr>
            <w:tcW w:w="34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r>
    </w:tbl>
    <w:p>
      <w:pPr>
        <w:sectPr>
          <w:pgSz w:w="11900" w:h="16838" w:orient="portrait"/>
          <w:cols w:equalWidth="0" w:num="1">
            <w:col w:w="11240"/>
          </w:cols>
          <w:pgMar w:left="320" w:top="865"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CFO CERTIFICATION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302 OF THE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SARBANES — 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Cindy Lee, certify that:</w:t>
      </w:r>
    </w:p>
    <w:p>
      <w:pPr>
        <w:spacing w:after="0" w:line="224" w:lineRule="exact"/>
        <w:rPr>
          <w:sz w:val="20"/>
          <w:szCs w:val="20"/>
          <w:color w:val="auto"/>
        </w:rPr>
      </w:pPr>
    </w:p>
    <w:p>
      <w:pPr>
        <w:ind w:left="640" w:right="220" w:hanging="321"/>
        <w:spacing w:after="0" w:line="296" w:lineRule="auto"/>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for the period ending March 31, 2026 of Virtu Financial, Inc. (the “registrant”) as filed with the Securities and Exchange Commission on the date hereof;</w:t>
      </w:r>
    </w:p>
    <w:p>
      <w:pPr>
        <w:spacing w:after="0" w:line="172" w:lineRule="exact"/>
        <w:rPr>
          <w:rFonts w:ascii="Times New Roman" w:cs="Times New Roman" w:eastAsia="Times New Roman" w:hAnsi="Times New Roman"/>
          <w:sz w:val="17"/>
          <w:szCs w:val="17"/>
          <w:color w:val="auto"/>
        </w:rPr>
      </w:pPr>
    </w:p>
    <w:p>
      <w:pPr>
        <w:jc w:val="both"/>
        <w:ind w:left="640" w:right="460" w:hanging="321"/>
        <w:spacing w:after="0" w:line="276" w:lineRule="auto"/>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7"/>
          <w:szCs w:val="17"/>
          <w:color w:val="auto"/>
        </w:rPr>
      </w:pPr>
    </w:p>
    <w:p>
      <w:pPr>
        <w:ind w:left="640" w:right="420" w:hanging="321"/>
        <w:spacing w:after="0" w:line="296" w:lineRule="auto"/>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2" w:lineRule="exact"/>
        <w:rPr>
          <w:rFonts w:ascii="Times New Roman" w:cs="Times New Roman" w:eastAsia="Times New Roman" w:hAnsi="Times New Roman"/>
          <w:sz w:val="17"/>
          <w:szCs w:val="17"/>
          <w:color w:val="auto"/>
        </w:rPr>
      </w:pPr>
    </w:p>
    <w:p>
      <w:pPr>
        <w:ind w:left="640" w:right="40" w:hanging="321"/>
        <w:spacing w:after="0" w:line="276" w:lineRule="auto"/>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0" w:lineRule="exact"/>
        <w:rPr>
          <w:rFonts w:ascii="Times New Roman" w:cs="Times New Roman" w:eastAsia="Times New Roman" w:hAnsi="Times New Roman"/>
          <w:sz w:val="17"/>
          <w:szCs w:val="17"/>
          <w:color w:val="auto"/>
        </w:rPr>
      </w:pPr>
    </w:p>
    <w:p>
      <w:pPr>
        <w:ind w:left="1100" w:right="540" w:hanging="466"/>
        <w:spacing w:after="0" w:line="276" w:lineRule="auto"/>
        <w:tabs>
          <w:tab w:leader="none" w:pos="109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0" w:lineRule="exact"/>
        <w:rPr>
          <w:rFonts w:ascii="Times New Roman" w:cs="Times New Roman" w:eastAsia="Times New Roman" w:hAnsi="Times New Roman"/>
          <w:sz w:val="17"/>
          <w:szCs w:val="17"/>
          <w:color w:val="auto"/>
        </w:rPr>
      </w:pPr>
    </w:p>
    <w:p>
      <w:pPr>
        <w:jc w:val="both"/>
        <w:ind w:left="1100" w:right="700" w:hanging="466"/>
        <w:spacing w:after="0" w:line="296" w:lineRule="auto"/>
        <w:tabs>
          <w:tab w:leader="none" w:pos="109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2" w:lineRule="exact"/>
        <w:rPr>
          <w:rFonts w:ascii="Times New Roman" w:cs="Times New Roman" w:eastAsia="Times New Roman" w:hAnsi="Times New Roman"/>
          <w:sz w:val="17"/>
          <w:szCs w:val="17"/>
          <w:color w:val="auto"/>
        </w:rPr>
      </w:pPr>
    </w:p>
    <w:p>
      <w:pPr>
        <w:ind w:left="1100" w:right="240" w:hanging="466"/>
        <w:spacing w:after="0" w:line="276" w:lineRule="auto"/>
        <w:tabs>
          <w:tab w:leader="none" w:pos="109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7"/>
          <w:szCs w:val="17"/>
          <w:color w:val="auto"/>
        </w:rPr>
      </w:pPr>
    </w:p>
    <w:p>
      <w:pPr>
        <w:ind w:left="640" w:right="340" w:hanging="321"/>
        <w:spacing w:after="0" w:line="296" w:lineRule="auto"/>
        <w:tabs>
          <w:tab w:leader="none" w:pos="6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Times New Roman" w:cs="Times New Roman" w:eastAsia="Times New Roman" w:hAnsi="Times New Roman"/>
          <w:sz w:val="17"/>
          <w:szCs w:val="17"/>
          <w:color w:val="auto"/>
        </w:rPr>
      </w:pPr>
    </w:p>
    <w:p>
      <w:pPr>
        <w:ind w:left="1100" w:right="140" w:hanging="466"/>
        <w:spacing w:after="0" w:line="296" w:lineRule="auto"/>
        <w:tabs>
          <w:tab w:leader="none" w:pos="109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2" w:lineRule="exact"/>
        <w:rPr>
          <w:rFonts w:ascii="Times New Roman" w:cs="Times New Roman" w:eastAsia="Times New Roman" w:hAnsi="Times New Roman"/>
          <w:sz w:val="17"/>
          <w:szCs w:val="17"/>
          <w:color w:val="auto"/>
        </w:rPr>
      </w:pPr>
    </w:p>
    <w:p>
      <w:pPr>
        <w:ind w:left="1100" w:right="100" w:hanging="466"/>
        <w:spacing w:after="0" w:line="281" w:lineRule="auto"/>
        <w:tabs>
          <w:tab w:leader="none" w:pos="1094"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3480" w:type="dxa"/>
            <w:vAlign w:val="bottom"/>
          </w:tcPr>
          <w:p>
            <w:pPr>
              <w:spacing w:after="0"/>
              <w:rPr>
                <w:sz w:val="20"/>
                <w:szCs w:val="20"/>
                <w:color w:val="auto"/>
              </w:rPr>
            </w:pPr>
            <w:r>
              <w:rPr>
                <w:rFonts w:ascii="Times New Roman" w:cs="Times New Roman" w:eastAsia="Times New Roman" w:hAnsi="Times New Roman"/>
                <w:sz w:val="17"/>
                <w:szCs w:val="17"/>
                <w:color w:val="auto"/>
              </w:rPr>
              <w:t>Date: May 1, 2026</w:t>
            </w:r>
          </w:p>
        </w:tc>
        <w:tc>
          <w:tcPr>
            <w:tcW w:w="2740" w:type="dxa"/>
            <w:vAlign w:val="bottom"/>
          </w:tcPr>
          <w:p>
            <w:pPr>
              <w:ind w:left="2160"/>
              <w:spacing w:after="0"/>
              <w:rPr>
                <w:sz w:val="20"/>
                <w:szCs w:val="20"/>
                <w:color w:val="auto"/>
              </w:rPr>
            </w:pPr>
            <w:r>
              <w:rPr>
                <w:rFonts w:ascii="Times New Roman" w:cs="Times New Roman" w:eastAsia="Times New Roman" w:hAnsi="Times New Roman"/>
                <w:sz w:val="17"/>
                <w:szCs w:val="17"/>
                <w:color w:val="auto"/>
              </w:rPr>
              <w:t>By:</w:t>
            </w:r>
          </w:p>
        </w:tc>
        <w:tc>
          <w:tcPr>
            <w:tcW w:w="4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Cindy Lee</w:t>
            </w:r>
          </w:p>
        </w:tc>
      </w:tr>
      <w:tr>
        <w:trPr>
          <w:trHeight w:val="211"/>
        </w:trPr>
        <w:tc>
          <w:tcPr>
            <w:tcW w:w="34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Cindy Lee</w:t>
            </w:r>
          </w:p>
        </w:tc>
      </w:tr>
      <w:tr>
        <w:trPr>
          <w:trHeight w:val="228"/>
        </w:trPr>
        <w:tc>
          <w:tcPr>
            <w:tcW w:w="34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r>
    </w:tbl>
    <w:p>
      <w:pPr>
        <w:sectPr>
          <w:pgSz w:w="11900" w:h="16838" w:orient="portrait"/>
          <w:cols w:equalWidth="0" w:num="1">
            <w:col w:w="11240"/>
          </w:cols>
          <w:pgMar w:left="320" w:top="866"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on Form 10-Q of Virtu Financial, Inc. (the “Company”) for the period ended March 31, 2026 as filed with the Securities and Exchange Commission on the date hereof (the “Report”), I, Aaron Simons, certify, pursuant to 18 U.S.C. Section 1350, as adopted pursuant to Section 906 of the Sarbanes-Oxley Act of 2002, in my capacity as an officer of the Company that, to my knowledge:</w:t>
      </w:r>
    </w:p>
    <w:p>
      <w:pPr>
        <w:spacing w:after="0" w:line="190" w:lineRule="exact"/>
        <w:rPr>
          <w:sz w:val="20"/>
          <w:szCs w:val="20"/>
          <w:color w:val="auto"/>
        </w:rPr>
      </w:pPr>
    </w:p>
    <w:p>
      <w:pPr>
        <w:ind w:left="1280" w:hanging="175"/>
        <w:spacing w:after="0"/>
        <w:tabs>
          <w:tab w:leader="none" w:pos="128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223" w:lineRule="exact"/>
        <w:rPr>
          <w:rFonts w:ascii="Times New Roman" w:cs="Times New Roman" w:eastAsia="Times New Roman" w:hAnsi="Times New Roman"/>
          <w:sz w:val="17"/>
          <w:szCs w:val="17"/>
          <w:color w:val="auto"/>
        </w:rPr>
      </w:pPr>
    </w:p>
    <w:p>
      <w:pPr>
        <w:ind w:left="1100" w:right="580" w:firstLine="5"/>
        <w:spacing w:after="0" w:line="296" w:lineRule="auto"/>
        <w:tabs>
          <w:tab w:leader="none" w:pos="1271"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 Aaron Simons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20320</wp:posOffset>
            </wp:positionV>
            <wp:extent cx="34766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3476625" cy="8255"/>
                    </a:xfrm>
                    <a:prstGeom prst="rect">
                      <a:avLst/>
                    </a:prstGeom>
                    <a:noFill/>
                  </pic:spPr>
                </pic:pic>
              </a:graphicData>
            </a:graphic>
          </wp:anchor>
        </w:drawing>
      </w:r>
    </w:p>
    <w:p>
      <w:pPr>
        <w:spacing w:after="0" w:line="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Aaron Simons</w:t>
      </w:r>
    </w:p>
    <w:p>
      <w:pPr>
        <w:spacing w:after="0" w:line="3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Date: May 1, 2026</w:t>
      </w:r>
    </w:p>
    <w:p>
      <w:pPr>
        <w:sectPr>
          <w:pgSz w:w="11900" w:h="16838" w:orient="portrait"/>
          <w:cols w:equalWidth="0" w:num="1">
            <w:col w:w="11240"/>
          </w:cols>
          <w:pgMar w:left="320" w:top="866"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 U.S.C. SECTION 1350</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SECTION 906 OF THE SARBANES-OXLEY ACT OF 2002</w:t>
      </w:r>
    </w:p>
    <w:p>
      <w:pPr>
        <w:spacing w:after="0" w:line="20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on Form 10-Q of Virtu Financial, Inc. (the “Company”) for the period ended March 31, 2026 as filed with the Securities and Exchange Commission on the date hereof (the “Report”), I, Cindy Lee, certify, pursuant to 18 U.S.C. Section 1350, as adopted pursuant to Section 906 of the Sarbanes-Oxley Act of 2002, in my capacity as an officer of the Company that, to my knowledge:</w:t>
      </w:r>
    </w:p>
    <w:p>
      <w:pPr>
        <w:spacing w:after="0" w:line="164" w:lineRule="exact"/>
        <w:rPr>
          <w:sz w:val="20"/>
          <w:szCs w:val="20"/>
          <w:color w:val="auto"/>
        </w:rPr>
      </w:pPr>
    </w:p>
    <w:p>
      <w:pPr>
        <w:ind w:left="1280" w:hanging="175"/>
        <w:spacing w:after="0"/>
        <w:tabs>
          <w:tab w:leader="none" w:pos="12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and</w:t>
      </w:r>
    </w:p>
    <w:p>
      <w:pPr>
        <w:spacing w:after="0" w:line="223" w:lineRule="exact"/>
        <w:rPr>
          <w:rFonts w:ascii="Times New Roman" w:cs="Times New Roman" w:eastAsia="Times New Roman" w:hAnsi="Times New Roman"/>
          <w:sz w:val="17"/>
          <w:szCs w:val="17"/>
          <w:color w:val="auto"/>
        </w:rPr>
      </w:pPr>
    </w:p>
    <w:p>
      <w:pPr>
        <w:ind w:left="1100" w:right="580" w:firstLine="5"/>
        <w:spacing w:after="0" w:line="296" w:lineRule="auto"/>
        <w:tabs>
          <w:tab w:leader="none" w:pos="127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8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 Cindy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20320</wp:posOffset>
            </wp:positionV>
            <wp:extent cx="34931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3493135" cy="8255"/>
                    </a:xfrm>
                    <a:prstGeom prst="rect">
                      <a:avLst/>
                    </a:prstGeom>
                    <a:noFill/>
                  </pic:spPr>
                </pic:pic>
              </a:graphicData>
            </a:graphic>
          </wp:anchor>
        </w:drawing>
      </w:r>
    </w:p>
    <w:p>
      <w:pPr>
        <w:spacing w:after="0" w:line="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Cindy Lee</w:t>
      </w:r>
    </w:p>
    <w:p>
      <w:pPr>
        <w:spacing w:after="0" w:line="3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Date: May 1, 2026</w:t>
      </w: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lowerRoman"/>
      <w:start w:val="4"/>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lowerRoman"/>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19" Type="http://schemas.openxmlformats.org/officeDocument/2006/relationships/hyperlink" Target="https://www.sec.gov/Archives/edgar/data/1592386/000159238623000053/exhibit31q223.htm" TargetMode="External"/><Relationship Id="rId120" Type="http://schemas.openxmlformats.org/officeDocument/2006/relationships/hyperlink" Target="https://www.sec.gov/Archives/edgar/data/1592386/000110465915042100/a15-8228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2026-05-01T15:12:18Z</dcterms:created>
  <dcterms:modified xsi:type="dcterms:W3CDTF">2026-05-01T15:12:18Z</dcterms:modified>
</cp:coreProperties>
</file>