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9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113"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820"/>
        <w:spacing w:after="0"/>
        <w:tabs>
          <w:tab w:leader="none" w:pos="22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70"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7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120" w:hanging="358"/>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51435</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0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246380</wp:posOffset>
            </wp:positionV>
            <wp:extent cx="5829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1120" w:hanging="358"/>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7" w:lineRule="exact"/>
        <w:rPr>
          <w:rFonts w:ascii="MS PGothic" w:cs="MS PGothic" w:eastAsia="MS PGothic" w:hAnsi="MS PGothic"/>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480" w:right="19" w:hanging="358"/>
        <w:spacing w:after="0" w:line="277"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hanging="358"/>
        <w:spacing w:after="0"/>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120" w:right="239" w:hanging="358"/>
        <w:spacing w:after="0" w:line="263" w:lineRule="auto"/>
        <w:tabs>
          <w:tab w:leader="none" w:pos="1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480" w:hanging="358"/>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937260</wp:posOffset>
            </wp:positionH>
            <wp:positionV relativeFrom="paragraph">
              <wp:posOffset>-3876675</wp:posOffset>
            </wp:positionV>
            <wp:extent cx="5374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-3473450</wp:posOffset>
            </wp:positionV>
            <wp:extent cx="5374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-2933700</wp:posOffset>
            </wp:positionV>
            <wp:extent cx="5374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-2522220</wp:posOffset>
            </wp:positionV>
            <wp:extent cx="5374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-2118995</wp:posOffset>
            </wp:positionV>
            <wp:extent cx="5374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-1030605</wp:posOffset>
            </wp:positionV>
            <wp:extent cx="5374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-627380</wp:posOffset>
            </wp:positionV>
            <wp:extent cx="5374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-215900</wp:posOffset>
            </wp:positionV>
            <wp:extent cx="5374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186055</wp:posOffset>
            </wp:positionV>
            <wp:extent cx="5374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134620</wp:posOffset>
            </wp:positionV>
            <wp:extent cx="188595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60" w:right="2580"/>
        <w:spacing w:after="0" w:line="235" w:lineRule="auto"/>
        <w:rPr>
          <w:sz w:val="20"/>
          <w:szCs w:val="20"/>
          <w:color w:val="auto"/>
        </w:rPr>
      </w:pPr>
      <w:r>
        <w:rPr>
          <w:rFonts w:ascii="Arial" w:cs="Arial" w:eastAsia="Arial" w:hAnsi="Arial"/>
          <w:sz w:val="54"/>
          <w:szCs w:val="54"/>
          <w:color w:val="002554"/>
        </w:rPr>
        <w:t>Notice of Annual Meeting of Stockholders</w:t>
      </w:r>
    </w:p>
    <w:p>
      <w:pPr>
        <w:spacing w:after="0" w:line="84" w:lineRule="exact"/>
        <w:rPr>
          <w:sz w:val="20"/>
          <w:szCs w:val="20"/>
          <w:color w:val="auto"/>
        </w:rPr>
      </w:pPr>
    </w:p>
    <w:p>
      <w:pPr>
        <w:ind w:left="760"/>
        <w:spacing w:after="0" w:line="252" w:lineRule="auto"/>
        <w:rPr>
          <w:sz w:val="20"/>
          <w:szCs w:val="20"/>
          <w:color w:val="auto"/>
        </w:rPr>
      </w:pPr>
      <w:r>
        <w:rPr>
          <w:rFonts w:ascii="Arial" w:cs="Arial" w:eastAsia="Arial" w:hAnsi="Arial"/>
          <w:sz w:val="18"/>
          <w:szCs w:val="18"/>
          <w:color w:val="auto"/>
        </w:rPr>
        <w:t>Notice is hereby given that the 2021 annual meeting of stockholders (the “Annual Meeting”) of Virtu Financial, Inc., a Delaware corporation (the “Company”, “Virtu” or “we”), will be held on Thursday, June 3, 2021 at 9:00 a.m. (Eastern Time). Due to the ongoing public health impact of the coronavirus outbreak (COVID-19) and to support the health and well-being of our employees and stockholders, the Annual Meeting will be held in a virtual meeting format only. You can attend the Annual Meeting online, vote your shares electronically and submit your questions during the Annual Meeting, by visiting www.virtualshareholdermeeting.com/VIRT2021. You will need to have your 16 Digit Control Number included on your Notice or your proxy card (if you received a printed copy of the proxy materials) to join the Annual Meeting.</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holding the meeting for the following purposes:</w:t>
      </w:r>
    </w:p>
    <w:p>
      <w:pPr>
        <w:spacing w:after="0" w:line="117" w:lineRule="exact"/>
        <w:rPr>
          <w:sz w:val="20"/>
          <w:szCs w:val="20"/>
          <w:color w:val="auto"/>
        </w:rPr>
      </w:pPr>
    </w:p>
    <w:p>
      <w:pPr>
        <w:ind w:left="1200" w:right="40" w:hanging="222"/>
        <w:spacing w:after="0" w:line="233"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elect four directors to our board of directors, each to serve as a Class III director for a term of three years expiring at the annual meeting of stockholders to be held in 2024 and until such director’s successor has been duly elected and qualified;</w:t>
      </w:r>
    </w:p>
    <w:p>
      <w:pPr>
        <w:spacing w:after="0" w:line="122" w:lineRule="exact"/>
        <w:rPr>
          <w:rFonts w:ascii="Arial" w:cs="Arial" w:eastAsia="Arial" w:hAnsi="Arial"/>
          <w:sz w:val="22"/>
          <w:szCs w:val="22"/>
          <w:b w:val="1"/>
          <w:bCs w:val="1"/>
          <w:color w:val="00C389"/>
        </w:rPr>
      </w:pPr>
    </w:p>
    <w:p>
      <w:pPr>
        <w:ind w:left="1200" w:right="560" w:hanging="222"/>
        <w:spacing w:after="0" w:line="225"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108" w:lineRule="exact"/>
        <w:rPr>
          <w:rFonts w:ascii="Arial" w:cs="Arial" w:eastAsia="Arial" w:hAnsi="Arial"/>
          <w:sz w:val="22"/>
          <w:szCs w:val="22"/>
          <w:b w:val="1"/>
          <w:bCs w:val="1"/>
          <w:color w:val="00C389"/>
        </w:rPr>
      </w:pPr>
    </w:p>
    <w:p>
      <w:pPr>
        <w:ind w:left="1200" w:right="300" w:hanging="222"/>
        <w:spacing w:after="0" w:line="225"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ratify the appointment of PricewaterhouseCoopers LLP as our independent registered public accounting firm for the fiscal year ending December 31, 2021; and</w:t>
      </w:r>
    </w:p>
    <w:p>
      <w:pPr>
        <w:spacing w:after="0" w:line="108" w:lineRule="exact"/>
        <w:rPr>
          <w:rFonts w:ascii="Arial" w:cs="Arial" w:eastAsia="Arial" w:hAnsi="Arial"/>
          <w:sz w:val="22"/>
          <w:szCs w:val="22"/>
          <w:b w:val="1"/>
          <w:bCs w:val="1"/>
          <w:color w:val="00C389"/>
        </w:rPr>
      </w:pPr>
    </w:p>
    <w:p>
      <w:pPr>
        <w:ind w:left="1200" w:right="560" w:hanging="222"/>
        <w:spacing w:after="0" w:line="225" w:lineRule="auto"/>
        <w:tabs>
          <w:tab w:leader="none" w:pos="1200" w:val="left"/>
        </w:tabs>
        <w:numPr>
          <w:ilvl w:val="0"/>
          <w:numId w:val="4"/>
        </w:numPr>
        <w:rPr>
          <w:rFonts w:ascii="Arial" w:cs="Arial" w:eastAsia="Arial" w:hAnsi="Arial"/>
          <w:sz w:val="22"/>
          <w:szCs w:val="22"/>
          <w:b w:val="1"/>
          <w:bCs w:val="1"/>
          <w:color w:val="00C389"/>
        </w:rPr>
      </w:pPr>
      <w:r>
        <w:rPr>
          <w:rFonts w:ascii="Arial" w:cs="Arial" w:eastAsia="Arial" w:hAnsi="Arial"/>
          <w:sz w:val="18"/>
          <w:szCs w:val="18"/>
          <w:color w:val="auto"/>
        </w:rPr>
        <w:t>To transact any other business as may properly come before the Annual Meeting or any adjournment or postponement thereof.</w:t>
      </w:r>
    </w:p>
    <w:p>
      <w:pPr>
        <w:spacing w:after="0" w:line="109"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color w:val="auto"/>
        </w:rPr>
        <w:t>Only stockholders of record as of the close of business on April 7, 2021 (the “Record Date”) will be entitled to attend or vote at the Annual Meeting or any adjournment or postponement thereof.</w:t>
      </w:r>
    </w:p>
    <w:p>
      <w:pPr>
        <w:spacing w:after="0" w:line="90" w:lineRule="exact"/>
        <w:rPr>
          <w:sz w:val="20"/>
          <w:szCs w:val="20"/>
          <w:color w:val="auto"/>
        </w:rPr>
      </w:pPr>
    </w:p>
    <w:p>
      <w:pPr>
        <w:ind w:left="760" w:right="380"/>
        <w:spacing w:after="0" w:line="261" w:lineRule="auto"/>
        <w:rPr>
          <w:sz w:val="20"/>
          <w:szCs w:val="20"/>
          <w:color w:val="auto"/>
        </w:rPr>
      </w:pPr>
      <w:r>
        <w:rPr>
          <w:rFonts w:ascii="Arial" w:cs="Arial" w:eastAsia="Arial" w:hAnsi="Arial"/>
          <w:sz w:val="18"/>
          <w:szCs w:val="18"/>
          <w:color w:val="auto"/>
        </w:rPr>
        <w:t>To make it easy to vote, Internet and telephone voting are available. The instructions for voting are on the proxy card.</w:t>
      </w:r>
    </w:p>
    <w:p>
      <w:pPr>
        <w:spacing w:after="0" w:line="90"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If you hold your shares through a bank, broker or other holder of record, please follow the voting instructions you received from the holder of record.</w:t>
      </w:r>
    </w:p>
    <w:p>
      <w:pPr>
        <w:spacing w:after="0" w:line="68" w:lineRule="exact"/>
        <w:rPr>
          <w:sz w:val="20"/>
          <w:szCs w:val="20"/>
          <w:color w:val="auto"/>
        </w:rPr>
      </w:pPr>
    </w:p>
    <w:p>
      <w:pPr>
        <w:ind w:left="760" w:right="200"/>
        <w:spacing w:after="0" w:line="282" w:lineRule="auto"/>
        <w:rPr>
          <w:sz w:val="20"/>
          <w:szCs w:val="20"/>
          <w:color w:val="auto"/>
        </w:rPr>
      </w:pPr>
      <w:r>
        <w:rPr>
          <w:rFonts w:ascii="Arial" w:cs="Arial" w:eastAsia="Arial" w:hAnsi="Arial"/>
          <w:sz w:val="17"/>
          <w:szCs w:val="17"/>
          <w:b w:val="1"/>
          <w:bCs w:val="1"/>
          <w:color w:val="auto"/>
        </w:rPr>
        <w:t>Your vote is important. Whether or not you plan to attend the Annual Meeting, we hope you will vote your shares as soon as possible. Please mark, sign, date and return the accompanying proxy card or voting instruction form in the postage-paid envelope or instruct us by telephone or via the Internet as to how you would like your shares voted. Instructions are included on the proxy card and voting instruction form.</w:t>
      </w:r>
    </w:p>
    <w:p>
      <w:pPr>
        <w:spacing w:after="0" w:line="7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w:t>
      </w:r>
      <w:r>
        <w:rPr>
          <w:rFonts w:ascii="Arial" w:cs="Arial" w:eastAsia="Arial" w:hAnsi="Arial"/>
          <w:sz w:val="12"/>
          <w:szCs w:val="12"/>
          <w:color w:val="auto"/>
        </w:rPr>
        <w:t>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48895</wp:posOffset>
            </wp:positionV>
            <wp:extent cx="29146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Robert Greifeld</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Chairman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23, 2021</w:t>
      </w:r>
    </w:p>
    <w:p>
      <w:pPr>
        <w:spacing w:after="0" w:line="311" w:lineRule="exact"/>
        <w:rPr>
          <w:sz w:val="20"/>
          <w:szCs w:val="20"/>
          <w:color w:val="auto"/>
        </w:rPr>
      </w:pPr>
    </w:p>
    <w:p>
      <w:pPr>
        <w:jc w:val="both"/>
        <w:ind w:left="760" w:right="60"/>
        <w:spacing w:after="0" w:line="268"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3, 2021: Virtu’s Proxy Statement and Annual Report on Form 10-K for the fiscal year ended December 31, 2020 are also available at https://materials.proxyvote.com/.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Table of Contents</w:t>
      </w:r>
    </w:p>
    <w:p>
      <w:pPr>
        <w:spacing w:after="0" w:line="133" w:lineRule="exact"/>
        <w:rPr>
          <w:sz w:val="20"/>
          <w:szCs w:val="20"/>
          <w:color w:val="auto"/>
        </w:rPr>
      </w:pPr>
    </w:p>
    <w:tbl>
      <w:tblPr>
        <w:tblLayout w:type="fixed"/>
        <w:tblInd w:w="760" w:type="dxa"/>
        <w:tblCellMar>
          <w:top w:w="0" w:type="dxa"/>
          <w:left w:w="0" w:type="dxa"/>
          <w:bottom w:w="0" w:type="dxa"/>
          <w:right w:w="0" w:type="dxa"/>
        </w:tblCellMar>
      </w:tblPr>
      <w:tr>
        <w:trPr>
          <w:trHeight w:val="291"/>
        </w:trPr>
        <w:tc>
          <w:tcPr>
            <w:tcW w:w="8700" w:type="dxa"/>
            <w:vAlign w:val="bottom"/>
            <w:tcBorders>
              <w:top w:val="single" w:sz="8" w:color="00C389"/>
            </w:tcBorders>
            <w:gridSpan w:val="19"/>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PROXY STATEMENT SUMMARY</w:t>
              </w:r>
            </w:hyperlink>
          </w:p>
        </w:tc>
        <w:tc>
          <w:tcPr>
            <w:tcW w:w="480" w:type="dxa"/>
            <w:vAlign w:val="bottom"/>
            <w:tcBorders>
              <w:top w:val="single" w:sz="8" w:color="00C389"/>
            </w:tcBorders>
            <w:gridSpan w:val="3"/>
            <w:shd w:val="clear" w:color="auto" w:fill="CCEEFF"/>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80" w:type="dxa"/>
            <w:vAlign w:val="bottom"/>
            <w:tcBorders>
              <w:top w:val="single" w:sz="8" w:color="0000EE"/>
            </w:tcBorders>
            <w:shd w:val="clear" w:color="auto" w:fill="00C389"/>
          </w:tcPr>
          <w:p>
            <w:pPr>
              <w:spacing w:after="0" w:line="20" w:lineRule="exact"/>
              <w:rPr>
                <w:sz w:val="1"/>
                <w:szCs w:val="1"/>
                <w:color w:val="auto"/>
              </w:rPr>
            </w:pPr>
          </w:p>
        </w:tc>
        <w:tc>
          <w:tcPr>
            <w:tcW w:w="170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220" w:type="dxa"/>
            <w:vAlign w:val="bottom"/>
            <w:tcBorders>
              <w:top w:val="single" w:sz="8" w:color="0000EE"/>
            </w:tcBorders>
            <w:shd w:val="clear" w:color="auto" w:fill="00C389"/>
          </w:tcPr>
          <w:p>
            <w:pPr>
              <w:spacing w:after="0" w:line="20" w:lineRule="exact"/>
              <w:rPr>
                <w:sz w:val="1"/>
                <w:szCs w:val="1"/>
                <w:color w:val="auto"/>
              </w:rPr>
            </w:pPr>
          </w:p>
        </w:tc>
        <w:tc>
          <w:tcPr>
            <w:tcW w:w="80" w:type="dxa"/>
            <w:vAlign w:val="bottom"/>
            <w:tcBorders>
              <w:top w:val="single" w:sz="8" w:color="0000EE"/>
            </w:tcBorders>
            <w:shd w:val="clear" w:color="auto" w:fill="00C389"/>
          </w:tcPr>
          <w:p>
            <w:pPr>
              <w:spacing w:after="0" w:line="20" w:lineRule="exact"/>
              <w:rPr>
                <w:sz w:val="1"/>
                <w:szCs w:val="1"/>
                <w:color w:val="auto"/>
              </w:rPr>
            </w:pPr>
          </w:p>
        </w:tc>
        <w:tc>
          <w:tcPr>
            <w:tcW w:w="20" w:type="dxa"/>
            <w:vAlign w:val="bottom"/>
            <w:tcBorders>
              <w:top w:val="single" w:sz="8" w:color="0000EE"/>
            </w:tcBorders>
            <w:shd w:val="clear" w:color="auto" w:fill="00C389"/>
          </w:tcPr>
          <w:p>
            <w:pPr>
              <w:spacing w:after="0" w:line="20" w:lineRule="exact"/>
              <w:rPr>
                <w:sz w:val="1"/>
                <w:szCs w:val="1"/>
                <w:color w:val="auto"/>
              </w:rPr>
            </w:pPr>
          </w:p>
        </w:tc>
        <w:tc>
          <w:tcPr>
            <w:tcW w:w="40" w:type="dxa"/>
            <w:vAlign w:val="bottom"/>
            <w:tcBorders>
              <w:top w:val="single" w:sz="8" w:color="0000EE"/>
            </w:tcBorders>
            <w:shd w:val="clear" w:color="auto" w:fill="00C389"/>
          </w:tcPr>
          <w:p>
            <w:pPr>
              <w:spacing w:after="0" w:line="20" w:lineRule="exact"/>
              <w:rPr>
                <w:sz w:val="1"/>
                <w:szCs w:val="1"/>
                <w:color w:val="auto"/>
              </w:rPr>
            </w:pPr>
          </w:p>
        </w:tc>
        <w:tc>
          <w:tcPr>
            <w:tcW w:w="200" w:type="dxa"/>
            <w:vAlign w:val="bottom"/>
            <w:tcBorders>
              <w:top w:val="single" w:sz="8" w:color="0000EE"/>
            </w:tcBorders>
            <w:shd w:val="clear" w:color="auto" w:fill="00C389"/>
          </w:tcPr>
          <w:p>
            <w:pPr>
              <w:spacing w:after="0" w:line="20" w:lineRule="exact"/>
              <w:rPr>
                <w:sz w:val="1"/>
                <w:szCs w:val="1"/>
                <w:color w:val="auto"/>
              </w:rPr>
            </w:pPr>
          </w:p>
        </w:tc>
        <w:tc>
          <w:tcPr>
            <w:tcW w:w="60" w:type="dxa"/>
            <w:vAlign w:val="bottom"/>
            <w:tcBorders>
              <w:top w:val="single" w:sz="8" w:color="CCEEFF"/>
            </w:tcBorders>
            <w:shd w:val="clear" w:color="auto" w:fill="00C389"/>
          </w:tcPr>
          <w:p>
            <w:pPr>
              <w:spacing w:after="0" w:line="20" w:lineRule="exact"/>
              <w:rPr>
                <w:sz w:val="1"/>
                <w:szCs w:val="1"/>
                <w:color w:val="auto"/>
              </w:rPr>
            </w:pPr>
          </w:p>
        </w:tc>
        <w:tc>
          <w:tcPr>
            <w:tcW w:w="260" w:type="dxa"/>
            <w:vAlign w:val="bottom"/>
            <w:tcBorders>
              <w:top w:val="single" w:sz="8" w:color="CCEEFF"/>
            </w:tcBorders>
            <w:shd w:val="clear" w:color="auto" w:fill="00C389"/>
          </w:tcPr>
          <w:p>
            <w:pPr>
              <w:spacing w:after="0" w:line="20" w:lineRule="exact"/>
              <w:rPr>
                <w:sz w:val="1"/>
                <w:szCs w:val="1"/>
                <w:color w:val="auto"/>
              </w:rPr>
            </w:pPr>
          </w:p>
        </w:tc>
        <w:tc>
          <w:tcPr>
            <w:tcW w:w="360" w:type="dxa"/>
            <w:vAlign w:val="bottom"/>
            <w:tcBorders>
              <w:top w:val="single" w:sz="8" w:color="CCEEFF"/>
            </w:tcBorders>
            <w:shd w:val="clear" w:color="auto" w:fill="00C389"/>
          </w:tcPr>
          <w:p>
            <w:pPr>
              <w:spacing w:after="0" w:line="20" w:lineRule="exact"/>
              <w:rPr>
                <w:sz w:val="1"/>
                <w:szCs w:val="1"/>
                <w:color w:val="auto"/>
              </w:rPr>
            </w:pPr>
          </w:p>
        </w:tc>
        <w:tc>
          <w:tcPr>
            <w:tcW w:w="160" w:type="dxa"/>
            <w:vAlign w:val="bottom"/>
            <w:tcBorders>
              <w:top w:val="single" w:sz="8" w:color="CCEEFF"/>
            </w:tcBorders>
            <w:shd w:val="clear" w:color="auto" w:fill="00C389"/>
          </w:tcPr>
          <w:p>
            <w:pPr>
              <w:spacing w:after="0" w:line="20" w:lineRule="exact"/>
              <w:rPr>
                <w:sz w:val="1"/>
                <w:szCs w:val="1"/>
                <w:color w:val="auto"/>
              </w:rPr>
            </w:pPr>
          </w:p>
        </w:tc>
        <w:tc>
          <w:tcPr>
            <w:tcW w:w="640" w:type="dxa"/>
            <w:vAlign w:val="bottom"/>
            <w:tcBorders>
              <w:top w:val="single" w:sz="8" w:color="CCEEFF"/>
            </w:tcBorders>
            <w:shd w:val="clear" w:color="auto" w:fill="00C389"/>
          </w:tcPr>
          <w:p>
            <w:pPr>
              <w:spacing w:after="0" w:line="20" w:lineRule="exact"/>
              <w:rPr>
                <w:sz w:val="1"/>
                <w:szCs w:val="1"/>
                <w:color w:val="auto"/>
              </w:rPr>
            </w:pPr>
          </w:p>
        </w:tc>
        <w:tc>
          <w:tcPr>
            <w:tcW w:w="1440" w:type="dxa"/>
            <w:vAlign w:val="bottom"/>
            <w:tcBorders>
              <w:top w:val="single" w:sz="8" w:color="CCEEFF"/>
            </w:tcBorders>
            <w:shd w:val="clear" w:color="auto" w:fill="00C389"/>
          </w:tcPr>
          <w:p>
            <w:pPr>
              <w:spacing w:after="0" w:line="20" w:lineRule="exact"/>
              <w:rPr>
                <w:sz w:val="1"/>
                <w:szCs w:val="1"/>
                <w:color w:val="auto"/>
              </w:rPr>
            </w:pPr>
          </w:p>
        </w:tc>
        <w:tc>
          <w:tcPr>
            <w:tcW w:w="980" w:type="dxa"/>
            <w:vAlign w:val="bottom"/>
            <w:tcBorders>
              <w:top w:val="single" w:sz="8" w:color="CCEEFF"/>
            </w:tcBorders>
            <w:shd w:val="clear" w:color="auto" w:fill="00C389"/>
          </w:tcPr>
          <w:p>
            <w:pPr>
              <w:spacing w:after="0" w:line="20" w:lineRule="exact"/>
              <w:rPr>
                <w:sz w:val="1"/>
                <w:szCs w:val="1"/>
                <w:color w:val="auto"/>
              </w:rPr>
            </w:pPr>
          </w:p>
        </w:tc>
        <w:tc>
          <w:tcPr>
            <w:tcW w:w="76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7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r>
      <w:tr>
        <w:trPr>
          <w:trHeight w:val="209"/>
        </w:trPr>
        <w:tc>
          <w:tcPr>
            <w:tcW w:w="87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4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34"/>
        </w:trPr>
        <w:tc>
          <w:tcPr>
            <w:tcW w:w="180" w:type="dxa"/>
            <w:vAlign w:val="bottom"/>
            <w:tcBorders>
              <w:top w:val="single" w:sz="8" w:color="0000EE"/>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top w:val="single" w:sz="8" w:color="0000EE"/>
              <w:bottom w:val="single" w:sz="8" w:color="00C389"/>
            </w:tcBorders>
          </w:tcPr>
          <w:p>
            <w:pPr>
              <w:spacing w:after="0"/>
              <w:rPr>
                <w:sz w:val="2"/>
                <w:szCs w:val="2"/>
                <w:color w:val="auto"/>
              </w:rPr>
            </w:pPr>
          </w:p>
        </w:tc>
        <w:tc>
          <w:tcPr>
            <w:tcW w:w="200" w:type="dxa"/>
            <w:vAlign w:val="bottom"/>
            <w:tcBorders>
              <w:top w:val="single" w:sz="8" w:color="0000EE"/>
              <w:bottom w:val="single" w:sz="8" w:color="00C389"/>
            </w:tcBorders>
          </w:tcPr>
          <w:p>
            <w:pPr>
              <w:spacing w:after="0"/>
              <w:rPr>
                <w:sz w:val="2"/>
                <w:szCs w:val="2"/>
                <w:color w:val="auto"/>
              </w:rPr>
            </w:pPr>
          </w:p>
        </w:tc>
        <w:tc>
          <w:tcPr>
            <w:tcW w:w="6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360" w:type="dxa"/>
            <w:vAlign w:val="bottom"/>
            <w:tcBorders>
              <w:top w:val="single" w:sz="8" w:color="0000EE"/>
              <w:bottom w:val="single" w:sz="8" w:color="00C389"/>
            </w:tcBorders>
          </w:tcPr>
          <w:p>
            <w:pPr>
              <w:spacing w:after="0"/>
              <w:rPr>
                <w:sz w:val="2"/>
                <w:szCs w:val="2"/>
                <w:color w:val="auto"/>
              </w:rPr>
            </w:pPr>
          </w:p>
        </w:tc>
        <w:tc>
          <w:tcPr>
            <w:tcW w:w="160" w:type="dxa"/>
            <w:vAlign w:val="bottom"/>
            <w:tcBorders>
              <w:top w:val="single" w:sz="8" w:color="0000EE"/>
              <w:bottom w:val="single" w:sz="8" w:color="00C389"/>
            </w:tcBorders>
          </w:tcPr>
          <w:p>
            <w:pPr>
              <w:spacing w:after="0"/>
              <w:rPr>
                <w:sz w:val="2"/>
                <w:szCs w:val="2"/>
                <w:color w:val="auto"/>
              </w:rPr>
            </w:pPr>
          </w:p>
        </w:tc>
        <w:tc>
          <w:tcPr>
            <w:tcW w:w="640" w:type="dxa"/>
            <w:vAlign w:val="bottom"/>
            <w:tcBorders>
              <w:bottom w:val="single" w:sz="8" w:color="00C389"/>
            </w:tcBorders>
          </w:tcPr>
          <w:p>
            <w:pPr>
              <w:spacing w:after="0"/>
              <w:rPr>
                <w:sz w:val="2"/>
                <w:szCs w:val="2"/>
                <w:color w:val="auto"/>
              </w:rPr>
            </w:pPr>
          </w:p>
        </w:tc>
        <w:tc>
          <w:tcPr>
            <w:tcW w:w="144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43"/>
        </w:trPr>
        <w:tc>
          <w:tcPr>
            <w:tcW w:w="8700" w:type="dxa"/>
            <w:vAlign w:val="bottom"/>
            <w:gridSpan w:val="19"/>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80" w:type="dxa"/>
            <w:vAlign w:val="bottom"/>
            <w:tcBorders>
              <w:top w:val="single" w:sz="8" w:color="0000EE"/>
            </w:tcBorders>
            <w:shd w:val="clear" w:color="auto" w:fill="00C389"/>
          </w:tcPr>
          <w:p>
            <w:pPr>
              <w:spacing w:after="0" w:line="20" w:lineRule="exact"/>
              <w:rPr>
                <w:sz w:val="1"/>
                <w:szCs w:val="1"/>
                <w:color w:val="auto"/>
              </w:rPr>
            </w:pPr>
          </w:p>
        </w:tc>
        <w:tc>
          <w:tcPr>
            <w:tcW w:w="170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220" w:type="dxa"/>
            <w:vAlign w:val="bottom"/>
            <w:tcBorders>
              <w:top w:val="single" w:sz="8" w:color="0000EE"/>
            </w:tcBorders>
            <w:shd w:val="clear" w:color="auto" w:fill="00C389"/>
          </w:tcPr>
          <w:p>
            <w:pPr>
              <w:spacing w:after="0" w:line="20" w:lineRule="exact"/>
              <w:rPr>
                <w:sz w:val="1"/>
                <w:szCs w:val="1"/>
                <w:color w:val="auto"/>
              </w:rPr>
            </w:pPr>
          </w:p>
        </w:tc>
        <w:tc>
          <w:tcPr>
            <w:tcW w:w="80" w:type="dxa"/>
            <w:vAlign w:val="bottom"/>
            <w:tcBorders>
              <w:top w:val="single" w:sz="8" w:color="0000EE"/>
            </w:tcBorders>
            <w:shd w:val="clear" w:color="auto" w:fill="00C389"/>
          </w:tcPr>
          <w:p>
            <w:pPr>
              <w:spacing w:after="0" w:line="20" w:lineRule="exact"/>
              <w:rPr>
                <w:sz w:val="1"/>
                <w:szCs w:val="1"/>
                <w:color w:val="auto"/>
              </w:rPr>
            </w:pPr>
          </w:p>
        </w:tc>
        <w:tc>
          <w:tcPr>
            <w:tcW w:w="20" w:type="dxa"/>
            <w:vAlign w:val="bottom"/>
            <w:tcBorders>
              <w:top w:val="single" w:sz="8" w:color="CCEEFF"/>
            </w:tcBorders>
            <w:shd w:val="clear" w:color="auto" w:fill="00C389"/>
          </w:tcPr>
          <w:p>
            <w:pPr>
              <w:spacing w:after="0" w:line="20" w:lineRule="exact"/>
              <w:rPr>
                <w:sz w:val="1"/>
                <w:szCs w:val="1"/>
                <w:color w:val="auto"/>
              </w:rPr>
            </w:pPr>
          </w:p>
        </w:tc>
        <w:tc>
          <w:tcPr>
            <w:tcW w:w="40" w:type="dxa"/>
            <w:vAlign w:val="bottom"/>
            <w:tcBorders>
              <w:top w:val="single" w:sz="8" w:color="CCEEFF"/>
            </w:tcBorders>
            <w:shd w:val="clear" w:color="auto" w:fill="00C389"/>
          </w:tcPr>
          <w:p>
            <w:pPr>
              <w:spacing w:after="0" w:line="20" w:lineRule="exact"/>
              <w:rPr>
                <w:sz w:val="1"/>
                <w:szCs w:val="1"/>
                <w:color w:val="auto"/>
              </w:rPr>
            </w:pPr>
          </w:p>
        </w:tc>
        <w:tc>
          <w:tcPr>
            <w:tcW w:w="200" w:type="dxa"/>
            <w:vAlign w:val="bottom"/>
            <w:tcBorders>
              <w:top w:val="single" w:sz="8" w:color="CCEEFF"/>
            </w:tcBorders>
            <w:shd w:val="clear" w:color="auto" w:fill="00C389"/>
          </w:tcPr>
          <w:p>
            <w:pPr>
              <w:spacing w:after="0" w:line="20" w:lineRule="exact"/>
              <w:rPr>
                <w:sz w:val="1"/>
                <w:szCs w:val="1"/>
                <w:color w:val="auto"/>
              </w:rPr>
            </w:pPr>
          </w:p>
        </w:tc>
        <w:tc>
          <w:tcPr>
            <w:tcW w:w="60" w:type="dxa"/>
            <w:vAlign w:val="bottom"/>
            <w:tcBorders>
              <w:top w:val="single" w:sz="8" w:color="CCEEFF"/>
            </w:tcBorders>
            <w:shd w:val="clear" w:color="auto" w:fill="00C389"/>
          </w:tcPr>
          <w:p>
            <w:pPr>
              <w:spacing w:after="0" w:line="20" w:lineRule="exact"/>
              <w:rPr>
                <w:sz w:val="1"/>
                <w:szCs w:val="1"/>
                <w:color w:val="auto"/>
              </w:rPr>
            </w:pPr>
          </w:p>
        </w:tc>
        <w:tc>
          <w:tcPr>
            <w:tcW w:w="260" w:type="dxa"/>
            <w:vAlign w:val="bottom"/>
            <w:tcBorders>
              <w:top w:val="single" w:sz="8" w:color="CCEEFF"/>
            </w:tcBorders>
            <w:shd w:val="clear" w:color="auto" w:fill="00C389"/>
          </w:tcPr>
          <w:p>
            <w:pPr>
              <w:spacing w:after="0" w:line="20" w:lineRule="exact"/>
              <w:rPr>
                <w:sz w:val="1"/>
                <w:szCs w:val="1"/>
                <w:color w:val="auto"/>
              </w:rPr>
            </w:pPr>
          </w:p>
        </w:tc>
        <w:tc>
          <w:tcPr>
            <w:tcW w:w="360" w:type="dxa"/>
            <w:vAlign w:val="bottom"/>
            <w:tcBorders>
              <w:top w:val="single" w:sz="8" w:color="CCEEFF"/>
            </w:tcBorders>
            <w:shd w:val="clear" w:color="auto" w:fill="00C389"/>
          </w:tcPr>
          <w:p>
            <w:pPr>
              <w:spacing w:after="0" w:line="20" w:lineRule="exact"/>
              <w:rPr>
                <w:sz w:val="1"/>
                <w:szCs w:val="1"/>
                <w:color w:val="auto"/>
              </w:rPr>
            </w:pPr>
          </w:p>
        </w:tc>
        <w:tc>
          <w:tcPr>
            <w:tcW w:w="160" w:type="dxa"/>
            <w:vAlign w:val="bottom"/>
            <w:tcBorders>
              <w:top w:val="single" w:sz="8" w:color="CCEEFF"/>
            </w:tcBorders>
            <w:shd w:val="clear" w:color="auto" w:fill="00C389"/>
          </w:tcPr>
          <w:p>
            <w:pPr>
              <w:spacing w:after="0" w:line="20" w:lineRule="exact"/>
              <w:rPr>
                <w:sz w:val="1"/>
                <w:szCs w:val="1"/>
                <w:color w:val="auto"/>
              </w:rPr>
            </w:pPr>
          </w:p>
        </w:tc>
        <w:tc>
          <w:tcPr>
            <w:tcW w:w="640" w:type="dxa"/>
            <w:vAlign w:val="bottom"/>
            <w:tcBorders>
              <w:top w:val="single" w:sz="8" w:color="CCEEFF"/>
            </w:tcBorders>
            <w:shd w:val="clear" w:color="auto" w:fill="00C389"/>
          </w:tcPr>
          <w:p>
            <w:pPr>
              <w:spacing w:after="0" w:line="20" w:lineRule="exact"/>
              <w:rPr>
                <w:sz w:val="1"/>
                <w:szCs w:val="1"/>
                <w:color w:val="auto"/>
              </w:rPr>
            </w:pPr>
          </w:p>
        </w:tc>
        <w:tc>
          <w:tcPr>
            <w:tcW w:w="1440" w:type="dxa"/>
            <w:vAlign w:val="bottom"/>
            <w:tcBorders>
              <w:top w:val="single" w:sz="8" w:color="CCEEFF"/>
            </w:tcBorders>
            <w:shd w:val="clear" w:color="auto" w:fill="00C389"/>
          </w:tcPr>
          <w:p>
            <w:pPr>
              <w:spacing w:after="0" w:line="20" w:lineRule="exact"/>
              <w:rPr>
                <w:sz w:val="1"/>
                <w:szCs w:val="1"/>
                <w:color w:val="auto"/>
              </w:rPr>
            </w:pPr>
          </w:p>
        </w:tc>
        <w:tc>
          <w:tcPr>
            <w:tcW w:w="980" w:type="dxa"/>
            <w:vAlign w:val="bottom"/>
            <w:tcBorders>
              <w:top w:val="single" w:sz="8" w:color="CCEEFF"/>
            </w:tcBorders>
            <w:shd w:val="clear" w:color="auto" w:fill="00C389"/>
          </w:tcPr>
          <w:p>
            <w:pPr>
              <w:spacing w:after="0" w:line="20" w:lineRule="exact"/>
              <w:rPr>
                <w:sz w:val="1"/>
                <w:szCs w:val="1"/>
                <w:color w:val="auto"/>
              </w:rPr>
            </w:pPr>
          </w:p>
        </w:tc>
        <w:tc>
          <w:tcPr>
            <w:tcW w:w="76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7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r>
      <w:tr>
        <w:trPr>
          <w:trHeight w:val="210"/>
        </w:trPr>
        <w:tc>
          <w:tcPr>
            <w:tcW w:w="870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PROPOSAL 2: ADVISORY VOTE TO APPROVE COMPENSATION OF NAMED EXECUTIVE OFFICERS</w:t>
              </w:r>
            </w:hyperlink>
          </w:p>
        </w:tc>
        <w:tc>
          <w:tcPr>
            <w:tcW w:w="4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34"/>
        </w:trPr>
        <w:tc>
          <w:tcPr>
            <w:tcW w:w="180" w:type="dxa"/>
            <w:vAlign w:val="bottom"/>
            <w:tcBorders>
              <w:top w:val="single" w:sz="8" w:color="0000EE"/>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top w:val="single" w:sz="8" w:color="0000EE"/>
              <w:bottom w:val="single" w:sz="8" w:color="00C389"/>
            </w:tcBorders>
          </w:tcPr>
          <w:p>
            <w:pPr>
              <w:spacing w:after="0"/>
              <w:rPr>
                <w:sz w:val="2"/>
                <w:szCs w:val="2"/>
                <w:color w:val="auto"/>
              </w:rPr>
            </w:pPr>
          </w:p>
        </w:tc>
        <w:tc>
          <w:tcPr>
            <w:tcW w:w="200" w:type="dxa"/>
            <w:vAlign w:val="bottom"/>
            <w:tcBorders>
              <w:top w:val="single" w:sz="8" w:color="0000EE"/>
              <w:bottom w:val="single" w:sz="8" w:color="00C389"/>
            </w:tcBorders>
          </w:tcPr>
          <w:p>
            <w:pPr>
              <w:spacing w:after="0"/>
              <w:rPr>
                <w:sz w:val="2"/>
                <w:szCs w:val="2"/>
                <w:color w:val="auto"/>
              </w:rPr>
            </w:pPr>
          </w:p>
        </w:tc>
        <w:tc>
          <w:tcPr>
            <w:tcW w:w="6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360" w:type="dxa"/>
            <w:vAlign w:val="bottom"/>
            <w:tcBorders>
              <w:top w:val="single" w:sz="8" w:color="0000EE"/>
              <w:bottom w:val="single" w:sz="8" w:color="00C389"/>
            </w:tcBorders>
          </w:tcPr>
          <w:p>
            <w:pPr>
              <w:spacing w:after="0"/>
              <w:rPr>
                <w:sz w:val="2"/>
                <w:szCs w:val="2"/>
                <w:color w:val="auto"/>
              </w:rPr>
            </w:pPr>
          </w:p>
        </w:tc>
        <w:tc>
          <w:tcPr>
            <w:tcW w:w="160" w:type="dxa"/>
            <w:vAlign w:val="bottom"/>
            <w:tcBorders>
              <w:top w:val="single" w:sz="8" w:color="0000EE"/>
              <w:bottom w:val="single" w:sz="8" w:color="00C389"/>
            </w:tcBorders>
          </w:tcPr>
          <w:p>
            <w:pPr>
              <w:spacing w:after="0"/>
              <w:rPr>
                <w:sz w:val="2"/>
                <w:szCs w:val="2"/>
                <w:color w:val="auto"/>
              </w:rPr>
            </w:pPr>
          </w:p>
        </w:tc>
        <w:tc>
          <w:tcPr>
            <w:tcW w:w="640" w:type="dxa"/>
            <w:vAlign w:val="bottom"/>
            <w:tcBorders>
              <w:top w:val="single" w:sz="8" w:color="0000EE"/>
              <w:bottom w:val="single" w:sz="8" w:color="00C389"/>
            </w:tcBorders>
          </w:tcPr>
          <w:p>
            <w:pPr>
              <w:spacing w:after="0"/>
              <w:rPr>
                <w:sz w:val="2"/>
                <w:szCs w:val="2"/>
                <w:color w:val="auto"/>
              </w:rPr>
            </w:pPr>
          </w:p>
        </w:tc>
        <w:tc>
          <w:tcPr>
            <w:tcW w:w="1440" w:type="dxa"/>
            <w:vAlign w:val="bottom"/>
            <w:tcBorders>
              <w:top w:val="single" w:sz="8" w:color="0000EE"/>
              <w:bottom w:val="single" w:sz="8" w:color="00C389"/>
            </w:tcBorders>
          </w:tcPr>
          <w:p>
            <w:pPr>
              <w:spacing w:after="0"/>
              <w:rPr>
                <w:sz w:val="2"/>
                <w:szCs w:val="2"/>
                <w:color w:val="auto"/>
              </w:rPr>
            </w:pPr>
          </w:p>
        </w:tc>
        <w:tc>
          <w:tcPr>
            <w:tcW w:w="980" w:type="dxa"/>
            <w:vAlign w:val="bottom"/>
            <w:tcBorders>
              <w:top w:val="single" w:sz="8" w:color="0000EE"/>
              <w:bottom w:val="single" w:sz="8" w:color="00C389"/>
            </w:tcBorders>
          </w:tcPr>
          <w:p>
            <w:pPr>
              <w:spacing w:after="0"/>
              <w:rPr>
                <w:sz w:val="2"/>
                <w:szCs w:val="2"/>
                <w:color w:val="auto"/>
              </w:rPr>
            </w:pPr>
          </w:p>
        </w:tc>
        <w:tc>
          <w:tcPr>
            <w:tcW w:w="760" w:type="dxa"/>
            <w:vAlign w:val="bottom"/>
            <w:tcBorders>
              <w:top w:val="single" w:sz="8" w:color="0000EE"/>
              <w:bottom w:val="single" w:sz="8" w:color="00C389"/>
            </w:tcBorders>
          </w:tcPr>
          <w:p>
            <w:pPr>
              <w:spacing w:after="0"/>
              <w:rPr>
                <w:sz w:val="2"/>
                <w:szCs w:val="2"/>
                <w:color w:val="auto"/>
              </w:rPr>
            </w:pPr>
          </w:p>
        </w:tc>
        <w:tc>
          <w:tcPr>
            <w:tcW w:w="280" w:type="dxa"/>
            <w:vAlign w:val="bottom"/>
            <w:tcBorders>
              <w:top w:val="single" w:sz="8" w:color="0000EE"/>
              <w:bottom w:val="single" w:sz="8" w:color="00C389"/>
            </w:tcBorders>
          </w:tcPr>
          <w:p>
            <w:pPr>
              <w:spacing w:after="0"/>
              <w:rPr>
                <w:sz w:val="2"/>
                <w:szCs w:val="2"/>
                <w:color w:val="auto"/>
              </w:rPr>
            </w:pPr>
          </w:p>
        </w:tc>
        <w:tc>
          <w:tcPr>
            <w:tcW w:w="780" w:type="dxa"/>
            <w:vAlign w:val="bottom"/>
            <w:tcBorders>
              <w:top w:val="single" w:sz="8" w:color="0000EE"/>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43"/>
        </w:trPr>
        <w:tc>
          <w:tcPr>
            <w:tcW w:w="8700" w:type="dxa"/>
            <w:vAlign w:val="bottom"/>
            <w:gridSpan w:val="19"/>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COMPENSATION</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80" w:type="dxa"/>
            <w:vAlign w:val="bottom"/>
            <w:tcBorders>
              <w:top w:val="single" w:sz="8" w:color="0000EE"/>
            </w:tcBorders>
            <w:shd w:val="clear" w:color="auto" w:fill="00C389"/>
          </w:tcPr>
          <w:p>
            <w:pPr>
              <w:spacing w:after="0" w:line="20" w:lineRule="exact"/>
              <w:rPr>
                <w:sz w:val="1"/>
                <w:szCs w:val="1"/>
                <w:color w:val="auto"/>
              </w:rPr>
            </w:pPr>
          </w:p>
        </w:tc>
        <w:tc>
          <w:tcPr>
            <w:tcW w:w="170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220" w:type="dxa"/>
            <w:vAlign w:val="bottom"/>
            <w:tcBorders>
              <w:top w:val="single" w:sz="8" w:color="0000EE"/>
            </w:tcBorders>
            <w:shd w:val="clear" w:color="auto" w:fill="00C389"/>
          </w:tcPr>
          <w:p>
            <w:pPr>
              <w:spacing w:after="0" w:line="20" w:lineRule="exact"/>
              <w:rPr>
                <w:sz w:val="1"/>
                <w:szCs w:val="1"/>
                <w:color w:val="auto"/>
              </w:rPr>
            </w:pPr>
          </w:p>
        </w:tc>
        <w:tc>
          <w:tcPr>
            <w:tcW w:w="80" w:type="dxa"/>
            <w:vAlign w:val="bottom"/>
            <w:tcBorders>
              <w:top w:val="single" w:sz="8" w:color="0000EE"/>
            </w:tcBorders>
            <w:shd w:val="clear" w:color="auto" w:fill="00C389"/>
          </w:tcPr>
          <w:p>
            <w:pPr>
              <w:spacing w:after="0" w:line="20" w:lineRule="exact"/>
              <w:rPr>
                <w:sz w:val="1"/>
                <w:szCs w:val="1"/>
                <w:color w:val="auto"/>
              </w:rPr>
            </w:pPr>
          </w:p>
        </w:tc>
        <w:tc>
          <w:tcPr>
            <w:tcW w:w="20" w:type="dxa"/>
            <w:vAlign w:val="bottom"/>
            <w:tcBorders>
              <w:top w:val="single" w:sz="8" w:color="0000EE"/>
            </w:tcBorders>
            <w:shd w:val="clear" w:color="auto" w:fill="00C389"/>
          </w:tcPr>
          <w:p>
            <w:pPr>
              <w:spacing w:after="0" w:line="20" w:lineRule="exact"/>
              <w:rPr>
                <w:sz w:val="1"/>
                <w:szCs w:val="1"/>
                <w:color w:val="auto"/>
              </w:rPr>
            </w:pPr>
          </w:p>
        </w:tc>
        <w:tc>
          <w:tcPr>
            <w:tcW w:w="40" w:type="dxa"/>
            <w:vAlign w:val="bottom"/>
            <w:tcBorders>
              <w:top w:val="single" w:sz="8" w:color="0000EE"/>
            </w:tcBorders>
            <w:shd w:val="clear" w:color="auto" w:fill="00C389"/>
          </w:tcPr>
          <w:p>
            <w:pPr>
              <w:spacing w:after="0" w:line="20" w:lineRule="exact"/>
              <w:rPr>
                <w:sz w:val="1"/>
                <w:szCs w:val="1"/>
                <w:color w:val="auto"/>
              </w:rPr>
            </w:pPr>
          </w:p>
        </w:tc>
        <w:tc>
          <w:tcPr>
            <w:tcW w:w="200" w:type="dxa"/>
            <w:vAlign w:val="bottom"/>
            <w:tcBorders>
              <w:top w:val="single" w:sz="8" w:color="CCEEFF"/>
            </w:tcBorders>
            <w:shd w:val="clear" w:color="auto" w:fill="00C389"/>
          </w:tcPr>
          <w:p>
            <w:pPr>
              <w:spacing w:after="0" w:line="20" w:lineRule="exact"/>
              <w:rPr>
                <w:sz w:val="1"/>
                <w:szCs w:val="1"/>
                <w:color w:val="auto"/>
              </w:rPr>
            </w:pPr>
          </w:p>
        </w:tc>
        <w:tc>
          <w:tcPr>
            <w:tcW w:w="60" w:type="dxa"/>
            <w:vAlign w:val="bottom"/>
            <w:tcBorders>
              <w:top w:val="single" w:sz="8" w:color="CCEEFF"/>
            </w:tcBorders>
            <w:shd w:val="clear" w:color="auto" w:fill="00C389"/>
          </w:tcPr>
          <w:p>
            <w:pPr>
              <w:spacing w:after="0" w:line="20" w:lineRule="exact"/>
              <w:rPr>
                <w:sz w:val="1"/>
                <w:szCs w:val="1"/>
                <w:color w:val="auto"/>
              </w:rPr>
            </w:pPr>
          </w:p>
        </w:tc>
        <w:tc>
          <w:tcPr>
            <w:tcW w:w="260" w:type="dxa"/>
            <w:vAlign w:val="bottom"/>
            <w:tcBorders>
              <w:top w:val="single" w:sz="8" w:color="CCEEFF"/>
            </w:tcBorders>
            <w:shd w:val="clear" w:color="auto" w:fill="00C389"/>
          </w:tcPr>
          <w:p>
            <w:pPr>
              <w:spacing w:after="0" w:line="20" w:lineRule="exact"/>
              <w:rPr>
                <w:sz w:val="1"/>
                <w:szCs w:val="1"/>
                <w:color w:val="auto"/>
              </w:rPr>
            </w:pPr>
          </w:p>
        </w:tc>
        <w:tc>
          <w:tcPr>
            <w:tcW w:w="360" w:type="dxa"/>
            <w:vAlign w:val="bottom"/>
            <w:tcBorders>
              <w:top w:val="single" w:sz="8" w:color="CCEEFF"/>
            </w:tcBorders>
            <w:shd w:val="clear" w:color="auto" w:fill="00C389"/>
          </w:tcPr>
          <w:p>
            <w:pPr>
              <w:spacing w:after="0" w:line="20" w:lineRule="exact"/>
              <w:rPr>
                <w:sz w:val="1"/>
                <w:szCs w:val="1"/>
                <w:color w:val="auto"/>
              </w:rPr>
            </w:pPr>
          </w:p>
        </w:tc>
        <w:tc>
          <w:tcPr>
            <w:tcW w:w="160" w:type="dxa"/>
            <w:vAlign w:val="bottom"/>
            <w:tcBorders>
              <w:top w:val="single" w:sz="8" w:color="CCEEFF"/>
            </w:tcBorders>
            <w:shd w:val="clear" w:color="auto" w:fill="00C389"/>
          </w:tcPr>
          <w:p>
            <w:pPr>
              <w:spacing w:after="0" w:line="20" w:lineRule="exact"/>
              <w:rPr>
                <w:sz w:val="1"/>
                <w:szCs w:val="1"/>
                <w:color w:val="auto"/>
              </w:rPr>
            </w:pPr>
          </w:p>
        </w:tc>
        <w:tc>
          <w:tcPr>
            <w:tcW w:w="640" w:type="dxa"/>
            <w:vAlign w:val="bottom"/>
            <w:tcBorders>
              <w:top w:val="single" w:sz="8" w:color="CCEEFF"/>
            </w:tcBorders>
            <w:shd w:val="clear" w:color="auto" w:fill="00C389"/>
          </w:tcPr>
          <w:p>
            <w:pPr>
              <w:spacing w:after="0" w:line="20" w:lineRule="exact"/>
              <w:rPr>
                <w:sz w:val="1"/>
                <w:szCs w:val="1"/>
                <w:color w:val="auto"/>
              </w:rPr>
            </w:pPr>
          </w:p>
        </w:tc>
        <w:tc>
          <w:tcPr>
            <w:tcW w:w="1440" w:type="dxa"/>
            <w:vAlign w:val="bottom"/>
            <w:tcBorders>
              <w:top w:val="single" w:sz="8" w:color="CCEEFF"/>
            </w:tcBorders>
            <w:shd w:val="clear" w:color="auto" w:fill="00C389"/>
          </w:tcPr>
          <w:p>
            <w:pPr>
              <w:spacing w:after="0" w:line="20" w:lineRule="exact"/>
              <w:rPr>
                <w:sz w:val="1"/>
                <w:szCs w:val="1"/>
                <w:color w:val="auto"/>
              </w:rPr>
            </w:pPr>
          </w:p>
        </w:tc>
        <w:tc>
          <w:tcPr>
            <w:tcW w:w="980" w:type="dxa"/>
            <w:vAlign w:val="bottom"/>
            <w:tcBorders>
              <w:top w:val="single" w:sz="8" w:color="CCEEFF"/>
            </w:tcBorders>
            <w:shd w:val="clear" w:color="auto" w:fill="00C389"/>
          </w:tcPr>
          <w:p>
            <w:pPr>
              <w:spacing w:after="0" w:line="20" w:lineRule="exact"/>
              <w:rPr>
                <w:sz w:val="1"/>
                <w:szCs w:val="1"/>
                <w:color w:val="auto"/>
              </w:rPr>
            </w:pPr>
          </w:p>
        </w:tc>
        <w:tc>
          <w:tcPr>
            <w:tcW w:w="76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7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852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COMPENSATION COMMITTEE REPORT</w:t>
              </w:r>
            </w:hyperlink>
          </w:p>
        </w:tc>
        <w:tc>
          <w:tcPr>
            <w:tcW w:w="4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34"/>
        </w:trPr>
        <w:tc>
          <w:tcPr>
            <w:tcW w:w="180" w:type="dxa"/>
            <w:vAlign w:val="bottom"/>
            <w:tcBorders>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top w:val="single" w:sz="8" w:color="0000EE"/>
              <w:bottom w:val="single" w:sz="8" w:color="00C389"/>
            </w:tcBorders>
          </w:tcPr>
          <w:p>
            <w:pPr>
              <w:spacing w:after="0"/>
              <w:rPr>
                <w:sz w:val="2"/>
                <w:szCs w:val="2"/>
                <w:color w:val="auto"/>
              </w:rPr>
            </w:pPr>
          </w:p>
        </w:tc>
        <w:tc>
          <w:tcPr>
            <w:tcW w:w="200" w:type="dxa"/>
            <w:vAlign w:val="bottom"/>
            <w:tcBorders>
              <w:top w:val="single" w:sz="8" w:color="0000EE"/>
              <w:bottom w:val="single" w:sz="8" w:color="00C389"/>
            </w:tcBorders>
          </w:tcPr>
          <w:p>
            <w:pPr>
              <w:spacing w:after="0"/>
              <w:rPr>
                <w:sz w:val="2"/>
                <w:szCs w:val="2"/>
                <w:color w:val="auto"/>
              </w:rPr>
            </w:pPr>
          </w:p>
        </w:tc>
        <w:tc>
          <w:tcPr>
            <w:tcW w:w="6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360" w:type="dxa"/>
            <w:vAlign w:val="bottom"/>
            <w:tcBorders>
              <w:top w:val="single" w:sz="8" w:color="0000EE"/>
              <w:bottom w:val="single" w:sz="8" w:color="00C389"/>
            </w:tcBorders>
          </w:tcPr>
          <w:p>
            <w:pPr>
              <w:spacing w:after="0"/>
              <w:rPr>
                <w:sz w:val="2"/>
                <w:szCs w:val="2"/>
                <w:color w:val="auto"/>
              </w:rPr>
            </w:pPr>
          </w:p>
        </w:tc>
        <w:tc>
          <w:tcPr>
            <w:tcW w:w="160" w:type="dxa"/>
            <w:vAlign w:val="bottom"/>
            <w:tcBorders>
              <w:top w:val="single" w:sz="8" w:color="0000EE"/>
              <w:bottom w:val="single" w:sz="8" w:color="00C389"/>
            </w:tcBorders>
          </w:tcPr>
          <w:p>
            <w:pPr>
              <w:spacing w:after="0"/>
              <w:rPr>
                <w:sz w:val="2"/>
                <w:szCs w:val="2"/>
                <w:color w:val="auto"/>
              </w:rPr>
            </w:pPr>
          </w:p>
        </w:tc>
        <w:tc>
          <w:tcPr>
            <w:tcW w:w="640" w:type="dxa"/>
            <w:vAlign w:val="bottom"/>
            <w:tcBorders>
              <w:bottom w:val="single" w:sz="8" w:color="00C389"/>
            </w:tcBorders>
          </w:tcPr>
          <w:p>
            <w:pPr>
              <w:spacing w:after="0"/>
              <w:rPr>
                <w:sz w:val="2"/>
                <w:szCs w:val="2"/>
                <w:color w:val="auto"/>
              </w:rPr>
            </w:pPr>
          </w:p>
        </w:tc>
        <w:tc>
          <w:tcPr>
            <w:tcW w:w="144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63"/>
        </w:trPr>
        <w:tc>
          <w:tcPr>
            <w:tcW w:w="180" w:type="dxa"/>
            <w:vAlign w:val="bottom"/>
            <w:tcBorders>
              <w:bottom w:val="single" w:sz="8" w:color="00C389"/>
            </w:tcBorders>
            <w:shd w:val="clear" w:color="auto" w:fill="CCEEFF"/>
          </w:tcPr>
          <w:p>
            <w:pPr>
              <w:spacing w:after="0"/>
              <w:rPr>
                <w:sz w:val="22"/>
                <w:szCs w:val="22"/>
                <w:color w:val="auto"/>
              </w:rPr>
            </w:pPr>
          </w:p>
        </w:tc>
        <w:tc>
          <w:tcPr>
            <w:tcW w:w="400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COMPENSATION DISCLOSURE AND ANALYSIS</w:t>
              </w:r>
            </w:hyperlink>
          </w:p>
        </w:tc>
        <w:tc>
          <w:tcPr>
            <w:tcW w:w="4520" w:type="dxa"/>
            <w:vAlign w:val="bottom"/>
            <w:tcBorders>
              <w:bottom w:val="single" w:sz="8" w:color="00C389"/>
            </w:tcBorders>
            <w:gridSpan w:val="6"/>
            <w:shd w:val="clear" w:color="auto" w:fill="CCEEFF"/>
          </w:tcPr>
          <w:p>
            <w:pPr>
              <w:spacing w:after="0"/>
              <w:rPr>
                <w:sz w:val="22"/>
                <w:szCs w:val="22"/>
                <w:color w:val="auto"/>
              </w:rPr>
            </w:pPr>
          </w:p>
        </w:tc>
        <w:tc>
          <w:tcPr>
            <w:tcW w:w="280" w:type="dxa"/>
            <w:vAlign w:val="bottom"/>
            <w:tcBorders>
              <w:bottom w:val="single" w:sz="8" w:color="00C389"/>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r>
      <w:tr>
        <w:trPr>
          <w:trHeight w:val="209"/>
        </w:trPr>
        <w:tc>
          <w:tcPr>
            <w:tcW w:w="180" w:type="dxa"/>
            <w:vAlign w:val="bottom"/>
          </w:tcPr>
          <w:p>
            <w:pPr>
              <w:spacing w:after="0"/>
              <w:rPr>
                <w:sz w:val="18"/>
                <w:szCs w:val="18"/>
                <w:color w:val="auto"/>
              </w:rPr>
            </w:pPr>
          </w:p>
        </w:tc>
        <w:tc>
          <w:tcPr>
            <w:tcW w:w="85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CEO PAY RATIO DISCLOSURE</w:t>
              </w:r>
            </w:hyperlink>
          </w:p>
        </w:tc>
        <w:tc>
          <w:tcPr>
            <w:tcW w:w="4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34"/>
        </w:trPr>
        <w:tc>
          <w:tcPr>
            <w:tcW w:w="180" w:type="dxa"/>
            <w:vAlign w:val="bottom"/>
            <w:tcBorders>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top w:val="single" w:sz="8" w:color="0000EE"/>
              <w:bottom w:val="single" w:sz="8" w:color="00C389"/>
            </w:tcBorders>
          </w:tcPr>
          <w:p>
            <w:pPr>
              <w:spacing w:after="0"/>
              <w:rPr>
                <w:sz w:val="2"/>
                <w:szCs w:val="2"/>
                <w:color w:val="auto"/>
              </w:rPr>
            </w:pPr>
          </w:p>
        </w:tc>
        <w:tc>
          <w:tcPr>
            <w:tcW w:w="200" w:type="dxa"/>
            <w:vAlign w:val="bottom"/>
            <w:tcBorders>
              <w:top w:val="single" w:sz="8" w:color="0000EE"/>
              <w:bottom w:val="single" w:sz="8" w:color="00C389"/>
            </w:tcBorders>
          </w:tcPr>
          <w:p>
            <w:pPr>
              <w:spacing w:after="0"/>
              <w:rPr>
                <w:sz w:val="2"/>
                <w:szCs w:val="2"/>
                <w:color w:val="auto"/>
              </w:rPr>
            </w:pPr>
          </w:p>
        </w:tc>
        <w:tc>
          <w:tcPr>
            <w:tcW w:w="60" w:type="dxa"/>
            <w:vAlign w:val="bottom"/>
            <w:tcBorders>
              <w:top w:val="single" w:sz="8" w:color="0000EE"/>
              <w:bottom w:val="single" w:sz="8" w:color="00C389"/>
            </w:tcBorders>
          </w:tcPr>
          <w:p>
            <w:pPr>
              <w:spacing w:after="0"/>
              <w:rPr>
                <w:sz w:val="2"/>
                <w:szCs w:val="2"/>
                <w:color w:val="auto"/>
              </w:rPr>
            </w:pPr>
          </w:p>
        </w:tc>
        <w:tc>
          <w:tcPr>
            <w:tcW w:w="260" w:type="dxa"/>
            <w:vAlign w:val="bottom"/>
            <w:tcBorders>
              <w:bottom w:val="single" w:sz="8" w:color="00C389"/>
            </w:tcBorders>
          </w:tcPr>
          <w:p>
            <w:pPr>
              <w:spacing w:after="0"/>
              <w:rPr>
                <w:sz w:val="2"/>
                <w:szCs w:val="2"/>
                <w:color w:val="auto"/>
              </w:rPr>
            </w:pPr>
          </w:p>
        </w:tc>
        <w:tc>
          <w:tcPr>
            <w:tcW w:w="360" w:type="dxa"/>
            <w:vAlign w:val="bottom"/>
            <w:tcBorders>
              <w:bottom w:val="single" w:sz="8" w:color="00C389"/>
            </w:tcBorders>
          </w:tcPr>
          <w:p>
            <w:pPr>
              <w:spacing w:after="0"/>
              <w:rPr>
                <w:sz w:val="2"/>
                <w:szCs w:val="2"/>
                <w:color w:val="auto"/>
              </w:rPr>
            </w:pPr>
          </w:p>
        </w:tc>
        <w:tc>
          <w:tcPr>
            <w:tcW w:w="160" w:type="dxa"/>
            <w:vAlign w:val="bottom"/>
            <w:tcBorders>
              <w:bottom w:val="single" w:sz="8" w:color="00C389"/>
            </w:tcBorders>
          </w:tcPr>
          <w:p>
            <w:pPr>
              <w:spacing w:after="0"/>
              <w:rPr>
                <w:sz w:val="2"/>
                <w:szCs w:val="2"/>
                <w:color w:val="auto"/>
              </w:rPr>
            </w:pPr>
          </w:p>
        </w:tc>
        <w:tc>
          <w:tcPr>
            <w:tcW w:w="640" w:type="dxa"/>
            <w:vAlign w:val="bottom"/>
            <w:tcBorders>
              <w:bottom w:val="single" w:sz="8" w:color="00C389"/>
            </w:tcBorders>
          </w:tcPr>
          <w:p>
            <w:pPr>
              <w:spacing w:after="0"/>
              <w:rPr>
                <w:sz w:val="2"/>
                <w:szCs w:val="2"/>
                <w:color w:val="auto"/>
              </w:rPr>
            </w:pPr>
          </w:p>
        </w:tc>
        <w:tc>
          <w:tcPr>
            <w:tcW w:w="144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43"/>
        </w:trPr>
        <w:tc>
          <w:tcPr>
            <w:tcW w:w="180" w:type="dxa"/>
            <w:vAlign w:val="bottom"/>
            <w:shd w:val="clear" w:color="auto" w:fill="CCEEFF"/>
          </w:tcPr>
          <w:p>
            <w:pPr>
              <w:spacing w:after="0"/>
              <w:rPr>
                <w:sz w:val="21"/>
                <w:szCs w:val="21"/>
                <w:color w:val="auto"/>
              </w:rPr>
            </w:pPr>
          </w:p>
        </w:tc>
        <w:tc>
          <w:tcPr>
            <w:tcW w:w="8520" w:type="dxa"/>
            <w:vAlign w:val="bottom"/>
            <w:gridSpan w:val="18"/>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OF DIRECTORS</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r>
      <w:tr>
        <w:trPr>
          <w:trHeight w:val="20"/>
        </w:trPr>
        <w:tc>
          <w:tcPr>
            <w:tcW w:w="180" w:type="dxa"/>
            <w:vAlign w:val="bottom"/>
            <w:tcBorders>
              <w:top w:val="single" w:sz="8" w:color="CCEEFF"/>
            </w:tcBorders>
            <w:shd w:val="clear" w:color="auto" w:fill="00C389"/>
          </w:tcPr>
          <w:p>
            <w:pPr>
              <w:spacing w:after="0" w:line="20" w:lineRule="exact"/>
              <w:rPr>
                <w:sz w:val="1"/>
                <w:szCs w:val="1"/>
                <w:color w:val="auto"/>
              </w:rPr>
            </w:pPr>
          </w:p>
        </w:tc>
        <w:tc>
          <w:tcPr>
            <w:tcW w:w="170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220" w:type="dxa"/>
            <w:vAlign w:val="bottom"/>
            <w:tcBorders>
              <w:top w:val="single" w:sz="8" w:color="0000EE"/>
            </w:tcBorders>
            <w:shd w:val="clear" w:color="auto" w:fill="00C389"/>
          </w:tcPr>
          <w:p>
            <w:pPr>
              <w:spacing w:after="0" w:line="20" w:lineRule="exact"/>
              <w:rPr>
                <w:sz w:val="1"/>
                <w:szCs w:val="1"/>
                <w:color w:val="auto"/>
              </w:rPr>
            </w:pPr>
          </w:p>
        </w:tc>
        <w:tc>
          <w:tcPr>
            <w:tcW w:w="80" w:type="dxa"/>
            <w:vAlign w:val="bottom"/>
            <w:tcBorders>
              <w:top w:val="single" w:sz="8" w:color="0000EE"/>
            </w:tcBorders>
            <w:shd w:val="clear" w:color="auto" w:fill="00C389"/>
          </w:tcPr>
          <w:p>
            <w:pPr>
              <w:spacing w:after="0" w:line="20" w:lineRule="exact"/>
              <w:rPr>
                <w:sz w:val="1"/>
                <w:szCs w:val="1"/>
                <w:color w:val="auto"/>
              </w:rPr>
            </w:pPr>
          </w:p>
        </w:tc>
        <w:tc>
          <w:tcPr>
            <w:tcW w:w="20" w:type="dxa"/>
            <w:vAlign w:val="bottom"/>
            <w:tcBorders>
              <w:top w:val="single" w:sz="8" w:color="0000EE"/>
            </w:tcBorders>
            <w:shd w:val="clear" w:color="auto" w:fill="00C389"/>
          </w:tcPr>
          <w:p>
            <w:pPr>
              <w:spacing w:after="0" w:line="20" w:lineRule="exact"/>
              <w:rPr>
                <w:sz w:val="1"/>
                <w:szCs w:val="1"/>
                <w:color w:val="auto"/>
              </w:rPr>
            </w:pPr>
          </w:p>
        </w:tc>
        <w:tc>
          <w:tcPr>
            <w:tcW w:w="40" w:type="dxa"/>
            <w:vAlign w:val="bottom"/>
            <w:tcBorders>
              <w:top w:val="single" w:sz="8" w:color="0000EE"/>
            </w:tcBorders>
            <w:shd w:val="clear" w:color="auto" w:fill="00C389"/>
          </w:tcPr>
          <w:p>
            <w:pPr>
              <w:spacing w:after="0" w:line="20" w:lineRule="exact"/>
              <w:rPr>
                <w:sz w:val="1"/>
                <w:szCs w:val="1"/>
                <w:color w:val="auto"/>
              </w:rPr>
            </w:pPr>
          </w:p>
        </w:tc>
        <w:tc>
          <w:tcPr>
            <w:tcW w:w="200" w:type="dxa"/>
            <w:vAlign w:val="bottom"/>
            <w:tcBorders>
              <w:top w:val="single" w:sz="8" w:color="0000EE"/>
            </w:tcBorders>
            <w:shd w:val="clear" w:color="auto" w:fill="00C389"/>
          </w:tcPr>
          <w:p>
            <w:pPr>
              <w:spacing w:after="0" w:line="20" w:lineRule="exact"/>
              <w:rPr>
                <w:sz w:val="1"/>
                <w:szCs w:val="1"/>
                <w:color w:val="auto"/>
              </w:rPr>
            </w:pPr>
          </w:p>
        </w:tc>
        <w:tc>
          <w:tcPr>
            <w:tcW w:w="6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360" w:type="dxa"/>
            <w:vAlign w:val="bottom"/>
            <w:tcBorders>
              <w:top w:val="single" w:sz="8" w:color="CCEEFF"/>
            </w:tcBorders>
            <w:shd w:val="clear" w:color="auto" w:fill="00C389"/>
          </w:tcPr>
          <w:p>
            <w:pPr>
              <w:spacing w:after="0" w:line="20" w:lineRule="exact"/>
              <w:rPr>
                <w:sz w:val="1"/>
                <w:szCs w:val="1"/>
                <w:color w:val="auto"/>
              </w:rPr>
            </w:pPr>
          </w:p>
        </w:tc>
        <w:tc>
          <w:tcPr>
            <w:tcW w:w="160" w:type="dxa"/>
            <w:vAlign w:val="bottom"/>
            <w:tcBorders>
              <w:top w:val="single" w:sz="8" w:color="CCEEFF"/>
            </w:tcBorders>
            <w:shd w:val="clear" w:color="auto" w:fill="00C389"/>
          </w:tcPr>
          <w:p>
            <w:pPr>
              <w:spacing w:after="0" w:line="20" w:lineRule="exact"/>
              <w:rPr>
                <w:sz w:val="1"/>
                <w:szCs w:val="1"/>
                <w:color w:val="auto"/>
              </w:rPr>
            </w:pPr>
          </w:p>
        </w:tc>
        <w:tc>
          <w:tcPr>
            <w:tcW w:w="640" w:type="dxa"/>
            <w:vAlign w:val="bottom"/>
            <w:tcBorders>
              <w:top w:val="single" w:sz="8" w:color="CCEEFF"/>
            </w:tcBorders>
            <w:shd w:val="clear" w:color="auto" w:fill="00C389"/>
          </w:tcPr>
          <w:p>
            <w:pPr>
              <w:spacing w:after="0" w:line="20" w:lineRule="exact"/>
              <w:rPr>
                <w:sz w:val="1"/>
                <w:szCs w:val="1"/>
                <w:color w:val="auto"/>
              </w:rPr>
            </w:pPr>
          </w:p>
        </w:tc>
        <w:tc>
          <w:tcPr>
            <w:tcW w:w="1440" w:type="dxa"/>
            <w:vAlign w:val="bottom"/>
            <w:tcBorders>
              <w:top w:val="single" w:sz="8" w:color="CCEEFF"/>
            </w:tcBorders>
            <w:shd w:val="clear" w:color="auto" w:fill="00C389"/>
          </w:tcPr>
          <w:p>
            <w:pPr>
              <w:spacing w:after="0" w:line="20" w:lineRule="exact"/>
              <w:rPr>
                <w:sz w:val="1"/>
                <w:szCs w:val="1"/>
                <w:color w:val="auto"/>
              </w:rPr>
            </w:pPr>
          </w:p>
        </w:tc>
        <w:tc>
          <w:tcPr>
            <w:tcW w:w="980" w:type="dxa"/>
            <w:vAlign w:val="bottom"/>
            <w:tcBorders>
              <w:top w:val="single" w:sz="8" w:color="CCEEFF"/>
            </w:tcBorders>
            <w:shd w:val="clear" w:color="auto" w:fill="00C389"/>
          </w:tcPr>
          <w:p>
            <w:pPr>
              <w:spacing w:after="0" w:line="20" w:lineRule="exact"/>
              <w:rPr>
                <w:sz w:val="1"/>
                <w:szCs w:val="1"/>
                <w:color w:val="auto"/>
              </w:rPr>
            </w:pPr>
          </w:p>
        </w:tc>
        <w:tc>
          <w:tcPr>
            <w:tcW w:w="76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7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r>
      <w:tr>
        <w:trPr>
          <w:trHeight w:val="196"/>
        </w:trPr>
        <w:tc>
          <w:tcPr>
            <w:tcW w:w="870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PROPOSAL 3: RATIFICATION OF APPOINTMENT OF INDEPENDENT REGISTERED PUBLIC</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ACCOUNTING FIRM</w:t>
              </w:r>
            </w:hyperlink>
          </w:p>
        </w:tc>
        <w:tc>
          <w:tcPr>
            <w:tcW w:w="1060" w:type="dxa"/>
            <w:vAlign w:val="bottom"/>
            <w:gridSpan w:val="2"/>
          </w:tcPr>
          <w:p>
            <w:pPr>
              <w:spacing w:after="0"/>
              <w:rPr>
                <w:sz w:val="17"/>
                <w:szCs w:val="17"/>
                <w:color w:val="auto"/>
              </w:rPr>
            </w:pPr>
          </w:p>
        </w:tc>
        <w:tc>
          <w:tcPr>
            <w:tcW w:w="48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48"/>
        </w:trPr>
        <w:tc>
          <w:tcPr>
            <w:tcW w:w="180" w:type="dxa"/>
            <w:vAlign w:val="bottom"/>
            <w:tcBorders>
              <w:bottom w:val="single" w:sz="8" w:color="00C389"/>
            </w:tcBorders>
          </w:tcPr>
          <w:p>
            <w:pPr>
              <w:spacing w:after="0"/>
              <w:rPr>
                <w:sz w:val="4"/>
                <w:szCs w:val="4"/>
                <w:color w:val="auto"/>
              </w:rPr>
            </w:pPr>
          </w:p>
        </w:tc>
        <w:tc>
          <w:tcPr>
            <w:tcW w:w="1700" w:type="dxa"/>
            <w:vAlign w:val="bottom"/>
            <w:tcBorders>
              <w:top w:val="single" w:sz="8" w:color="0000EE"/>
              <w:bottom w:val="single" w:sz="8" w:color="00C389"/>
            </w:tcBorders>
          </w:tcPr>
          <w:p>
            <w:pPr>
              <w:spacing w:after="0"/>
              <w:rPr>
                <w:sz w:val="4"/>
                <w:szCs w:val="4"/>
                <w:color w:val="auto"/>
              </w:rPr>
            </w:pPr>
          </w:p>
        </w:tc>
        <w:tc>
          <w:tcPr>
            <w:tcW w:w="260" w:type="dxa"/>
            <w:vAlign w:val="bottom"/>
            <w:tcBorders>
              <w:bottom w:val="single" w:sz="8" w:color="00C389"/>
            </w:tcBorders>
          </w:tcPr>
          <w:p>
            <w:pPr>
              <w:spacing w:after="0"/>
              <w:rPr>
                <w:sz w:val="4"/>
                <w:szCs w:val="4"/>
                <w:color w:val="auto"/>
              </w:rPr>
            </w:pPr>
          </w:p>
        </w:tc>
        <w:tc>
          <w:tcPr>
            <w:tcW w:w="220" w:type="dxa"/>
            <w:vAlign w:val="bottom"/>
            <w:tcBorders>
              <w:bottom w:val="single" w:sz="8" w:color="00C389"/>
            </w:tcBorders>
          </w:tcPr>
          <w:p>
            <w:pPr>
              <w:spacing w:after="0"/>
              <w:rPr>
                <w:sz w:val="4"/>
                <w:szCs w:val="4"/>
                <w:color w:val="auto"/>
              </w:rPr>
            </w:pPr>
          </w:p>
        </w:tc>
        <w:tc>
          <w:tcPr>
            <w:tcW w:w="80" w:type="dxa"/>
            <w:vAlign w:val="bottom"/>
            <w:tcBorders>
              <w:bottom w:val="single" w:sz="8" w:color="00C389"/>
            </w:tcBorders>
          </w:tcPr>
          <w:p>
            <w:pPr>
              <w:spacing w:after="0"/>
              <w:rPr>
                <w:sz w:val="4"/>
                <w:szCs w:val="4"/>
                <w:color w:val="auto"/>
              </w:rPr>
            </w:pPr>
          </w:p>
        </w:tc>
        <w:tc>
          <w:tcPr>
            <w:tcW w:w="20" w:type="dxa"/>
            <w:vAlign w:val="bottom"/>
            <w:tcBorders>
              <w:bottom w:val="single" w:sz="8" w:color="00C389"/>
            </w:tcBorders>
          </w:tcPr>
          <w:p>
            <w:pPr>
              <w:spacing w:after="0"/>
              <w:rPr>
                <w:sz w:val="4"/>
                <w:szCs w:val="4"/>
                <w:color w:val="auto"/>
              </w:rPr>
            </w:pPr>
          </w:p>
        </w:tc>
        <w:tc>
          <w:tcPr>
            <w:tcW w:w="40" w:type="dxa"/>
            <w:vAlign w:val="bottom"/>
            <w:tcBorders>
              <w:bottom w:val="single" w:sz="8" w:color="00C389"/>
            </w:tcBorders>
          </w:tcPr>
          <w:p>
            <w:pPr>
              <w:spacing w:after="0"/>
              <w:rPr>
                <w:sz w:val="4"/>
                <w:szCs w:val="4"/>
                <w:color w:val="auto"/>
              </w:rPr>
            </w:pPr>
          </w:p>
        </w:tc>
        <w:tc>
          <w:tcPr>
            <w:tcW w:w="200" w:type="dxa"/>
            <w:vAlign w:val="bottom"/>
            <w:tcBorders>
              <w:bottom w:val="single" w:sz="8" w:color="00C389"/>
            </w:tcBorders>
          </w:tcPr>
          <w:p>
            <w:pPr>
              <w:spacing w:after="0"/>
              <w:rPr>
                <w:sz w:val="4"/>
                <w:szCs w:val="4"/>
                <w:color w:val="auto"/>
              </w:rPr>
            </w:pPr>
          </w:p>
        </w:tc>
        <w:tc>
          <w:tcPr>
            <w:tcW w:w="60" w:type="dxa"/>
            <w:vAlign w:val="bottom"/>
            <w:tcBorders>
              <w:bottom w:val="single" w:sz="8" w:color="00C389"/>
            </w:tcBorders>
          </w:tcPr>
          <w:p>
            <w:pPr>
              <w:spacing w:after="0"/>
              <w:rPr>
                <w:sz w:val="4"/>
                <w:szCs w:val="4"/>
                <w:color w:val="auto"/>
              </w:rPr>
            </w:pPr>
          </w:p>
        </w:tc>
        <w:tc>
          <w:tcPr>
            <w:tcW w:w="260" w:type="dxa"/>
            <w:vAlign w:val="bottom"/>
            <w:tcBorders>
              <w:bottom w:val="single" w:sz="8" w:color="00C389"/>
            </w:tcBorders>
          </w:tcPr>
          <w:p>
            <w:pPr>
              <w:spacing w:after="0"/>
              <w:rPr>
                <w:sz w:val="4"/>
                <w:szCs w:val="4"/>
                <w:color w:val="auto"/>
              </w:rPr>
            </w:pPr>
          </w:p>
        </w:tc>
        <w:tc>
          <w:tcPr>
            <w:tcW w:w="360" w:type="dxa"/>
            <w:vAlign w:val="bottom"/>
            <w:tcBorders>
              <w:bottom w:val="single" w:sz="8" w:color="00C389"/>
            </w:tcBorders>
          </w:tcPr>
          <w:p>
            <w:pPr>
              <w:spacing w:after="0"/>
              <w:rPr>
                <w:sz w:val="4"/>
                <w:szCs w:val="4"/>
                <w:color w:val="auto"/>
              </w:rPr>
            </w:pPr>
          </w:p>
        </w:tc>
        <w:tc>
          <w:tcPr>
            <w:tcW w:w="160" w:type="dxa"/>
            <w:vAlign w:val="bottom"/>
            <w:tcBorders>
              <w:bottom w:val="single" w:sz="8" w:color="00C389"/>
            </w:tcBorders>
          </w:tcPr>
          <w:p>
            <w:pPr>
              <w:spacing w:after="0"/>
              <w:rPr>
                <w:sz w:val="4"/>
                <w:szCs w:val="4"/>
                <w:color w:val="auto"/>
              </w:rPr>
            </w:pPr>
          </w:p>
        </w:tc>
        <w:tc>
          <w:tcPr>
            <w:tcW w:w="640" w:type="dxa"/>
            <w:vAlign w:val="bottom"/>
            <w:tcBorders>
              <w:bottom w:val="single" w:sz="8" w:color="00C389"/>
            </w:tcBorders>
          </w:tcPr>
          <w:p>
            <w:pPr>
              <w:spacing w:after="0"/>
              <w:rPr>
                <w:sz w:val="4"/>
                <w:szCs w:val="4"/>
                <w:color w:val="auto"/>
              </w:rPr>
            </w:pPr>
          </w:p>
        </w:tc>
        <w:tc>
          <w:tcPr>
            <w:tcW w:w="1440" w:type="dxa"/>
            <w:vAlign w:val="bottom"/>
            <w:tcBorders>
              <w:bottom w:val="single" w:sz="8" w:color="00C389"/>
            </w:tcBorders>
          </w:tcPr>
          <w:p>
            <w:pPr>
              <w:spacing w:after="0"/>
              <w:rPr>
                <w:sz w:val="4"/>
                <w:szCs w:val="4"/>
                <w:color w:val="auto"/>
              </w:rPr>
            </w:pPr>
          </w:p>
        </w:tc>
        <w:tc>
          <w:tcPr>
            <w:tcW w:w="980" w:type="dxa"/>
            <w:vAlign w:val="bottom"/>
            <w:tcBorders>
              <w:bottom w:val="single" w:sz="8" w:color="00C389"/>
            </w:tcBorders>
          </w:tcPr>
          <w:p>
            <w:pPr>
              <w:spacing w:after="0"/>
              <w:rPr>
                <w:sz w:val="4"/>
                <w:szCs w:val="4"/>
                <w:color w:val="auto"/>
              </w:rPr>
            </w:pPr>
          </w:p>
        </w:tc>
        <w:tc>
          <w:tcPr>
            <w:tcW w:w="760" w:type="dxa"/>
            <w:vAlign w:val="bottom"/>
            <w:tcBorders>
              <w:bottom w:val="single" w:sz="8" w:color="00C389"/>
            </w:tcBorders>
          </w:tcPr>
          <w:p>
            <w:pPr>
              <w:spacing w:after="0"/>
              <w:rPr>
                <w:sz w:val="4"/>
                <w:szCs w:val="4"/>
                <w:color w:val="auto"/>
              </w:rPr>
            </w:pPr>
          </w:p>
        </w:tc>
        <w:tc>
          <w:tcPr>
            <w:tcW w:w="280" w:type="dxa"/>
            <w:vAlign w:val="bottom"/>
            <w:tcBorders>
              <w:bottom w:val="single" w:sz="8" w:color="00C389"/>
            </w:tcBorders>
          </w:tcPr>
          <w:p>
            <w:pPr>
              <w:spacing w:after="0"/>
              <w:rPr>
                <w:sz w:val="4"/>
                <w:szCs w:val="4"/>
                <w:color w:val="auto"/>
              </w:rPr>
            </w:pPr>
          </w:p>
        </w:tc>
        <w:tc>
          <w:tcPr>
            <w:tcW w:w="780" w:type="dxa"/>
            <w:vAlign w:val="bottom"/>
            <w:tcBorders>
              <w:bottom w:val="single" w:sz="8" w:color="00C389"/>
            </w:tcBorders>
          </w:tcPr>
          <w:p>
            <w:pPr>
              <w:spacing w:after="0"/>
              <w:rPr>
                <w:sz w:val="4"/>
                <w:szCs w:val="4"/>
                <w:color w:val="auto"/>
              </w:rPr>
            </w:pPr>
          </w:p>
        </w:tc>
        <w:tc>
          <w:tcPr>
            <w:tcW w:w="280" w:type="dxa"/>
            <w:vAlign w:val="bottom"/>
            <w:tcBorders>
              <w:bottom w:val="single" w:sz="8" w:color="00C389"/>
            </w:tcBorders>
          </w:tcPr>
          <w:p>
            <w:pPr>
              <w:spacing w:after="0"/>
              <w:rPr>
                <w:sz w:val="4"/>
                <w:szCs w:val="4"/>
                <w:color w:val="auto"/>
              </w:rPr>
            </w:pPr>
          </w:p>
        </w:tc>
        <w:tc>
          <w:tcPr>
            <w:tcW w:w="280" w:type="dxa"/>
            <w:vAlign w:val="bottom"/>
            <w:tcBorders>
              <w:bottom w:val="single" w:sz="8" w:color="00C389"/>
            </w:tcBorders>
          </w:tcPr>
          <w:p>
            <w:pPr>
              <w:spacing w:after="0"/>
              <w:rPr>
                <w:sz w:val="4"/>
                <w:szCs w:val="4"/>
                <w:color w:val="auto"/>
              </w:rPr>
            </w:pPr>
          </w:p>
        </w:tc>
        <w:tc>
          <w:tcPr>
            <w:tcW w:w="100" w:type="dxa"/>
            <w:vAlign w:val="bottom"/>
            <w:tcBorders>
              <w:top w:val="single" w:sz="8" w:color="0000EE"/>
              <w:bottom w:val="single" w:sz="8" w:color="00C389"/>
            </w:tcBorders>
          </w:tcPr>
          <w:p>
            <w:pPr>
              <w:spacing w:after="0"/>
              <w:rPr>
                <w:sz w:val="4"/>
                <w:szCs w:val="4"/>
                <w:color w:val="auto"/>
              </w:rPr>
            </w:pPr>
          </w:p>
        </w:tc>
        <w:tc>
          <w:tcPr>
            <w:tcW w:w="100" w:type="dxa"/>
            <w:vAlign w:val="bottom"/>
            <w:tcBorders>
              <w:top w:val="single" w:sz="8" w:color="0000EE"/>
              <w:bottom w:val="single" w:sz="8" w:color="00C389"/>
            </w:tcBorders>
          </w:tcPr>
          <w:p>
            <w:pPr>
              <w:spacing w:after="0"/>
              <w:rPr>
                <w:sz w:val="4"/>
                <w:szCs w:val="4"/>
                <w:color w:val="auto"/>
              </w:rPr>
            </w:pPr>
          </w:p>
        </w:tc>
      </w:tr>
      <w:tr>
        <w:trPr>
          <w:trHeight w:val="263"/>
        </w:trPr>
        <w:tc>
          <w:tcPr>
            <w:tcW w:w="8700" w:type="dxa"/>
            <w:vAlign w:val="bottom"/>
            <w:gridSpan w:val="19"/>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INFORMATION REGARDING INDEPENDENT REGISTERED PUBLIC ACCOUNTING FIRM</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9"/>
        </w:trPr>
        <w:tc>
          <w:tcPr>
            <w:tcW w:w="7360" w:type="dxa"/>
            <w:vAlign w:val="bottom"/>
            <w:tcBorders>
              <w:top w:val="single" w:sz="8" w:color="0000EE"/>
            </w:tcBorders>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AUDIT COMMITTEE REPORT</w:t>
              </w:r>
            </w:hyperlink>
          </w:p>
        </w:tc>
        <w:tc>
          <w:tcPr>
            <w:tcW w:w="1340" w:type="dxa"/>
            <w:vAlign w:val="bottom"/>
            <w:tcBorders>
              <w:top w:val="single" w:sz="8" w:color="00C389"/>
            </w:tcBorders>
            <w:gridSpan w:val="3"/>
          </w:tcPr>
          <w:p>
            <w:pPr>
              <w:spacing w:after="0"/>
              <w:rPr>
                <w:sz w:val="18"/>
                <w:szCs w:val="18"/>
                <w:color w:val="auto"/>
              </w:rPr>
            </w:pPr>
          </w:p>
        </w:tc>
        <w:tc>
          <w:tcPr>
            <w:tcW w:w="280" w:type="dxa"/>
            <w:vAlign w:val="bottom"/>
            <w:tcBorders>
              <w:top w:val="single" w:sz="8" w:color="00C389"/>
            </w:tcBorders>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r>
      <w:tr>
        <w:trPr>
          <w:trHeight w:val="34"/>
        </w:trPr>
        <w:tc>
          <w:tcPr>
            <w:tcW w:w="180" w:type="dxa"/>
            <w:vAlign w:val="bottom"/>
            <w:tcBorders>
              <w:top w:val="single" w:sz="8" w:color="0000EE"/>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bottom w:val="single" w:sz="8" w:color="00C389"/>
            </w:tcBorders>
          </w:tcPr>
          <w:p>
            <w:pPr>
              <w:spacing w:after="0"/>
              <w:rPr>
                <w:sz w:val="2"/>
                <w:szCs w:val="2"/>
                <w:color w:val="auto"/>
              </w:rPr>
            </w:pPr>
          </w:p>
        </w:tc>
        <w:tc>
          <w:tcPr>
            <w:tcW w:w="200" w:type="dxa"/>
            <w:vAlign w:val="bottom"/>
            <w:tcBorders>
              <w:bottom w:val="single" w:sz="8" w:color="00C389"/>
            </w:tcBorders>
          </w:tcPr>
          <w:p>
            <w:pPr>
              <w:spacing w:after="0"/>
              <w:rPr>
                <w:sz w:val="2"/>
                <w:szCs w:val="2"/>
                <w:color w:val="auto"/>
              </w:rPr>
            </w:pPr>
          </w:p>
        </w:tc>
        <w:tc>
          <w:tcPr>
            <w:tcW w:w="60" w:type="dxa"/>
            <w:vAlign w:val="bottom"/>
            <w:tcBorders>
              <w:bottom w:val="single" w:sz="8" w:color="00C389"/>
            </w:tcBorders>
          </w:tcPr>
          <w:p>
            <w:pPr>
              <w:spacing w:after="0"/>
              <w:rPr>
                <w:sz w:val="2"/>
                <w:szCs w:val="2"/>
                <w:color w:val="auto"/>
              </w:rPr>
            </w:pPr>
          </w:p>
        </w:tc>
        <w:tc>
          <w:tcPr>
            <w:tcW w:w="260" w:type="dxa"/>
            <w:vAlign w:val="bottom"/>
            <w:tcBorders>
              <w:bottom w:val="single" w:sz="8" w:color="00C389"/>
            </w:tcBorders>
          </w:tcPr>
          <w:p>
            <w:pPr>
              <w:spacing w:after="0"/>
              <w:rPr>
                <w:sz w:val="2"/>
                <w:szCs w:val="2"/>
                <w:color w:val="auto"/>
              </w:rPr>
            </w:pPr>
          </w:p>
        </w:tc>
        <w:tc>
          <w:tcPr>
            <w:tcW w:w="360" w:type="dxa"/>
            <w:vAlign w:val="bottom"/>
            <w:tcBorders>
              <w:bottom w:val="single" w:sz="8" w:color="00C389"/>
            </w:tcBorders>
          </w:tcPr>
          <w:p>
            <w:pPr>
              <w:spacing w:after="0"/>
              <w:rPr>
                <w:sz w:val="2"/>
                <w:szCs w:val="2"/>
                <w:color w:val="auto"/>
              </w:rPr>
            </w:pPr>
          </w:p>
        </w:tc>
        <w:tc>
          <w:tcPr>
            <w:tcW w:w="160" w:type="dxa"/>
            <w:vAlign w:val="bottom"/>
            <w:tcBorders>
              <w:bottom w:val="single" w:sz="8" w:color="00C389"/>
            </w:tcBorders>
          </w:tcPr>
          <w:p>
            <w:pPr>
              <w:spacing w:after="0"/>
              <w:rPr>
                <w:sz w:val="2"/>
                <w:szCs w:val="2"/>
                <w:color w:val="auto"/>
              </w:rPr>
            </w:pPr>
          </w:p>
        </w:tc>
        <w:tc>
          <w:tcPr>
            <w:tcW w:w="640" w:type="dxa"/>
            <w:vAlign w:val="bottom"/>
            <w:tcBorders>
              <w:bottom w:val="single" w:sz="8" w:color="00C389"/>
            </w:tcBorders>
          </w:tcPr>
          <w:p>
            <w:pPr>
              <w:spacing w:after="0"/>
              <w:rPr>
                <w:sz w:val="2"/>
                <w:szCs w:val="2"/>
                <w:color w:val="auto"/>
              </w:rPr>
            </w:pPr>
          </w:p>
        </w:tc>
        <w:tc>
          <w:tcPr>
            <w:tcW w:w="144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63"/>
        </w:trPr>
        <w:tc>
          <w:tcPr>
            <w:tcW w:w="8700" w:type="dxa"/>
            <w:vAlign w:val="bottom"/>
            <w:gridSpan w:val="19"/>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STOCK OWNERSHIP OF CERTAIN BENEFICIAL OWNERS AND MANAGEMENT</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10"/>
        </w:trPr>
        <w:tc>
          <w:tcPr>
            <w:tcW w:w="6600" w:type="dxa"/>
            <w:vAlign w:val="bottom"/>
            <w:tcBorders>
              <w:top w:val="single" w:sz="8" w:color="0000EE"/>
            </w:tcBorders>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PARTY TRANSACTIONS</w:t>
              </w:r>
            </w:hyperlink>
          </w:p>
        </w:tc>
        <w:tc>
          <w:tcPr>
            <w:tcW w:w="2100" w:type="dxa"/>
            <w:vAlign w:val="bottom"/>
            <w:tcBorders>
              <w:top w:val="single" w:sz="8" w:color="00C389"/>
            </w:tcBorders>
            <w:gridSpan w:val="4"/>
          </w:tcPr>
          <w:p>
            <w:pPr>
              <w:spacing w:after="0"/>
              <w:rPr>
                <w:sz w:val="18"/>
                <w:szCs w:val="18"/>
                <w:color w:val="auto"/>
              </w:rPr>
            </w:pPr>
          </w:p>
        </w:tc>
        <w:tc>
          <w:tcPr>
            <w:tcW w:w="280" w:type="dxa"/>
            <w:vAlign w:val="bottom"/>
            <w:tcBorders>
              <w:top w:val="single" w:sz="8" w:color="00C389"/>
            </w:tcBorders>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r>
      <w:tr>
        <w:trPr>
          <w:trHeight w:val="34"/>
        </w:trPr>
        <w:tc>
          <w:tcPr>
            <w:tcW w:w="180" w:type="dxa"/>
            <w:vAlign w:val="bottom"/>
            <w:tcBorders>
              <w:top w:val="single" w:sz="8" w:color="0000EE"/>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top w:val="single" w:sz="8" w:color="0000EE"/>
              <w:bottom w:val="single" w:sz="8" w:color="00C389"/>
            </w:tcBorders>
          </w:tcPr>
          <w:p>
            <w:pPr>
              <w:spacing w:after="0"/>
              <w:rPr>
                <w:sz w:val="2"/>
                <w:szCs w:val="2"/>
                <w:color w:val="auto"/>
              </w:rPr>
            </w:pPr>
          </w:p>
        </w:tc>
        <w:tc>
          <w:tcPr>
            <w:tcW w:w="20" w:type="dxa"/>
            <w:vAlign w:val="bottom"/>
            <w:tcBorders>
              <w:top w:val="single" w:sz="8" w:color="0000EE"/>
              <w:bottom w:val="single" w:sz="8" w:color="00C389"/>
            </w:tcBorders>
          </w:tcPr>
          <w:p>
            <w:pPr>
              <w:spacing w:after="0"/>
              <w:rPr>
                <w:sz w:val="2"/>
                <w:szCs w:val="2"/>
                <w:color w:val="auto"/>
              </w:rPr>
            </w:pPr>
          </w:p>
        </w:tc>
        <w:tc>
          <w:tcPr>
            <w:tcW w:w="40" w:type="dxa"/>
            <w:vAlign w:val="bottom"/>
            <w:tcBorders>
              <w:top w:val="single" w:sz="8" w:color="0000EE"/>
              <w:bottom w:val="single" w:sz="8" w:color="00C389"/>
            </w:tcBorders>
          </w:tcPr>
          <w:p>
            <w:pPr>
              <w:spacing w:after="0"/>
              <w:rPr>
                <w:sz w:val="2"/>
                <w:szCs w:val="2"/>
                <w:color w:val="auto"/>
              </w:rPr>
            </w:pPr>
          </w:p>
        </w:tc>
        <w:tc>
          <w:tcPr>
            <w:tcW w:w="200" w:type="dxa"/>
            <w:vAlign w:val="bottom"/>
            <w:tcBorders>
              <w:top w:val="single" w:sz="8" w:color="0000EE"/>
              <w:bottom w:val="single" w:sz="8" w:color="00C389"/>
            </w:tcBorders>
          </w:tcPr>
          <w:p>
            <w:pPr>
              <w:spacing w:after="0"/>
              <w:rPr>
                <w:sz w:val="2"/>
                <w:szCs w:val="2"/>
                <w:color w:val="auto"/>
              </w:rPr>
            </w:pPr>
          </w:p>
        </w:tc>
        <w:tc>
          <w:tcPr>
            <w:tcW w:w="6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360" w:type="dxa"/>
            <w:vAlign w:val="bottom"/>
            <w:tcBorders>
              <w:top w:val="single" w:sz="8" w:color="0000EE"/>
              <w:bottom w:val="single" w:sz="8" w:color="00C389"/>
            </w:tcBorders>
          </w:tcPr>
          <w:p>
            <w:pPr>
              <w:spacing w:after="0"/>
              <w:rPr>
                <w:sz w:val="2"/>
                <w:szCs w:val="2"/>
                <w:color w:val="auto"/>
              </w:rPr>
            </w:pPr>
          </w:p>
        </w:tc>
        <w:tc>
          <w:tcPr>
            <w:tcW w:w="160" w:type="dxa"/>
            <w:vAlign w:val="bottom"/>
            <w:tcBorders>
              <w:top w:val="single" w:sz="8" w:color="0000EE"/>
              <w:bottom w:val="single" w:sz="8" w:color="00C389"/>
            </w:tcBorders>
          </w:tcPr>
          <w:p>
            <w:pPr>
              <w:spacing w:after="0"/>
              <w:rPr>
                <w:sz w:val="2"/>
                <w:szCs w:val="2"/>
                <w:color w:val="auto"/>
              </w:rPr>
            </w:pPr>
          </w:p>
        </w:tc>
        <w:tc>
          <w:tcPr>
            <w:tcW w:w="640" w:type="dxa"/>
            <w:vAlign w:val="bottom"/>
            <w:tcBorders>
              <w:top w:val="single" w:sz="8" w:color="0000EE"/>
              <w:bottom w:val="single" w:sz="8" w:color="00C389"/>
            </w:tcBorders>
          </w:tcPr>
          <w:p>
            <w:pPr>
              <w:spacing w:after="0"/>
              <w:rPr>
                <w:sz w:val="2"/>
                <w:szCs w:val="2"/>
                <w:color w:val="auto"/>
              </w:rPr>
            </w:pPr>
          </w:p>
        </w:tc>
        <w:tc>
          <w:tcPr>
            <w:tcW w:w="1440" w:type="dxa"/>
            <w:vAlign w:val="bottom"/>
            <w:tcBorders>
              <w:top w:val="single" w:sz="8" w:color="0000EE"/>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64"/>
        </w:trPr>
        <w:tc>
          <w:tcPr>
            <w:tcW w:w="8700" w:type="dxa"/>
            <w:vAlign w:val="bottom"/>
            <w:gridSpan w:val="19"/>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DELINQUENT SECTION 16(a) REPORTS</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9"/>
        </w:trPr>
        <w:tc>
          <w:tcPr>
            <w:tcW w:w="3380" w:type="dxa"/>
            <w:vAlign w:val="bottom"/>
            <w:tcBorders>
              <w:top w:val="single" w:sz="8" w:color="0000EE"/>
            </w:tcBorders>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ADDITIONAL INFORMATION</w:t>
              </w:r>
            </w:hyperlink>
          </w:p>
        </w:tc>
        <w:tc>
          <w:tcPr>
            <w:tcW w:w="5320" w:type="dxa"/>
            <w:vAlign w:val="bottom"/>
            <w:tcBorders>
              <w:top w:val="single" w:sz="8" w:color="00C389"/>
            </w:tcBorders>
            <w:gridSpan w:val="8"/>
          </w:tcPr>
          <w:p>
            <w:pPr>
              <w:spacing w:after="0"/>
              <w:rPr>
                <w:sz w:val="18"/>
                <w:szCs w:val="18"/>
                <w:color w:val="auto"/>
              </w:rPr>
            </w:pPr>
          </w:p>
        </w:tc>
        <w:tc>
          <w:tcPr>
            <w:tcW w:w="280" w:type="dxa"/>
            <w:vAlign w:val="bottom"/>
            <w:tcBorders>
              <w:top w:val="single" w:sz="8" w:color="00C389"/>
            </w:tcBorders>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r>
      <w:tr>
        <w:trPr>
          <w:trHeight w:val="34"/>
        </w:trPr>
        <w:tc>
          <w:tcPr>
            <w:tcW w:w="180" w:type="dxa"/>
            <w:vAlign w:val="bottom"/>
            <w:tcBorders>
              <w:top w:val="single" w:sz="8" w:color="0000EE"/>
              <w:bottom w:val="single" w:sz="8" w:color="00C389"/>
            </w:tcBorders>
          </w:tcPr>
          <w:p>
            <w:pPr>
              <w:spacing w:after="0"/>
              <w:rPr>
                <w:sz w:val="2"/>
                <w:szCs w:val="2"/>
                <w:color w:val="auto"/>
              </w:rPr>
            </w:pPr>
          </w:p>
        </w:tc>
        <w:tc>
          <w:tcPr>
            <w:tcW w:w="1700" w:type="dxa"/>
            <w:vAlign w:val="bottom"/>
            <w:tcBorders>
              <w:top w:val="single" w:sz="8" w:color="0000EE"/>
              <w:bottom w:val="single" w:sz="8" w:color="00C389"/>
            </w:tcBorders>
          </w:tcPr>
          <w:p>
            <w:pPr>
              <w:spacing w:after="0"/>
              <w:rPr>
                <w:sz w:val="2"/>
                <w:szCs w:val="2"/>
                <w:color w:val="auto"/>
              </w:rPr>
            </w:pPr>
          </w:p>
        </w:tc>
        <w:tc>
          <w:tcPr>
            <w:tcW w:w="260" w:type="dxa"/>
            <w:vAlign w:val="bottom"/>
            <w:tcBorders>
              <w:top w:val="single" w:sz="8" w:color="0000EE"/>
              <w:bottom w:val="single" w:sz="8" w:color="00C389"/>
            </w:tcBorders>
          </w:tcPr>
          <w:p>
            <w:pPr>
              <w:spacing w:after="0"/>
              <w:rPr>
                <w:sz w:val="2"/>
                <w:szCs w:val="2"/>
                <w:color w:val="auto"/>
              </w:rPr>
            </w:pPr>
          </w:p>
        </w:tc>
        <w:tc>
          <w:tcPr>
            <w:tcW w:w="220" w:type="dxa"/>
            <w:vAlign w:val="bottom"/>
            <w:tcBorders>
              <w:top w:val="single" w:sz="8" w:color="0000EE"/>
              <w:bottom w:val="single" w:sz="8" w:color="00C389"/>
            </w:tcBorders>
          </w:tcPr>
          <w:p>
            <w:pPr>
              <w:spacing w:after="0"/>
              <w:rPr>
                <w:sz w:val="2"/>
                <w:szCs w:val="2"/>
                <w:color w:val="auto"/>
              </w:rPr>
            </w:pPr>
          </w:p>
        </w:tc>
        <w:tc>
          <w:tcPr>
            <w:tcW w:w="80" w:type="dxa"/>
            <w:vAlign w:val="bottom"/>
            <w:tcBorders>
              <w:bottom w:val="single" w:sz="8" w:color="00C389"/>
            </w:tcBorders>
          </w:tcPr>
          <w:p>
            <w:pPr>
              <w:spacing w:after="0"/>
              <w:rPr>
                <w:sz w:val="2"/>
                <w:szCs w:val="2"/>
                <w:color w:val="auto"/>
              </w:rPr>
            </w:pPr>
          </w:p>
        </w:tc>
        <w:tc>
          <w:tcPr>
            <w:tcW w:w="20" w:type="dxa"/>
            <w:vAlign w:val="bottom"/>
            <w:tcBorders>
              <w:bottom w:val="single" w:sz="8" w:color="00C389"/>
            </w:tcBorders>
          </w:tcPr>
          <w:p>
            <w:pPr>
              <w:spacing w:after="0"/>
              <w:rPr>
                <w:sz w:val="2"/>
                <w:szCs w:val="2"/>
                <w:color w:val="auto"/>
              </w:rPr>
            </w:pPr>
          </w:p>
        </w:tc>
        <w:tc>
          <w:tcPr>
            <w:tcW w:w="40" w:type="dxa"/>
            <w:vAlign w:val="bottom"/>
            <w:tcBorders>
              <w:bottom w:val="single" w:sz="8" w:color="00C389"/>
            </w:tcBorders>
          </w:tcPr>
          <w:p>
            <w:pPr>
              <w:spacing w:after="0"/>
              <w:rPr>
                <w:sz w:val="2"/>
                <w:szCs w:val="2"/>
                <w:color w:val="auto"/>
              </w:rPr>
            </w:pPr>
          </w:p>
        </w:tc>
        <w:tc>
          <w:tcPr>
            <w:tcW w:w="200" w:type="dxa"/>
            <w:vAlign w:val="bottom"/>
            <w:tcBorders>
              <w:bottom w:val="single" w:sz="8" w:color="00C389"/>
            </w:tcBorders>
          </w:tcPr>
          <w:p>
            <w:pPr>
              <w:spacing w:after="0"/>
              <w:rPr>
                <w:sz w:val="2"/>
                <w:szCs w:val="2"/>
                <w:color w:val="auto"/>
              </w:rPr>
            </w:pPr>
          </w:p>
        </w:tc>
        <w:tc>
          <w:tcPr>
            <w:tcW w:w="60" w:type="dxa"/>
            <w:vAlign w:val="bottom"/>
            <w:tcBorders>
              <w:bottom w:val="single" w:sz="8" w:color="00C389"/>
            </w:tcBorders>
          </w:tcPr>
          <w:p>
            <w:pPr>
              <w:spacing w:after="0"/>
              <w:rPr>
                <w:sz w:val="2"/>
                <w:szCs w:val="2"/>
                <w:color w:val="auto"/>
              </w:rPr>
            </w:pPr>
          </w:p>
        </w:tc>
        <w:tc>
          <w:tcPr>
            <w:tcW w:w="260" w:type="dxa"/>
            <w:vAlign w:val="bottom"/>
            <w:tcBorders>
              <w:bottom w:val="single" w:sz="8" w:color="00C389"/>
            </w:tcBorders>
          </w:tcPr>
          <w:p>
            <w:pPr>
              <w:spacing w:after="0"/>
              <w:rPr>
                <w:sz w:val="2"/>
                <w:szCs w:val="2"/>
                <w:color w:val="auto"/>
              </w:rPr>
            </w:pPr>
          </w:p>
        </w:tc>
        <w:tc>
          <w:tcPr>
            <w:tcW w:w="360" w:type="dxa"/>
            <w:vAlign w:val="bottom"/>
            <w:tcBorders>
              <w:bottom w:val="single" w:sz="8" w:color="00C389"/>
            </w:tcBorders>
          </w:tcPr>
          <w:p>
            <w:pPr>
              <w:spacing w:after="0"/>
              <w:rPr>
                <w:sz w:val="2"/>
                <w:szCs w:val="2"/>
                <w:color w:val="auto"/>
              </w:rPr>
            </w:pPr>
          </w:p>
        </w:tc>
        <w:tc>
          <w:tcPr>
            <w:tcW w:w="160" w:type="dxa"/>
            <w:vAlign w:val="bottom"/>
            <w:tcBorders>
              <w:bottom w:val="single" w:sz="8" w:color="00C389"/>
            </w:tcBorders>
          </w:tcPr>
          <w:p>
            <w:pPr>
              <w:spacing w:after="0"/>
              <w:rPr>
                <w:sz w:val="2"/>
                <w:szCs w:val="2"/>
                <w:color w:val="auto"/>
              </w:rPr>
            </w:pPr>
          </w:p>
        </w:tc>
        <w:tc>
          <w:tcPr>
            <w:tcW w:w="640" w:type="dxa"/>
            <w:vAlign w:val="bottom"/>
            <w:tcBorders>
              <w:bottom w:val="single" w:sz="8" w:color="00C389"/>
            </w:tcBorders>
          </w:tcPr>
          <w:p>
            <w:pPr>
              <w:spacing w:after="0"/>
              <w:rPr>
                <w:sz w:val="2"/>
                <w:szCs w:val="2"/>
                <w:color w:val="auto"/>
              </w:rPr>
            </w:pPr>
          </w:p>
        </w:tc>
        <w:tc>
          <w:tcPr>
            <w:tcW w:w="144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76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7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280" w:type="dxa"/>
            <w:vAlign w:val="bottom"/>
            <w:tcBorders>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c>
          <w:tcPr>
            <w:tcW w:w="100" w:type="dxa"/>
            <w:vAlign w:val="bottom"/>
            <w:tcBorders>
              <w:top w:val="single" w:sz="8" w:color="0000EE"/>
              <w:bottom w:val="single" w:sz="8" w:color="00C389"/>
            </w:tcBorders>
          </w:tcPr>
          <w:p>
            <w:pPr>
              <w:spacing w:after="0"/>
              <w:rPr>
                <w:sz w:val="2"/>
                <w:szCs w:val="2"/>
                <w:color w:val="auto"/>
              </w:rPr>
            </w:pPr>
          </w:p>
        </w:tc>
      </w:tr>
      <w:tr>
        <w:trPr>
          <w:trHeight w:val="243"/>
        </w:trPr>
        <w:tc>
          <w:tcPr>
            <w:tcW w:w="8700" w:type="dxa"/>
            <w:vAlign w:val="bottom"/>
            <w:gridSpan w:val="19"/>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GENERAL INFORMATION</w:t>
              </w:r>
            </w:hyperlink>
          </w:p>
        </w:tc>
        <w:tc>
          <w:tcPr>
            <w:tcW w:w="480" w:type="dxa"/>
            <w:vAlign w:val="bottom"/>
            <w:gridSpan w:val="3"/>
            <w:shd w:val="clear" w:color="auto" w:fill="CCEEFF"/>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0"/>
        </w:trPr>
        <w:tc>
          <w:tcPr>
            <w:tcW w:w="180" w:type="dxa"/>
            <w:vAlign w:val="bottom"/>
            <w:tcBorders>
              <w:top w:val="single" w:sz="8" w:color="0000EE"/>
            </w:tcBorders>
            <w:shd w:val="clear" w:color="auto" w:fill="00C389"/>
          </w:tcPr>
          <w:p>
            <w:pPr>
              <w:spacing w:after="0" w:line="20" w:lineRule="exact"/>
              <w:rPr>
                <w:sz w:val="1"/>
                <w:szCs w:val="1"/>
                <w:color w:val="auto"/>
              </w:rPr>
            </w:pPr>
          </w:p>
        </w:tc>
        <w:tc>
          <w:tcPr>
            <w:tcW w:w="1700" w:type="dxa"/>
            <w:vAlign w:val="bottom"/>
            <w:tcBorders>
              <w:top w:val="single" w:sz="8" w:color="0000EE"/>
            </w:tcBorders>
            <w:shd w:val="clear" w:color="auto" w:fill="00C389"/>
          </w:tcPr>
          <w:p>
            <w:pPr>
              <w:spacing w:after="0" w:line="20" w:lineRule="exact"/>
              <w:rPr>
                <w:sz w:val="1"/>
                <w:szCs w:val="1"/>
                <w:color w:val="auto"/>
              </w:rPr>
            </w:pPr>
          </w:p>
        </w:tc>
        <w:tc>
          <w:tcPr>
            <w:tcW w:w="260" w:type="dxa"/>
            <w:vAlign w:val="bottom"/>
            <w:tcBorders>
              <w:top w:val="single" w:sz="8" w:color="0000EE"/>
            </w:tcBorders>
            <w:shd w:val="clear" w:color="auto" w:fill="00C389"/>
          </w:tcPr>
          <w:p>
            <w:pPr>
              <w:spacing w:after="0" w:line="20" w:lineRule="exact"/>
              <w:rPr>
                <w:sz w:val="1"/>
                <w:szCs w:val="1"/>
                <w:color w:val="auto"/>
              </w:rPr>
            </w:pPr>
          </w:p>
        </w:tc>
        <w:tc>
          <w:tcPr>
            <w:tcW w:w="220" w:type="dxa"/>
            <w:vAlign w:val="bottom"/>
            <w:tcBorders>
              <w:top w:val="single" w:sz="8" w:color="CCEEFF"/>
            </w:tcBorders>
            <w:shd w:val="clear" w:color="auto" w:fill="00C389"/>
          </w:tcPr>
          <w:p>
            <w:pPr>
              <w:spacing w:after="0" w:line="20" w:lineRule="exact"/>
              <w:rPr>
                <w:sz w:val="1"/>
                <w:szCs w:val="1"/>
                <w:color w:val="auto"/>
              </w:rPr>
            </w:pPr>
          </w:p>
        </w:tc>
        <w:tc>
          <w:tcPr>
            <w:tcW w:w="80" w:type="dxa"/>
            <w:vAlign w:val="bottom"/>
            <w:tcBorders>
              <w:top w:val="single" w:sz="8" w:color="CCEEFF"/>
            </w:tcBorders>
            <w:shd w:val="clear" w:color="auto" w:fill="00C389"/>
          </w:tcPr>
          <w:p>
            <w:pPr>
              <w:spacing w:after="0" w:line="20" w:lineRule="exact"/>
              <w:rPr>
                <w:sz w:val="1"/>
                <w:szCs w:val="1"/>
                <w:color w:val="auto"/>
              </w:rPr>
            </w:pPr>
          </w:p>
        </w:tc>
        <w:tc>
          <w:tcPr>
            <w:tcW w:w="20" w:type="dxa"/>
            <w:vAlign w:val="bottom"/>
            <w:tcBorders>
              <w:top w:val="single" w:sz="8" w:color="CCEEFF"/>
            </w:tcBorders>
            <w:shd w:val="clear" w:color="auto" w:fill="00C389"/>
          </w:tcPr>
          <w:p>
            <w:pPr>
              <w:spacing w:after="0" w:line="20" w:lineRule="exact"/>
              <w:rPr>
                <w:sz w:val="1"/>
                <w:szCs w:val="1"/>
                <w:color w:val="auto"/>
              </w:rPr>
            </w:pPr>
          </w:p>
        </w:tc>
        <w:tc>
          <w:tcPr>
            <w:tcW w:w="40" w:type="dxa"/>
            <w:vAlign w:val="bottom"/>
            <w:tcBorders>
              <w:top w:val="single" w:sz="8" w:color="CCEEFF"/>
            </w:tcBorders>
            <w:shd w:val="clear" w:color="auto" w:fill="00C389"/>
          </w:tcPr>
          <w:p>
            <w:pPr>
              <w:spacing w:after="0" w:line="20" w:lineRule="exact"/>
              <w:rPr>
                <w:sz w:val="1"/>
                <w:szCs w:val="1"/>
                <w:color w:val="auto"/>
              </w:rPr>
            </w:pPr>
          </w:p>
        </w:tc>
        <w:tc>
          <w:tcPr>
            <w:tcW w:w="200" w:type="dxa"/>
            <w:vAlign w:val="bottom"/>
            <w:tcBorders>
              <w:top w:val="single" w:sz="8" w:color="CCEEFF"/>
            </w:tcBorders>
            <w:shd w:val="clear" w:color="auto" w:fill="00C389"/>
          </w:tcPr>
          <w:p>
            <w:pPr>
              <w:spacing w:after="0" w:line="20" w:lineRule="exact"/>
              <w:rPr>
                <w:sz w:val="1"/>
                <w:szCs w:val="1"/>
                <w:color w:val="auto"/>
              </w:rPr>
            </w:pPr>
          </w:p>
        </w:tc>
        <w:tc>
          <w:tcPr>
            <w:tcW w:w="60" w:type="dxa"/>
            <w:vAlign w:val="bottom"/>
            <w:tcBorders>
              <w:top w:val="single" w:sz="8" w:color="CCEEFF"/>
            </w:tcBorders>
            <w:shd w:val="clear" w:color="auto" w:fill="00C389"/>
          </w:tcPr>
          <w:p>
            <w:pPr>
              <w:spacing w:after="0" w:line="20" w:lineRule="exact"/>
              <w:rPr>
                <w:sz w:val="1"/>
                <w:szCs w:val="1"/>
                <w:color w:val="auto"/>
              </w:rPr>
            </w:pPr>
          </w:p>
        </w:tc>
        <w:tc>
          <w:tcPr>
            <w:tcW w:w="260" w:type="dxa"/>
            <w:vAlign w:val="bottom"/>
            <w:tcBorders>
              <w:top w:val="single" w:sz="8" w:color="CCEEFF"/>
            </w:tcBorders>
            <w:shd w:val="clear" w:color="auto" w:fill="00C389"/>
          </w:tcPr>
          <w:p>
            <w:pPr>
              <w:spacing w:after="0" w:line="20" w:lineRule="exact"/>
              <w:rPr>
                <w:sz w:val="1"/>
                <w:szCs w:val="1"/>
                <w:color w:val="auto"/>
              </w:rPr>
            </w:pPr>
          </w:p>
        </w:tc>
        <w:tc>
          <w:tcPr>
            <w:tcW w:w="360" w:type="dxa"/>
            <w:vAlign w:val="bottom"/>
            <w:tcBorders>
              <w:top w:val="single" w:sz="8" w:color="CCEEFF"/>
            </w:tcBorders>
            <w:shd w:val="clear" w:color="auto" w:fill="00C389"/>
          </w:tcPr>
          <w:p>
            <w:pPr>
              <w:spacing w:after="0" w:line="20" w:lineRule="exact"/>
              <w:rPr>
                <w:sz w:val="1"/>
                <w:szCs w:val="1"/>
                <w:color w:val="auto"/>
              </w:rPr>
            </w:pPr>
          </w:p>
        </w:tc>
        <w:tc>
          <w:tcPr>
            <w:tcW w:w="160" w:type="dxa"/>
            <w:vAlign w:val="bottom"/>
            <w:tcBorders>
              <w:top w:val="single" w:sz="8" w:color="CCEEFF"/>
            </w:tcBorders>
            <w:shd w:val="clear" w:color="auto" w:fill="00C389"/>
          </w:tcPr>
          <w:p>
            <w:pPr>
              <w:spacing w:after="0" w:line="20" w:lineRule="exact"/>
              <w:rPr>
                <w:sz w:val="1"/>
                <w:szCs w:val="1"/>
                <w:color w:val="auto"/>
              </w:rPr>
            </w:pPr>
          </w:p>
        </w:tc>
        <w:tc>
          <w:tcPr>
            <w:tcW w:w="640" w:type="dxa"/>
            <w:vAlign w:val="bottom"/>
            <w:tcBorders>
              <w:top w:val="single" w:sz="8" w:color="CCEEFF"/>
            </w:tcBorders>
            <w:shd w:val="clear" w:color="auto" w:fill="00C389"/>
          </w:tcPr>
          <w:p>
            <w:pPr>
              <w:spacing w:after="0" w:line="20" w:lineRule="exact"/>
              <w:rPr>
                <w:sz w:val="1"/>
                <w:szCs w:val="1"/>
                <w:color w:val="auto"/>
              </w:rPr>
            </w:pPr>
          </w:p>
        </w:tc>
        <w:tc>
          <w:tcPr>
            <w:tcW w:w="1440" w:type="dxa"/>
            <w:vAlign w:val="bottom"/>
            <w:tcBorders>
              <w:top w:val="single" w:sz="8" w:color="CCEEFF"/>
            </w:tcBorders>
            <w:shd w:val="clear" w:color="auto" w:fill="00C389"/>
          </w:tcPr>
          <w:p>
            <w:pPr>
              <w:spacing w:after="0" w:line="20" w:lineRule="exact"/>
              <w:rPr>
                <w:sz w:val="1"/>
                <w:szCs w:val="1"/>
                <w:color w:val="auto"/>
              </w:rPr>
            </w:pPr>
          </w:p>
        </w:tc>
        <w:tc>
          <w:tcPr>
            <w:tcW w:w="980" w:type="dxa"/>
            <w:vAlign w:val="bottom"/>
            <w:tcBorders>
              <w:top w:val="single" w:sz="8" w:color="CCEEFF"/>
            </w:tcBorders>
            <w:shd w:val="clear" w:color="auto" w:fill="00C389"/>
          </w:tcPr>
          <w:p>
            <w:pPr>
              <w:spacing w:after="0" w:line="20" w:lineRule="exact"/>
              <w:rPr>
                <w:sz w:val="1"/>
                <w:szCs w:val="1"/>
                <w:color w:val="auto"/>
              </w:rPr>
            </w:pPr>
          </w:p>
        </w:tc>
        <w:tc>
          <w:tcPr>
            <w:tcW w:w="76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7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280" w:type="dxa"/>
            <w:vAlign w:val="bottom"/>
            <w:tcBorders>
              <w:top w:val="single" w:sz="8" w:color="CCEEFF"/>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c>
          <w:tcPr>
            <w:tcW w:w="100" w:type="dxa"/>
            <w:vAlign w:val="bottom"/>
            <w:tcBorders>
              <w:top w:val="single" w:sz="8" w:color="0000EE"/>
            </w:tcBorders>
            <w:shd w:val="clear" w:color="auto" w:fill="00C38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3943350</wp:posOffset>
            </wp:positionV>
            <wp:extent cx="75438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00"/>
        <w:spacing w:after="0"/>
        <w:tabs>
          <w:tab w:leader="none" w:pos="98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Proxy Statement Summary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 Financial, Inc.</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165 Broadway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New York, New York 10006</w:t>
      </w:r>
    </w:p>
    <w:p>
      <w:pPr>
        <w:spacing w:after="0" w:line="99" w:lineRule="exact"/>
        <w:rPr>
          <w:sz w:val="20"/>
          <w:szCs w:val="20"/>
          <w:color w:val="auto"/>
        </w:rPr>
      </w:pPr>
    </w:p>
    <w:p>
      <w:pPr>
        <w:ind w:left="760" w:right="920"/>
        <w:spacing w:after="0" w:line="261"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2020 fiscal year performance, please review the Company’s 2020 Annual Report on Form 10-K (the “2020 Annual Report”).</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20"/>
                <w:szCs w:val="20"/>
                <w:b w:val="1"/>
                <w:bCs w:val="1"/>
                <w:color w:val="00C389"/>
              </w:rPr>
              <w:t>DATE:</w:t>
            </w:r>
          </w:p>
        </w:tc>
        <w:tc>
          <w:tcPr>
            <w:tcW w:w="2540" w:type="dxa"/>
            <w:vAlign w:val="bottom"/>
          </w:tcPr>
          <w:p>
            <w:pPr>
              <w:ind w:left="180"/>
              <w:spacing w:after="0"/>
              <w:rPr>
                <w:sz w:val="20"/>
                <w:szCs w:val="20"/>
                <w:color w:val="auto"/>
              </w:rPr>
            </w:pPr>
            <w:r>
              <w:rPr>
                <w:rFonts w:ascii="Arial" w:cs="Arial" w:eastAsia="Arial" w:hAnsi="Arial"/>
                <w:sz w:val="20"/>
                <w:szCs w:val="20"/>
                <w:color w:val="002554"/>
              </w:rPr>
              <w:t>Thursday, June 3, 2021</w:t>
            </w:r>
          </w:p>
        </w:tc>
        <w:tc>
          <w:tcPr>
            <w:tcW w:w="1540" w:type="dxa"/>
            <w:vAlign w:val="bottom"/>
          </w:tcPr>
          <w:p>
            <w:pPr>
              <w:ind w:left="180"/>
              <w:spacing w:after="0"/>
              <w:rPr>
                <w:sz w:val="20"/>
                <w:szCs w:val="20"/>
                <w:color w:val="auto"/>
              </w:rPr>
            </w:pPr>
            <w:r>
              <w:rPr>
                <w:rFonts w:ascii="Arial" w:cs="Arial" w:eastAsia="Arial" w:hAnsi="Arial"/>
                <w:sz w:val="20"/>
                <w:szCs w:val="20"/>
                <w:b w:val="1"/>
                <w:bCs w:val="1"/>
                <w:color w:val="00C389"/>
              </w:rPr>
              <w:t>LOCATION</w:t>
            </w:r>
          </w:p>
        </w:tc>
        <w:tc>
          <w:tcPr>
            <w:tcW w:w="4320" w:type="dxa"/>
            <w:vAlign w:val="bottom"/>
          </w:tcPr>
          <w:p>
            <w:pPr>
              <w:ind w:left="220"/>
              <w:spacing w:after="0"/>
              <w:rPr>
                <w:sz w:val="20"/>
                <w:szCs w:val="20"/>
                <w:color w:val="auto"/>
              </w:rPr>
            </w:pPr>
            <w:r>
              <w:rPr>
                <w:rFonts w:ascii="Arial" w:cs="Arial" w:eastAsia="Arial" w:hAnsi="Arial"/>
                <w:sz w:val="20"/>
                <w:szCs w:val="20"/>
                <w:color w:val="002554"/>
              </w:rPr>
              <w:t>Virtual Annual Meeting accessible at</w:t>
            </w:r>
          </w:p>
        </w:tc>
      </w:tr>
      <w:tr>
        <w:trPr>
          <w:trHeight w:val="230"/>
        </w:trPr>
        <w:tc>
          <w:tcPr>
            <w:tcW w:w="760" w:type="dxa"/>
            <w:vAlign w:val="bottom"/>
          </w:tcPr>
          <w:p>
            <w:pPr>
              <w:spacing w:after="0"/>
              <w:rPr>
                <w:sz w:val="20"/>
                <w:szCs w:val="20"/>
                <w:color w:val="auto"/>
              </w:rPr>
            </w:pPr>
            <w:r>
              <w:rPr>
                <w:rFonts w:ascii="Arial" w:cs="Arial" w:eastAsia="Arial" w:hAnsi="Arial"/>
                <w:sz w:val="20"/>
                <w:szCs w:val="20"/>
                <w:b w:val="1"/>
                <w:bCs w:val="1"/>
                <w:color w:val="00C389"/>
              </w:rPr>
              <w:t>TIME:</w:t>
            </w:r>
          </w:p>
        </w:tc>
        <w:tc>
          <w:tcPr>
            <w:tcW w:w="2540" w:type="dxa"/>
            <w:vAlign w:val="bottom"/>
          </w:tcPr>
          <w:p>
            <w:pPr>
              <w:ind w:left="180"/>
              <w:spacing w:after="0"/>
              <w:rPr>
                <w:sz w:val="20"/>
                <w:szCs w:val="20"/>
                <w:color w:val="auto"/>
              </w:rPr>
            </w:pPr>
            <w:r>
              <w:rPr>
                <w:rFonts w:ascii="Arial" w:cs="Arial" w:eastAsia="Arial" w:hAnsi="Arial"/>
                <w:sz w:val="20"/>
                <w:szCs w:val="20"/>
                <w:color w:val="002554"/>
              </w:rPr>
              <w:t>9:00 a.m. (Eastern Time)</w:t>
            </w:r>
          </w:p>
        </w:tc>
        <w:tc>
          <w:tcPr>
            <w:tcW w:w="1540" w:type="dxa"/>
            <w:vAlign w:val="bottom"/>
          </w:tcPr>
          <w:p>
            <w:pPr>
              <w:ind w:left="180"/>
              <w:spacing w:after="0"/>
              <w:rPr>
                <w:sz w:val="20"/>
                <w:szCs w:val="20"/>
                <w:color w:val="auto"/>
              </w:rPr>
            </w:pPr>
            <w:r>
              <w:rPr>
                <w:rFonts w:ascii="Arial" w:cs="Arial" w:eastAsia="Arial" w:hAnsi="Arial"/>
                <w:sz w:val="20"/>
                <w:szCs w:val="20"/>
                <w:b w:val="1"/>
                <w:bCs w:val="1"/>
                <w:color w:val="00C389"/>
              </w:rPr>
              <w:t>OF ANNUAL</w:t>
            </w:r>
          </w:p>
        </w:tc>
        <w:tc>
          <w:tcPr>
            <w:tcW w:w="4320" w:type="dxa"/>
            <w:vAlign w:val="bottom"/>
          </w:tcPr>
          <w:p>
            <w:pPr>
              <w:ind w:left="220"/>
              <w:spacing w:after="0"/>
              <w:rPr>
                <w:sz w:val="20"/>
                <w:szCs w:val="20"/>
                <w:color w:val="auto"/>
              </w:rPr>
            </w:pPr>
            <w:r>
              <w:rPr>
                <w:rFonts w:ascii="Arial" w:cs="Arial" w:eastAsia="Arial" w:hAnsi="Arial"/>
                <w:sz w:val="20"/>
                <w:szCs w:val="20"/>
                <w:color w:val="002554"/>
                <w:w w:val="97"/>
              </w:rPr>
              <w:t>www.virtualshareholdermeeting.com/VIRT2021</w:t>
            </w:r>
          </w:p>
        </w:tc>
      </w:tr>
      <w:tr>
        <w:trPr>
          <w:trHeight w:val="261"/>
        </w:trPr>
        <w:tc>
          <w:tcPr>
            <w:tcW w:w="7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540" w:type="dxa"/>
            <w:vAlign w:val="bottom"/>
          </w:tcPr>
          <w:p>
            <w:pPr>
              <w:ind w:left="180"/>
              <w:spacing w:after="0"/>
              <w:rPr>
                <w:sz w:val="20"/>
                <w:szCs w:val="20"/>
                <w:color w:val="auto"/>
              </w:rPr>
            </w:pPr>
            <w:r>
              <w:rPr>
                <w:rFonts w:ascii="Arial" w:cs="Arial" w:eastAsia="Arial" w:hAnsi="Arial"/>
                <w:sz w:val="20"/>
                <w:szCs w:val="20"/>
                <w:b w:val="1"/>
                <w:bCs w:val="1"/>
                <w:color w:val="00C389"/>
              </w:rPr>
              <w:t>MEETING:</w:t>
            </w:r>
          </w:p>
        </w:tc>
        <w:tc>
          <w:tcPr>
            <w:tcW w:w="4320" w:type="dxa"/>
            <w:vAlign w:val="bottom"/>
          </w:tcPr>
          <w:p>
            <w:pPr>
              <w:spacing w:after="0"/>
              <w:rPr>
                <w:sz w:val="22"/>
                <w:szCs w:val="22"/>
                <w:color w:val="auto"/>
              </w:rPr>
            </w:pPr>
          </w:p>
        </w:tc>
      </w:tr>
    </w:tbl>
    <w:p>
      <w:pPr>
        <w:spacing w:after="0" w:line="19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Voting Matters</w:t>
      </w:r>
    </w:p>
    <w:p>
      <w:pPr>
        <w:spacing w:after="0" w:line="10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002554"/>
              </w:rPr>
              <w:t>Items of Business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002554"/>
                <w:w w:val="99"/>
              </w:rPr>
              <w:t>Board</w:t>
            </w:r>
          </w:p>
        </w:tc>
        <w:tc>
          <w:tcPr>
            <w:tcW w:w="0" w:type="dxa"/>
            <w:vAlign w:val="bottom"/>
          </w:tcPr>
          <w:p>
            <w:pPr>
              <w:spacing w:after="0"/>
              <w:rPr>
                <w:sz w:val="1"/>
                <w:szCs w:val="1"/>
                <w:color w:val="auto"/>
              </w:rPr>
            </w:pPr>
          </w:p>
        </w:tc>
      </w:tr>
      <w:tr>
        <w:trPr>
          <w:trHeight w:val="241"/>
        </w:trPr>
        <w:tc>
          <w:tcPr>
            <w:tcW w:w="7560" w:type="dxa"/>
            <w:vAlign w:val="bottom"/>
            <w:tcBorders>
              <w:bottom w:val="single" w:sz="8" w:color="00C389"/>
            </w:tcBorders>
            <w:gridSpan w:val="2"/>
            <w:vMerge w:val="continue"/>
          </w:tcPr>
          <w:p>
            <w:pPr>
              <w:spacing w:after="0"/>
              <w:rPr>
                <w:sz w:val="20"/>
                <w:szCs w:val="20"/>
                <w:color w:val="auto"/>
              </w:rPr>
            </w:pPr>
          </w:p>
        </w:tc>
        <w:tc>
          <w:tcPr>
            <w:tcW w:w="1620" w:type="dxa"/>
            <w:vAlign w:val="bottom"/>
            <w:tcBorders>
              <w:bottom w:val="single" w:sz="8" w:color="00C389"/>
            </w:tcBorders>
          </w:tcPr>
          <w:p>
            <w:pPr>
              <w:jc w:val="center"/>
              <w:ind w:left="1"/>
              <w:spacing w:after="0"/>
              <w:rPr>
                <w:sz w:val="20"/>
                <w:szCs w:val="20"/>
                <w:color w:val="auto"/>
              </w:rPr>
            </w:pPr>
            <w:r>
              <w:rPr>
                <w:rFonts w:ascii="Arial" w:cs="Arial" w:eastAsia="Arial" w:hAnsi="Arial"/>
                <w:sz w:val="18"/>
                <w:szCs w:val="18"/>
                <w:b w:val="1"/>
                <w:bCs w:val="1"/>
                <w:color w:val="002554"/>
                <w:w w:val="97"/>
              </w:rPr>
              <w:t>Recommendation</w:t>
            </w:r>
          </w:p>
        </w:tc>
        <w:tc>
          <w:tcPr>
            <w:tcW w:w="0" w:type="dxa"/>
            <w:vAlign w:val="bottom"/>
          </w:tcPr>
          <w:p>
            <w:pPr>
              <w:spacing w:after="0"/>
              <w:rPr>
                <w:sz w:val="1"/>
                <w:szCs w:val="1"/>
                <w:color w:val="auto"/>
              </w:rPr>
            </w:pPr>
          </w:p>
        </w:tc>
      </w:tr>
      <w:tr>
        <w:trPr>
          <w:trHeight w:val="346"/>
        </w:trPr>
        <w:tc>
          <w:tcPr>
            <w:tcW w:w="320" w:type="dxa"/>
            <w:vAlign w:val="bottom"/>
            <w:vMerge w:val="restart"/>
          </w:tcPr>
          <w:p>
            <w:pPr>
              <w:spacing w:after="0"/>
              <w:rPr>
                <w:sz w:val="20"/>
                <w:szCs w:val="20"/>
                <w:color w:val="auto"/>
              </w:rPr>
            </w:pPr>
            <w:r>
              <w:rPr>
                <w:rFonts w:ascii="Arial" w:cs="Arial" w:eastAsia="Arial" w:hAnsi="Arial"/>
                <w:sz w:val="36"/>
                <w:szCs w:val="36"/>
                <w:b w:val="1"/>
                <w:bCs w:val="1"/>
                <w:color w:val="00C389"/>
              </w:rPr>
              <w:t>1</w:t>
            </w:r>
          </w:p>
        </w:tc>
        <w:tc>
          <w:tcPr>
            <w:tcW w:w="7240" w:type="dxa"/>
            <w:vAlign w:val="bottom"/>
          </w:tcPr>
          <w:p>
            <w:pPr>
              <w:ind w:left="100"/>
              <w:spacing w:after="0"/>
              <w:rPr>
                <w:sz w:val="20"/>
                <w:szCs w:val="20"/>
                <w:color w:val="auto"/>
              </w:rPr>
            </w:pPr>
            <w:r>
              <w:rPr>
                <w:rFonts w:ascii="Arial" w:cs="Arial" w:eastAsia="Arial" w:hAnsi="Arial"/>
                <w:sz w:val="18"/>
                <w:szCs w:val="18"/>
                <w:color w:val="auto"/>
              </w:rPr>
              <w:t>To elect four directors to our board of directors, each to serve as a Class III director for a</w:t>
            </w:r>
          </w:p>
        </w:tc>
        <w:tc>
          <w:tcPr>
            <w:tcW w:w="1620" w:type="dxa"/>
            <w:vAlign w:val="bottom"/>
            <w:vMerge w:val="restart"/>
          </w:tcPr>
          <w:p>
            <w:pPr>
              <w:ind w:left="800"/>
              <w:spacing w:after="0"/>
              <w:rPr>
                <w:sz w:val="20"/>
                <w:szCs w:val="20"/>
                <w:color w:val="auto"/>
              </w:rPr>
            </w:pPr>
            <w:r>
              <w:rPr>
                <w:rFonts w:ascii="Arial" w:cs="Arial" w:eastAsia="Arial" w:hAnsi="Arial"/>
                <w:sz w:val="22"/>
                <w:szCs w:val="22"/>
                <w:b w:val="1"/>
                <w:bCs w:val="1"/>
                <w:color w:val="002554"/>
              </w:rPr>
              <w:t>FOR</w:t>
            </w:r>
          </w:p>
        </w:tc>
        <w:tc>
          <w:tcPr>
            <w:tcW w:w="0" w:type="dxa"/>
            <w:vAlign w:val="bottom"/>
          </w:tcPr>
          <w:p>
            <w:pPr>
              <w:spacing w:after="0"/>
              <w:rPr>
                <w:sz w:val="1"/>
                <w:szCs w:val="1"/>
                <w:color w:val="auto"/>
              </w:rPr>
            </w:pPr>
          </w:p>
        </w:tc>
      </w:tr>
      <w:tr>
        <w:trPr>
          <w:trHeight w:val="176"/>
        </w:trPr>
        <w:tc>
          <w:tcPr>
            <w:tcW w:w="320" w:type="dxa"/>
            <w:vAlign w:val="bottom"/>
            <w:vMerge w:val="continue"/>
          </w:tcPr>
          <w:p>
            <w:pPr>
              <w:spacing w:after="0"/>
              <w:rPr>
                <w:sz w:val="15"/>
                <w:szCs w:val="15"/>
                <w:color w:val="auto"/>
              </w:rPr>
            </w:pPr>
          </w:p>
        </w:tc>
        <w:tc>
          <w:tcPr>
            <w:tcW w:w="7240" w:type="dxa"/>
            <w:vAlign w:val="bottom"/>
          </w:tcPr>
          <w:p>
            <w:pPr>
              <w:ind w:left="100"/>
              <w:spacing w:after="0" w:line="176" w:lineRule="exact"/>
              <w:rPr>
                <w:sz w:val="20"/>
                <w:szCs w:val="20"/>
                <w:color w:val="auto"/>
              </w:rPr>
            </w:pPr>
            <w:r>
              <w:rPr>
                <w:rFonts w:ascii="Arial" w:cs="Arial" w:eastAsia="Arial" w:hAnsi="Arial"/>
                <w:sz w:val="18"/>
                <w:szCs w:val="18"/>
                <w:color w:val="auto"/>
              </w:rPr>
              <w:t>term of three years expiring at the annual meeting of stockholders to be held in 2024 and</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0" w:type="dxa"/>
            <w:vAlign w:val="bottom"/>
            <w:tcBorders>
              <w:bottom w:val="single" w:sz="8" w:color="00C389"/>
            </w:tcBorders>
          </w:tcPr>
          <w:p>
            <w:pPr>
              <w:spacing w:after="0"/>
              <w:rPr>
                <w:sz w:val="22"/>
                <w:szCs w:val="22"/>
                <w:color w:val="auto"/>
              </w:rPr>
            </w:pPr>
          </w:p>
        </w:tc>
        <w:tc>
          <w:tcPr>
            <w:tcW w:w="7240" w:type="dxa"/>
            <w:vAlign w:val="bottom"/>
            <w:tcBorders>
              <w:bottom w:val="single" w:sz="8" w:color="00C389"/>
            </w:tcBorders>
          </w:tcPr>
          <w:p>
            <w:pPr>
              <w:ind w:left="100"/>
              <w:spacing w:after="0"/>
              <w:rPr>
                <w:sz w:val="20"/>
                <w:szCs w:val="20"/>
                <w:color w:val="auto"/>
              </w:rPr>
            </w:pPr>
            <w:r>
              <w:rPr>
                <w:rFonts w:ascii="Arial" w:cs="Arial" w:eastAsia="Arial" w:hAnsi="Arial"/>
                <w:sz w:val="18"/>
                <w:szCs w:val="18"/>
                <w:color w:val="auto"/>
              </w:rPr>
              <w:t>until such director’s successor has been duly elected and qualified.</w:t>
            </w:r>
          </w:p>
        </w:tc>
        <w:tc>
          <w:tcPr>
            <w:tcW w:w="1620" w:type="dxa"/>
            <w:vAlign w:val="bottom"/>
            <w:tcBorders>
              <w:bottom w:val="single" w:sz="8" w:color="00C389"/>
            </w:tcBorders>
          </w:tcPr>
          <w:p>
            <w:pPr>
              <w:jc w:val="center"/>
              <w:ind w:left="1"/>
              <w:spacing w:after="0"/>
              <w:rPr>
                <w:sz w:val="20"/>
                <w:szCs w:val="20"/>
                <w:color w:val="auto"/>
              </w:rPr>
            </w:pPr>
            <w:r>
              <w:rPr>
                <w:rFonts w:ascii="Arial" w:cs="Arial" w:eastAsia="Arial" w:hAnsi="Arial"/>
                <w:sz w:val="18"/>
                <w:szCs w:val="18"/>
                <w:color w:val="auto"/>
                <w:w w:val="99"/>
              </w:rPr>
              <w:t>each Nominee</w:t>
            </w:r>
          </w:p>
        </w:tc>
        <w:tc>
          <w:tcPr>
            <w:tcW w:w="0" w:type="dxa"/>
            <w:vAlign w:val="bottom"/>
          </w:tcPr>
          <w:p>
            <w:pPr>
              <w:spacing w:after="0"/>
              <w:rPr>
                <w:sz w:val="1"/>
                <w:szCs w:val="1"/>
                <w:color w:val="auto"/>
              </w:rPr>
            </w:pPr>
          </w:p>
        </w:tc>
      </w:tr>
      <w:tr>
        <w:trPr>
          <w:trHeight w:val="344"/>
        </w:trPr>
        <w:tc>
          <w:tcPr>
            <w:tcW w:w="320" w:type="dxa"/>
            <w:vAlign w:val="bottom"/>
            <w:vMerge w:val="restart"/>
          </w:tcPr>
          <w:p>
            <w:pPr>
              <w:spacing w:after="0"/>
              <w:rPr>
                <w:sz w:val="20"/>
                <w:szCs w:val="20"/>
                <w:color w:val="auto"/>
              </w:rPr>
            </w:pPr>
            <w:r>
              <w:rPr>
                <w:rFonts w:ascii="Arial" w:cs="Arial" w:eastAsia="Arial" w:hAnsi="Arial"/>
                <w:sz w:val="36"/>
                <w:szCs w:val="36"/>
                <w:b w:val="1"/>
                <w:bCs w:val="1"/>
                <w:color w:val="00C389"/>
              </w:rPr>
              <w:t>2</w:t>
            </w:r>
          </w:p>
        </w:tc>
        <w:tc>
          <w:tcPr>
            <w:tcW w:w="7240" w:type="dxa"/>
            <w:vAlign w:val="bottom"/>
          </w:tcPr>
          <w:p>
            <w:pPr>
              <w:ind w:left="100"/>
              <w:spacing w:after="0"/>
              <w:rPr>
                <w:sz w:val="20"/>
                <w:szCs w:val="20"/>
                <w:color w:val="auto"/>
              </w:rPr>
            </w:pPr>
            <w:r>
              <w:rPr>
                <w:rFonts w:ascii="Arial" w:cs="Arial" w:eastAsia="Arial" w:hAnsi="Arial"/>
                <w:sz w:val="18"/>
                <w:szCs w:val="18"/>
                <w:color w:val="auto"/>
              </w:rPr>
              <w:t>To approve, on an advisory basis, the compensation of our named executive officers as</w:t>
            </w:r>
          </w:p>
        </w:tc>
        <w:tc>
          <w:tcPr>
            <w:tcW w:w="1620" w:type="dxa"/>
            <w:vAlign w:val="bottom"/>
            <w:vMerge w:val="restart"/>
          </w:tcPr>
          <w:p>
            <w:pPr>
              <w:ind w:left="800"/>
              <w:spacing w:after="0"/>
              <w:rPr>
                <w:sz w:val="20"/>
                <w:szCs w:val="20"/>
                <w:color w:val="auto"/>
              </w:rPr>
            </w:pPr>
            <w:r>
              <w:rPr>
                <w:rFonts w:ascii="Arial" w:cs="Arial" w:eastAsia="Arial" w:hAnsi="Arial"/>
                <w:sz w:val="22"/>
                <w:szCs w:val="22"/>
                <w:b w:val="1"/>
                <w:bCs w:val="1"/>
                <w:color w:val="002554"/>
              </w:rPr>
              <w:t>FOR</w:t>
            </w:r>
          </w:p>
        </w:tc>
        <w:tc>
          <w:tcPr>
            <w:tcW w:w="0" w:type="dxa"/>
            <w:vAlign w:val="bottom"/>
          </w:tcPr>
          <w:p>
            <w:pPr>
              <w:spacing w:after="0"/>
              <w:rPr>
                <w:sz w:val="1"/>
                <w:szCs w:val="1"/>
                <w:color w:val="auto"/>
              </w:rPr>
            </w:pPr>
          </w:p>
        </w:tc>
      </w:tr>
      <w:tr>
        <w:trPr>
          <w:trHeight w:val="311"/>
        </w:trPr>
        <w:tc>
          <w:tcPr>
            <w:tcW w:w="320" w:type="dxa"/>
            <w:vAlign w:val="bottom"/>
            <w:vMerge w:val="continue"/>
          </w:tcPr>
          <w:p>
            <w:pPr>
              <w:spacing w:after="0"/>
              <w:rPr>
                <w:sz w:val="24"/>
                <w:szCs w:val="24"/>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disclosed in the accompanying proxy statement.</w:t>
            </w: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bottom w:val="single" w:sz="8" w:color="00C389"/>
            </w:tcBorders>
          </w:tcPr>
          <w:p>
            <w:pPr>
              <w:spacing w:after="0"/>
              <w:rPr>
                <w:sz w:val="7"/>
                <w:szCs w:val="7"/>
                <w:color w:val="auto"/>
              </w:rPr>
            </w:pPr>
          </w:p>
        </w:tc>
        <w:tc>
          <w:tcPr>
            <w:tcW w:w="7240" w:type="dxa"/>
            <w:vAlign w:val="bottom"/>
            <w:tcBorders>
              <w:bottom w:val="single" w:sz="8" w:color="00C389"/>
            </w:tcBorders>
          </w:tcPr>
          <w:p>
            <w:pPr>
              <w:spacing w:after="0"/>
              <w:rPr>
                <w:sz w:val="7"/>
                <w:szCs w:val="7"/>
                <w:color w:val="auto"/>
              </w:rPr>
            </w:pPr>
          </w:p>
        </w:tc>
        <w:tc>
          <w:tcPr>
            <w:tcW w:w="1620" w:type="dxa"/>
            <w:vAlign w:val="bottom"/>
            <w:tcBorders>
              <w:bottom w:val="single" w:sz="8" w:color="00C389"/>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20" w:type="dxa"/>
            <w:vAlign w:val="bottom"/>
            <w:vMerge w:val="restart"/>
          </w:tcPr>
          <w:p>
            <w:pPr>
              <w:spacing w:after="0"/>
              <w:rPr>
                <w:sz w:val="20"/>
                <w:szCs w:val="20"/>
                <w:color w:val="auto"/>
              </w:rPr>
            </w:pPr>
            <w:r>
              <w:rPr>
                <w:rFonts w:ascii="Arial" w:cs="Arial" w:eastAsia="Arial" w:hAnsi="Arial"/>
                <w:sz w:val="36"/>
                <w:szCs w:val="36"/>
                <w:b w:val="1"/>
                <w:bCs w:val="1"/>
                <w:color w:val="00C389"/>
              </w:rPr>
              <w:t>3</w:t>
            </w:r>
          </w:p>
        </w:tc>
        <w:tc>
          <w:tcPr>
            <w:tcW w:w="7240" w:type="dxa"/>
            <w:vAlign w:val="bottom"/>
          </w:tcPr>
          <w:p>
            <w:pPr>
              <w:ind w:left="100"/>
              <w:spacing w:after="0"/>
              <w:rPr>
                <w:sz w:val="20"/>
                <w:szCs w:val="20"/>
                <w:color w:val="auto"/>
              </w:rPr>
            </w:pPr>
            <w:r>
              <w:rPr>
                <w:rFonts w:ascii="Arial" w:cs="Arial" w:eastAsia="Arial" w:hAnsi="Arial"/>
                <w:sz w:val="18"/>
                <w:szCs w:val="18"/>
                <w:color w:val="auto"/>
              </w:rPr>
              <w:t>To ratify the appointment of PricewaterhouseCoopers LLP as our independent registered</w:t>
            </w:r>
          </w:p>
        </w:tc>
        <w:tc>
          <w:tcPr>
            <w:tcW w:w="1620" w:type="dxa"/>
            <w:vAlign w:val="bottom"/>
            <w:vMerge w:val="restart"/>
          </w:tcPr>
          <w:p>
            <w:pPr>
              <w:ind w:left="800"/>
              <w:spacing w:after="0"/>
              <w:rPr>
                <w:sz w:val="20"/>
                <w:szCs w:val="20"/>
                <w:color w:val="auto"/>
              </w:rPr>
            </w:pPr>
            <w:r>
              <w:rPr>
                <w:rFonts w:ascii="Arial" w:cs="Arial" w:eastAsia="Arial" w:hAnsi="Arial"/>
                <w:sz w:val="22"/>
                <w:szCs w:val="22"/>
                <w:b w:val="1"/>
                <w:bCs w:val="1"/>
                <w:color w:val="002554"/>
              </w:rPr>
              <w:t>FOR</w:t>
            </w:r>
          </w:p>
        </w:tc>
        <w:tc>
          <w:tcPr>
            <w:tcW w:w="0" w:type="dxa"/>
            <w:vAlign w:val="bottom"/>
          </w:tcPr>
          <w:p>
            <w:pPr>
              <w:spacing w:after="0"/>
              <w:rPr>
                <w:sz w:val="1"/>
                <w:szCs w:val="1"/>
                <w:color w:val="auto"/>
              </w:rPr>
            </w:pPr>
          </w:p>
        </w:tc>
      </w:tr>
      <w:tr>
        <w:trPr>
          <w:trHeight w:val="311"/>
        </w:trPr>
        <w:tc>
          <w:tcPr>
            <w:tcW w:w="320" w:type="dxa"/>
            <w:vAlign w:val="bottom"/>
            <w:vMerge w:val="continue"/>
          </w:tcPr>
          <w:p>
            <w:pPr>
              <w:spacing w:after="0"/>
              <w:rPr>
                <w:sz w:val="24"/>
                <w:szCs w:val="24"/>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public accounting firm for the fiscal year ending December 31, 2021.</w:t>
            </w: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bottom w:val="single" w:sz="8" w:color="00C389"/>
            </w:tcBorders>
          </w:tcPr>
          <w:p>
            <w:pPr>
              <w:spacing w:after="0"/>
              <w:rPr>
                <w:sz w:val="7"/>
                <w:szCs w:val="7"/>
                <w:color w:val="auto"/>
              </w:rPr>
            </w:pPr>
          </w:p>
        </w:tc>
        <w:tc>
          <w:tcPr>
            <w:tcW w:w="7240" w:type="dxa"/>
            <w:vAlign w:val="bottom"/>
            <w:tcBorders>
              <w:bottom w:val="single" w:sz="8" w:color="00C389"/>
            </w:tcBorders>
          </w:tcPr>
          <w:p>
            <w:pPr>
              <w:spacing w:after="0"/>
              <w:rPr>
                <w:sz w:val="7"/>
                <w:szCs w:val="7"/>
                <w:color w:val="auto"/>
              </w:rPr>
            </w:pPr>
          </w:p>
        </w:tc>
        <w:tc>
          <w:tcPr>
            <w:tcW w:w="1620" w:type="dxa"/>
            <w:vAlign w:val="bottom"/>
            <w:tcBorders>
              <w:bottom w:val="single" w:sz="8" w:color="00C38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-1362710</wp:posOffset>
            </wp:positionV>
            <wp:extent cx="18859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-856615</wp:posOffset>
            </wp:positionV>
            <wp:extent cx="18859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-376555</wp:posOffset>
            </wp:positionV>
            <wp:extent cx="18859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33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How to Vote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143510</wp:posOffset>
            </wp:positionV>
            <wp:extent cx="299720"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720" cy="24892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126365</wp:posOffset>
            </wp:positionV>
            <wp:extent cx="179705"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26606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109220</wp:posOffset>
            </wp:positionV>
            <wp:extent cx="282575"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126365</wp:posOffset>
            </wp:positionV>
            <wp:extent cx="282575"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2140" w:type="dxa"/>
            <w:vAlign w:val="bottom"/>
          </w:tcPr>
          <w:p>
            <w:pPr>
              <w:jc w:val="center"/>
              <w:ind w:right="5"/>
              <w:spacing w:after="0"/>
              <w:rPr>
                <w:sz w:val="20"/>
                <w:szCs w:val="20"/>
                <w:color w:val="auto"/>
              </w:rPr>
            </w:pPr>
            <w:r>
              <w:rPr>
                <w:rFonts w:ascii="Arial" w:cs="Arial" w:eastAsia="Arial" w:hAnsi="Arial"/>
                <w:sz w:val="16"/>
                <w:szCs w:val="16"/>
                <w:b w:val="1"/>
                <w:bCs w:val="1"/>
                <w:color w:val="auto"/>
              </w:rPr>
              <w:t>INTERNET</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rPr>
              <w:t>TELEPHONE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7"/>
              </w:rPr>
              <w:t>MAIL</w:t>
            </w:r>
          </w:p>
        </w:tc>
        <w:tc>
          <w:tcPr>
            <w:tcW w:w="2340" w:type="dxa"/>
            <w:vAlign w:val="bottom"/>
          </w:tcPr>
          <w:p>
            <w:pPr>
              <w:jc w:val="center"/>
              <w:ind w:left="66"/>
              <w:spacing w:after="0"/>
              <w:rPr>
                <w:sz w:val="20"/>
                <w:szCs w:val="20"/>
                <w:color w:val="auto"/>
              </w:rPr>
            </w:pPr>
            <w:r>
              <w:rPr>
                <w:rFonts w:ascii="Arial" w:cs="Arial" w:eastAsia="Arial" w:hAnsi="Arial"/>
                <w:sz w:val="16"/>
                <w:szCs w:val="16"/>
                <w:b w:val="1"/>
                <w:bCs w:val="1"/>
                <w:color w:val="auto"/>
              </w:rPr>
              <w:t>VIRTUAL ANNUAL MEETING</w:t>
            </w:r>
          </w:p>
        </w:tc>
      </w:tr>
      <w:tr>
        <w:trPr>
          <w:trHeight w:val="213"/>
        </w:trPr>
        <w:tc>
          <w:tcPr>
            <w:tcW w:w="2140" w:type="dxa"/>
            <w:vAlign w:val="bottom"/>
          </w:tcPr>
          <w:p>
            <w:pPr>
              <w:jc w:val="center"/>
              <w:ind w:right="5"/>
              <w:spacing w:after="0"/>
              <w:rPr>
                <w:sz w:val="20"/>
                <w:szCs w:val="20"/>
                <w:color w:val="auto"/>
              </w:rPr>
            </w:pPr>
            <w:r>
              <w:rPr>
                <w:rFonts w:ascii="Arial" w:cs="Arial" w:eastAsia="Arial" w:hAnsi="Arial"/>
                <w:sz w:val="14"/>
                <w:szCs w:val="14"/>
                <w:color w:val="auto"/>
              </w:rPr>
              <w:t>Visit www.proxyvote.com to vote</w:t>
            </w:r>
          </w:p>
        </w:tc>
        <w:tc>
          <w:tcPr>
            <w:tcW w:w="2440" w:type="dxa"/>
            <w:vAlign w:val="bottom"/>
          </w:tcPr>
          <w:p>
            <w:pPr>
              <w:jc w:val="center"/>
              <w:spacing w:after="0"/>
              <w:rPr>
                <w:sz w:val="20"/>
                <w:szCs w:val="20"/>
                <w:color w:val="auto"/>
              </w:rPr>
            </w:pPr>
            <w:r>
              <w:rPr>
                <w:rFonts w:ascii="Arial" w:cs="Arial" w:eastAsia="Arial" w:hAnsi="Arial"/>
                <w:sz w:val="14"/>
                <w:szCs w:val="14"/>
                <w:color w:val="auto"/>
              </w:rPr>
              <w:t>Call toll-free 1-800-690-6903 in the</w:t>
            </w:r>
          </w:p>
        </w:tc>
        <w:tc>
          <w:tcPr>
            <w:tcW w:w="2140" w:type="dxa"/>
            <w:vAlign w:val="bottom"/>
          </w:tcPr>
          <w:p>
            <w:pPr>
              <w:jc w:val="center"/>
              <w:spacing w:after="0"/>
              <w:rPr>
                <w:sz w:val="20"/>
                <w:szCs w:val="20"/>
                <w:color w:val="auto"/>
              </w:rPr>
            </w:pPr>
            <w:r>
              <w:rPr>
                <w:rFonts w:ascii="Arial" w:cs="Arial" w:eastAsia="Arial" w:hAnsi="Arial"/>
                <w:sz w:val="14"/>
                <w:szCs w:val="14"/>
                <w:color w:val="auto"/>
              </w:rPr>
              <w:t>Follow the instructions in your</w:t>
            </w:r>
          </w:p>
        </w:tc>
        <w:tc>
          <w:tcPr>
            <w:tcW w:w="2340" w:type="dxa"/>
            <w:vAlign w:val="bottom"/>
          </w:tcPr>
          <w:p>
            <w:pPr>
              <w:jc w:val="center"/>
              <w:ind w:left="66"/>
              <w:spacing w:after="0"/>
              <w:rPr>
                <w:sz w:val="20"/>
                <w:szCs w:val="20"/>
                <w:color w:val="auto"/>
              </w:rPr>
            </w:pPr>
            <w:r>
              <w:rPr>
                <w:rFonts w:ascii="Arial" w:cs="Arial" w:eastAsia="Arial" w:hAnsi="Arial"/>
                <w:sz w:val="14"/>
                <w:szCs w:val="14"/>
                <w:color w:val="auto"/>
              </w:rPr>
              <w:t>All stockholders as of the close of</w:t>
            </w:r>
          </w:p>
        </w:tc>
      </w:tr>
      <w:tr>
        <w:trPr>
          <w:trHeight w:val="162"/>
        </w:trPr>
        <w:tc>
          <w:tcPr>
            <w:tcW w:w="2140" w:type="dxa"/>
            <w:vAlign w:val="bottom"/>
          </w:tcPr>
          <w:p>
            <w:pPr>
              <w:jc w:val="center"/>
              <w:ind w:right="5"/>
              <w:spacing w:after="0"/>
              <w:rPr>
                <w:sz w:val="20"/>
                <w:szCs w:val="20"/>
                <w:color w:val="auto"/>
              </w:rPr>
            </w:pPr>
            <w:r>
              <w:rPr>
                <w:rFonts w:ascii="Arial" w:cs="Arial" w:eastAsia="Arial" w:hAnsi="Arial"/>
                <w:sz w:val="14"/>
                <w:szCs w:val="14"/>
                <w:color w:val="auto"/>
              </w:rPr>
              <w:t>via the Internet.</w:t>
            </w:r>
          </w:p>
        </w:tc>
        <w:tc>
          <w:tcPr>
            <w:tcW w:w="2440" w:type="dxa"/>
            <w:vAlign w:val="bottom"/>
          </w:tcPr>
          <w:p>
            <w:pPr>
              <w:jc w:val="center"/>
              <w:spacing w:after="0"/>
              <w:rPr>
                <w:sz w:val="20"/>
                <w:szCs w:val="20"/>
                <w:color w:val="auto"/>
              </w:rPr>
            </w:pPr>
            <w:r>
              <w:rPr>
                <w:rFonts w:ascii="Arial" w:cs="Arial" w:eastAsia="Arial" w:hAnsi="Arial"/>
                <w:sz w:val="14"/>
                <w:szCs w:val="14"/>
                <w:color w:val="auto"/>
              </w:rPr>
              <w:t>United States or from foreign</w:t>
            </w:r>
          </w:p>
        </w:tc>
        <w:tc>
          <w:tcPr>
            <w:tcW w:w="2140" w:type="dxa"/>
            <w:vAlign w:val="bottom"/>
          </w:tcPr>
          <w:p>
            <w:pPr>
              <w:jc w:val="center"/>
              <w:spacing w:after="0"/>
              <w:rPr>
                <w:sz w:val="20"/>
                <w:szCs w:val="20"/>
                <w:color w:val="auto"/>
              </w:rPr>
            </w:pPr>
            <w:r>
              <w:rPr>
                <w:rFonts w:ascii="Arial" w:cs="Arial" w:eastAsia="Arial" w:hAnsi="Arial"/>
                <w:sz w:val="14"/>
                <w:szCs w:val="14"/>
                <w:color w:val="auto"/>
              </w:rPr>
              <w:t>proxy materials.</w:t>
            </w:r>
          </w:p>
        </w:tc>
        <w:tc>
          <w:tcPr>
            <w:tcW w:w="2340" w:type="dxa"/>
            <w:vAlign w:val="bottom"/>
          </w:tcPr>
          <w:p>
            <w:pPr>
              <w:jc w:val="center"/>
              <w:ind w:left="66"/>
              <w:spacing w:after="0"/>
              <w:rPr>
                <w:sz w:val="20"/>
                <w:szCs w:val="20"/>
                <w:color w:val="auto"/>
              </w:rPr>
            </w:pPr>
            <w:r>
              <w:rPr>
                <w:rFonts w:ascii="Arial" w:cs="Arial" w:eastAsia="Arial" w:hAnsi="Arial"/>
                <w:sz w:val="14"/>
                <w:szCs w:val="14"/>
                <w:color w:val="auto"/>
              </w:rPr>
              <w:t>business on the Record Date can</w:t>
            </w:r>
          </w:p>
        </w:tc>
      </w:tr>
      <w:tr>
        <w:trPr>
          <w:trHeight w:val="162"/>
        </w:trPr>
        <w:tc>
          <w:tcPr>
            <w:tcW w:w="21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countries from any touch-tone</w:t>
            </w:r>
          </w:p>
        </w:tc>
        <w:tc>
          <w:tcPr>
            <w:tcW w:w="2140" w:type="dxa"/>
            <w:vAlign w:val="bottom"/>
          </w:tcPr>
          <w:p>
            <w:pPr>
              <w:spacing w:after="0"/>
              <w:rPr>
                <w:sz w:val="14"/>
                <w:szCs w:val="14"/>
                <w:color w:val="auto"/>
              </w:rPr>
            </w:pPr>
          </w:p>
        </w:tc>
        <w:tc>
          <w:tcPr>
            <w:tcW w:w="2340" w:type="dxa"/>
            <w:vAlign w:val="bottom"/>
          </w:tcPr>
          <w:p>
            <w:pPr>
              <w:jc w:val="center"/>
              <w:ind w:left="66"/>
              <w:spacing w:after="0"/>
              <w:rPr>
                <w:sz w:val="20"/>
                <w:szCs w:val="20"/>
                <w:color w:val="auto"/>
              </w:rPr>
            </w:pPr>
            <w:r>
              <w:rPr>
                <w:rFonts w:ascii="Arial" w:cs="Arial" w:eastAsia="Arial" w:hAnsi="Arial"/>
                <w:sz w:val="14"/>
                <w:szCs w:val="14"/>
                <w:color w:val="auto"/>
              </w:rPr>
              <w:t>vote electronically at the virtual</w:t>
            </w:r>
          </w:p>
        </w:tc>
      </w:tr>
      <w:tr>
        <w:trPr>
          <w:trHeight w:val="162"/>
        </w:trPr>
        <w:tc>
          <w:tcPr>
            <w:tcW w:w="21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telephone and follow the</w:t>
            </w:r>
          </w:p>
        </w:tc>
        <w:tc>
          <w:tcPr>
            <w:tcW w:w="2140" w:type="dxa"/>
            <w:vAlign w:val="bottom"/>
          </w:tcPr>
          <w:p>
            <w:pPr>
              <w:spacing w:after="0"/>
              <w:rPr>
                <w:sz w:val="14"/>
                <w:szCs w:val="14"/>
                <w:color w:val="auto"/>
              </w:rPr>
            </w:pPr>
          </w:p>
        </w:tc>
        <w:tc>
          <w:tcPr>
            <w:tcW w:w="2340" w:type="dxa"/>
            <w:vAlign w:val="bottom"/>
          </w:tcPr>
          <w:p>
            <w:pPr>
              <w:jc w:val="center"/>
              <w:ind w:left="66"/>
              <w:spacing w:after="0"/>
              <w:rPr>
                <w:sz w:val="20"/>
                <w:szCs w:val="20"/>
                <w:color w:val="auto"/>
              </w:rPr>
            </w:pPr>
            <w:r>
              <w:rPr>
                <w:rFonts w:ascii="Arial" w:cs="Arial" w:eastAsia="Arial" w:hAnsi="Arial"/>
                <w:sz w:val="14"/>
                <w:szCs w:val="14"/>
                <w:color w:val="auto"/>
              </w:rPr>
              <w:t>Annual Meeting.</w:t>
            </w:r>
          </w:p>
        </w:tc>
      </w:tr>
      <w:tr>
        <w:trPr>
          <w:trHeight w:val="172"/>
        </w:trPr>
        <w:tc>
          <w:tcPr>
            <w:tcW w:w="21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instructions.</w:t>
            </w:r>
          </w:p>
        </w:tc>
        <w:tc>
          <w:tcPr>
            <w:tcW w:w="2140" w:type="dxa"/>
            <w:vAlign w:val="bottom"/>
          </w:tcPr>
          <w:p>
            <w:pPr>
              <w:spacing w:after="0"/>
              <w:rPr>
                <w:sz w:val="14"/>
                <w:szCs w:val="14"/>
                <w:color w:val="auto"/>
              </w:rPr>
            </w:pPr>
          </w:p>
        </w:tc>
        <w:tc>
          <w:tcPr>
            <w:tcW w:w="2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1421765</wp:posOffset>
            </wp:positionV>
            <wp:extent cx="75438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860" w:type="dxa"/>
            <w:vAlign w:val="bottom"/>
          </w:tcPr>
          <w:p>
            <w:pPr>
              <w:jc w:val="right"/>
              <w:ind w:right="690"/>
              <w:spacing w:after="0"/>
              <w:rPr>
                <w:sz w:val="20"/>
                <w:szCs w:val="20"/>
                <w:color w:val="auto"/>
              </w:rPr>
            </w:pPr>
            <w:r>
              <w:rPr>
                <w:rFonts w:ascii="Arial" w:cs="Arial" w:eastAsia="Arial" w:hAnsi="Arial"/>
                <w:sz w:val="18"/>
                <w:szCs w:val="18"/>
                <w:color w:val="auto"/>
              </w:rPr>
              <w:t>1</w:t>
            </w:r>
          </w:p>
        </w:tc>
      </w:tr>
      <w:tr>
        <w:trPr>
          <w:trHeight w:val="574"/>
        </w:trPr>
        <w:tc>
          <w:tcPr>
            <w:tcW w:w="68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PROXY STATEMENT SUMMARY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400"/>
        <w:spacing w:after="0" w:line="261" w:lineRule="auto"/>
        <w:rPr>
          <w:sz w:val="20"/>
          <w:szCs w:val="20"/>
          <w:color w:val="auto"/>
        </w:rPr>
      </w:pPr>
      <w:r>
        <w:rPr>
          <w:rFonts w:ascii="Arial" w:cs="Arial" w:eastAsia="Arial" w:hAnsi="Arial"/>
          <w:sz w:val="18"/>
          <w:szCs w:val="18"/>
          <w:color w:val="auto"/>
        </w:rPr>
        <w:t>The following table sets forth certain information about our directors and executive officers as of the date of this proxy statement.</w:t>
      </w:r>
    </w:p>
    <w:p>
      <w:pPr>
        <w:spacing w:after="0" w:line="104"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20" w:type="dxa"/>
            <w:vAlign w:val="bottom"/>
            <w:gridSpan w:val="2"/>
          </w:tcPr>
          <w:p>
            <w:pPr>
              <w:ind w:left="980"/>
              <w:spacing w:after="0"/>
              <w:rPr>
                <w:sz w:val="20"/>
                <w:szCs w:val="20"/>
                <w:color w:val="auto"/>
              </w:rPr>
            </w:pPr>
            <w:r>
              <w:rPr>
                <w:rFonts w:ascii="Arial" w:cs="Arial" w:eastAsia="Arial" w:hAnsi="Arial"/>
                <w:sz w:val="14"/>
                <w:szCs w:val="14"/>
                <w:b w:val="1"/>
                <w:bCs w:val="1"/>
                <w:color w:val="002554"/>
              </w:rPr>
              <w:t>Committee Membership</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0" w:type="dxa"/>
            <w:vAlign w:val="bottom"/>
            <w:tcBorders>
              <w:bottom w:val="single" w:sz="8" w:color="00C389"/>
            </w:tcBorders>
          </w:tcPr>
          <w:p>
            <w:pPr>
              <w:spacing w:after="0"/>
              <w:rPr>
                <w:sz w:val="2"/>
                <w:szCs w:val="2"/>
                <w:color w:val="auto"/>
              </w:rPr>
            </w:pPr>
          </w:p>
        </w:tc>
        <w:tc>
          <w:tcPr>
            <w:tcW w:w="1220" w:type="dxa"/>
            <w:vAlign w:val="bottom"/>
            <w:tcBorders>
              <w:bottom w:val="single" w:sz="8" w:color="00C389"/>
            </w:tcBorders>
          </w:tcPr>
          <w:p>
            <w:pPr>
              <w:spacing w:after="0"/>
              <w:rPr>
                <w:sz w:val="2"/>
                <w:szCs w:val="2"/>
                <w:color w:val="auto"/>
              </w:rPr>
            </w:pPr>
          </w:p>
        </w:tc>
        <w:tc>
          <w:tcPr>
            <w:tcW w:w="440" w:type="dxa"/>
            <w:vAlign w:val="bottom"/>
            <w:tcBorders>
              <w:bottom w:val="single" w:sz="8" w:color="00C389"/>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jc w:val="center"/>
              <w:ind w:left="53"/>
              <w:spacing w:after="0"/>
              <w:rPr>
                <w:sz w:val="20"/>
                <w:szCs w:val="20"/>
                <w:color w:val="auto"/>
              </w:rPr>
            </w:pPr>
            <w:r>
              <w:rPr>
                <w:rFonts w:ascii="Arial" w:cs="Arial" w:eastAsia="Arial" w:hAnsi="Arial"/>
                <w:sz w:val="14"/>
                <w:szCs w:val="14"/>
                <w:b w:val="1"/>
                <w:bCs w:val="1"/>
                <w:color w:val="002554"/>
              </w:rPr>
              <w:t>Director or</w:t>
            </w:r>
          </w:p>
        </w:tc>
        <w:tc>
          <w:tcPr>
            <w:tcW w:w="1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554"/>
              </w:rPr>
              <w:t>Nominating</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002554"/>
              </w:rPr>
              <w:t>Name and Primary Occupation</w:t>
            </w:r>
          </w:p>
        </w:tc>
        <w:tc>
          <w:tcPr>
            <w:tcW w:w="1100" w:type="dxa"/>
            <w:vAlign w:val="bottom"/>
          </w:tcPr>
          <w:p>
            <w:pPr>
              <w:jc w:val="center"/>
              <w:ind w:left="33"/>
              <w:spacing w:after="0" w:line="135" w:lineRule="exact"/>
              <w:rPr>
                <w:sz w:val="20"/>
                <w:szCs w:val="20"/>
                <w:color w:val="auto"/>
              </w:rPr>
            </w:pPr>
            <w:r>
              <w:rPr>
                <w:rFonts w:ascii="Arial" w:cs="Arial" w:eastAsia="Arial" w:hAnsi="Arial"/>
                <w:sz w:val="14"/>
                <w:szCs w:val="14"/>
                <w:b w:val="1"/>
                <w:bCs w:val="1"/>
                <w:color w:val="002554"/>
              </w:rPr>
              <w:t>Officer</w:t>
            </w:r>
          </w:p>
        </w:tc>
        <w:tc>
          <w:tcPr>
            <w:tcW w:w="3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002554"/>
              </w:rPr>
              <w:t>Age   Independent   Audit   Compensation</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and Corporate</w:t>
            </w: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002554"/>
                <w:w w:val="94"/>
              </w:rPr>
              <w:t>Risk</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C389"/>
            </w:tcBorders>
            <w:gridSpan w:val="2"/>
            <w:vMerge w:val="continue"/>
          </w:tcPr>
          <w:p>
            <w:pPr>
              <w:spacing w:after="0"/>
              <w:rPr>
                <w:sz w:val="17"/>
                <w:szCs w:val="17"/>
                <w:color w:val="auto"/>
              </w:rPr>
            </w:pPr>
          </w:p>
        </w:tc>
        <w:tc>
          <w:tcPr>
            <w:tcW w:w="1100" w:type="dxa"/>
            <w:vAlign w:val="bottom"/>
            <w:tcBorders>
              <w:bottom w:val="single" w:sz="8" w:color="00C389"/>
            </w:tcBorders>
          </w:tcPr>
          <w:p>
            <w:pPr>
              <w:jc w:val="center"/>
              <w:ind w:left="73"/>
              <w:spacing w:after="0"/>
              <w:rPr>
                <w:sz w:val="20"/>
                <w:szCs w:val="20"/>
                <w:color w:val="auto"/>
              </w:rPr>
            </w:pPr>
            <w:r>
              <w:rPr>
                <w:rFonts w:ascii="Arial" w:cs="Arial" w:eastAsia="Arial" w:hAnsi="Arial"/>
                <w:sz w:val="14"/>
                <w:szCs w:val="14"/>
                <w:b w:val="1"/>
                <w:bCs w:val="1"/>
                <w:color w:val="002554"/>
              </w:rPr>
              <w:t>Since</w:t>
            </w:r>
          </w:p>
        </w:tc>
        <w:tc>
          <w:tcPr>
            <w:tcW w:w="3320" w:type="dxa"/>
            <w:vAlign w:val="bottom"/>
            <w:tcBorders>
              <w:bottom w:val="single" w:sz="8" w:color="00C389"/>
            </w:tcBorders>
            <w:gridSpan w:val="2"/>
            <w:vMerge w:val="continue"/>
          </w:tcPr>
          <w:p>
            <w:pPr>
              <w:spacing w:after="0"/>
              <w:rPr>
                <w:sz w:val="17"/>
                <w:szCs w:val="17"/>
                <w:color w:val="auto"/>
              </w:rPr>
            </w:pPr>
          </w:p>
        </w:tc>
        <w:tc>
          <w:tcPr>
            <w:tcW w:w="122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Governance</w:t>
            </w:r>
          </w:p>
        </w:tc>
        <w:tc>
          <w:tcPr>
            <w:tcW w:w="440" w:type="dxa"/>
            <w:vAlign w:val="bottom"/>
            <w:tcBorders>
              <w:bottom w:val="single" w:sz="8" w:color="00C389"/>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b w:val="1"/>
                <w:bCs w:val="1"/>
                <w:color w:val="auto"/>
              </w:rPr>
              <w:t>Vincent Viola</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2015</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65</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Founder and Chairman Emeritus</w:t>
            </w: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00C389"/>
            </w:tcBorders>
          </w:tcPr>
          <w:p>
            <w:pPr>
              <w:spacing w:after="0"/>
              <w:rPr>
                <w:sz w:val="14"/>
                <w:szCs w:val="14"/>
                <w:color w:val="auto"/>
              </w:rPr>
            </w:pPr>
          </w:p>
        </w:tc>
        <w:tc>
          <w:tcPr>
            <w:tcW w:w="1700" w:type="dxa"/>
            <w:vAlign w:val="bottom"/>
            <w:tcBorders>
              <w:bottom w:val="single" w:sz="8" w:color="00C389"/>
            </w:tcBorders>
          </w:tcPr>
          <w:p>
            <w:pPr>
              <w:spacing w:after="0"/>
              <w:rPr>
                <w:sz w:val="14"/>
                <w:szCs w:val="14"/>
                <w:color w:val="auto"/>
              </w:rPr>
            </w:pPr>
          </w:p>
        </w:tc>
        <w:tc>
          <w:tcPr>
            <w:tcW w:w="1100" w:type="dxa"/>
            <w:vAlign w:val="bottom"/>
            <w:tcBorders>
              <w:bottom w:val="single" w:sz="8" w:color="00C389"/>
            </w:tcBorders>
          </w:tcPr>
          <w:p>
            <w:pPr>
              <w:spacing w:after="0"/>
              <w:rPr>
                <w:sz w:val="14"/>
                <w:szCs w:val="14"/>
                <w:color w:val="auto"/>
              </w:rPr>
            </w:pPr>
          </w:p>
        </w:tc>
        <w:tc>
          <w:tcPr>
            <w:tcW w:w="1520" w:type="dxa"/>
            <w:vAlign w:val="bottom"/>
            <w:tcBorders>
              <w:bottom w:val="single" w:sz="8" w:color="00C389"/>
            </w:tcBorders>
          </w:tcPr>
          <w:p>
            <w:pPr>
              <w:spacing w:after="0"/>
              <w:rPr>
                <w:sz w:val="14"/>
                <w:szCs w:val="14"/>
                <w:color w:val="auto"/>
              </w:rPr>
            </w:pPr>
          </w:p>
        </w:tc>
        <w:tc>
          <w:tcPr>
            <w:tcW w:w="1800" w:type="dxa"/>
            <w:vAlign w:val="bottom"/>
            <w:tcBorders>
              <w:bottom w:val="single" w:sz="8" w:color="00C389"/>
            </w:tcBorders>
          </w:tcPr>
          <w:p>
            <w:pPr>
              <w:spacing w:after="0"/>
              <w:rPr>
                <w:sz w:val="14"/>
                <w:szCs w:val="14"/>
                <w:color w:val="auto"/>
              </w:rPr>
            </w:pPr>
          </w:p>
        </w:tc>
        <w:tc>
          <w:tcPr>
            <w:tcW w:w="1220" w:type="dxa"/>
            <w:vAlign w:val="bottom"/>
            <w:tcBorders>
              <w:bottom w:val="single" w:sz="8" w:color="00C389"/>
            </w:tcBorders>
          </w:tcPr>
          <w:p>
            <w:pPr>
              <w:spacing w:after="0"/>
              <w:rPr>
                <w:sz w:val="14"/>
                <w:szCs w:val="14"/>
                <w:color w:val="auto"/>
              </w:rPr>
            </w:pPr>
          </w:p>
        </w:tc>
        <w:tc>
          <w:tcPr>
            <w:tcW w:w="440" w:type="dxa"/>
            <w:vAlign w:val="bottom"/>
            <w:tcBorders>
              <w:bottom w:val="single" w:sz="8" w:color="00C389"/>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8"/>
                <w:szCs w:val="18"/>
                <w:b w:val="1"/>
                <w:bCs w:val="1"/>
                <w:color w:val="auto"/>
              </w:rPr>
              <w:t>Douglas A. Cifu</w:t>
            </w:r>
          </w:p>
        </w:tc>
        <w:tc>
          <w:tcPr>
            <w:tcW w:w="1700" w:type="dxa"/>
            <w:vAlign w:val="bottom"/>
          </w:tcPr>
          <w:p>
            <w:pPr>
              <w:spacing w:after="0"/>
              <w:rPr>
                <w:sz w:val="20"/>
                <w:szCs w:val="20"/>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2013</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55</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1400" w:type="dxa"/>
            <w:vAlign w:val="bottom"/>
            <w:tcBorders>
              <w:bottom w:val="single" w:sz="8" w:color="00C389"/>
            </w:tcBorders>
          </w:tcPr>
          <w:p>
            <w:pPr>
              <w:spacing w:after="0"/>
              <w:rPr>
                <w:sz w:val="8"/>
                <w:szCs w:val="8"/>
                <w:color w:val="auto"/>
              </w:rPr>
            </w:pPr>
          </w:p>
        </w:tc>
        <w:tc>
          <w:tcPr>
            <w:tcW w:w="1700" w:type="dxa"/>
            <w:vAlign w:val="bottom"/>
            <w:tcBorders>
              <w:bottom w:val="single" w:sz="8" w:color="00C389"/>
            </w:tcBorders>
          </w:tcPr>
          <w:p>
            <w:pPr>
              <w:spacing w:after="0"/>
              <w:rPr>
                <w:sz w:val="8"/>
                <w:szCs w:val="8"/>
                <w:color w:val="auto"/>
              </w:rPr>
            </w:pPr>
          </w:p>
        </w:tc>
        <w:tc>
          <w:tcPr>
            <w:tcW w:w="1100" w:type="dxa"/>
            <w:vAlign w:val="bottom"/>
            <w:tcBorders>
              <w:bottom w:val="single" w:sz="8" w:color="00C389"/>
            </w:tcBorders>
          </w:tcPr>
          <w:p>
            <w:pPr>
              <w:spacing w:after="0"/>
              <w:rPr>
                <w:sz w:val="8"/>
                <w:szCs w:val="8"/>
                <w:color w:val="auto"/>
              </w:rPr>
            </w:pPr>
          </w:p>
        </w:tc>
        <w:tc>
          <w:tcPr>
            <w:tcW w:w="1520" w:type="dxa"/>
            <w:vAlign w:val="bottom"/>
            <w:tcBorders>
              <w:bottom w:val="single" w:sz="8" w:color="00C389"/>
            </w:tcBorders>
          </w:tcPr>
          <w:p>
            <w:pPr>
              <w:spacing w:after="0"/>
              <w:rPr>
                <w:sz w:val="8"/>
                <w:szCs w:val="8"/>
                <w:color w:val="auto"/>
              </w:rPr>
            </w:pPr>
          </w:p>
        </w:tc>
        <w:tc>
          <w:tcPr>
            <w:tcW w:w="1800" w:type="dxa"/>
            <w:vAlign w:val="bottom"/>
            <w:tcBorders>
              <w:bottom w:val="single" w:sz="8" w:color="00C389"/>
            </w:tcBorders>
          </w:tcPr>
          <w:p>
            <w:pPr>
              <w:spacing w:after="0"/>
              <w:rPr>
                <w:sz w:val="8"/>
                <w:szCs w:val="8"/>
                <w:color w:val="auto"/>
              </w:rPr>
            </w:pPr>
          </w:p>
        </w:tc>
        <w:tc>
          <w:tcPr>
            <w:tcW w:w="1220" w:type="dxa"/>
            <w:vAlign w:val="bottom"/>
            <w:tcBorders>
              <w:bottom w:val="single" w:sz="8" w:color="00C389"/>
            </w:tcBorders>
          </w:tcPr>
          <w:p>
            <w:pPr>
              <w:spacing w:after="0"/>
              <w:rPr>
                <w:sz w:val="8"/>
                <w:szCs w:val="8"/>
                <w:color w:val="auto"/>
              </w:rPr>
            </w:pPr>
          </w:p>
        </w:tc>
        <w:tc>
          <w:tcPr>
            <w:tcW w:w="440" w:type="dxa"/>
            <w:vAlign w:val="bottom"/>
            <w:tcBorders>
              <w:bottom w:val="single" w:sz="8" w:color="00C389"/>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b w:val="1"/>
                <w:bCs w:val="1"/>
                <w:color w:val="auto"/>
              </w:rPr>
              <w:t>Robert Greifeld</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2017</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63</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100" w:type="dxa"/>
            <w:vAlign w:val="bottom"/>
            <w:tcBorders>
              <w:bottom w:val="single" w:sz="8" w:color="00C389"/>
            </w:tcBorders>
            <w:gridSpan w:val="2"/>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William F. Cruger, Jr.</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2015</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62</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100" w:type="dxa"/>
            <w:vAlign w:val="bottom"/>
            <w:tcBorders>
              <w:bottom w:val="single" w:sz="8" w:color="00C389"/>
            </w:tcBorders>
            <w:gridSpan w:val="2"/>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Virginia Gambale</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2020</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61</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100" w:type="dxa"/>
            <w:vAlign w:val="bottom"/>
            <w:tcBorders>
              <w:bottom w:val="single" w:sz="8" w:color="00C389"/>
            </w:tcBorders>
            <w:gridSpan w:val="2"/>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Joseph J. Grano, Jr.</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2017</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73</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00" w:type="dxa"/>
            <w:vAlign w:val="bottom"/>
            <w:tcBorders>
              <w:bottom w:val="single" w:sz="8" w:color="00C389"/>
            </w:tcBorders>
          </w:tcPr>
          <w:p>
            <w:pPr>
              <w:spacing w:after="0"/>
              <w:rPr>
                <w:sz w:val="5"/>
                <w:szCs w:val="5"/>
                <w:color w:val="auto"/>
              </w:rPr>
            </w:pPr>
          </w:p>
        </w:tc>
        <w:tc>
          <w:tcPr>
            <w:tcW w:w="1700" w:type="dxa"/>
            <w:vAlign w:val="bottom"/>
            <w:tcBorders>
              <w:bottom w:val="single" w:sz="8" w:color="00C389"/>
            </w:tcBorders>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b w:val="1"/>
                <w:bCs w:val="1"/>
                <w:color w:val="auto"/>
              </w:rPr>
              <w:t>Glenn Hutchins</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2017</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65</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400" w:type="dxa"/>
            <w:vAlign w:val="bottom"/>
            <w:tcBorders>
              <w:bottom w:val="single" w:sz="8" w:color="00C389"/>
            </w:tcBorders>
          </w:tcPr>
          <w:p>
            <w:pPr>
              <w:spacing w:after="0"/>
              <w:rPr>
                <w:sz w:val="5"/>
                <w:szCs w:val="5"/>
                <w:color w:val="auto"/>
              </w:rPr>
            </w:pPr>
          </w:p>
        </w:tc>
        <w:tc>
          <w:tcPr>
            <w:tcW w:w="1700" w:type="dxa"/>
            <w:vAlign w:val="bottom"/>
            <w:tcBorders>
              <w:bottom w:val="single" w:sz="8" w:color="00C389"/>
            </w:tcBorders>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b w:val="1"/>
                <w:bCs w:val="1"/>
                <w:color w:val="auto"/>
              </w:rPr>
              <w:t>John D. Nixon</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2015</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65</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100" w:type="dxa"/>
            <w:vAlign w:val="bottom"/>
            <w:tcBorders>
              <w:bottom w:val="single" w:sz="8" w:color="00C389"/>
            </w:tcBorders>
            <w:gridSpan w:val="2"/>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Christopher C. Quick</w:t>
            </w: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2016</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63</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00" w:type="dxa"/>
            <w:vAlign w:val="bottom"/>
            <w:tcBorders>
              <w:bottom w:val="single" w:sz="8" w:color="00C389"/>
            </w:tcBorders>
          </w:tcPr>
          <w:p>
            <w:pPr>
              <w:spacing w:after="0"/>
              <w:rPr>
                <w:sz w:val="5"/>
                <w:szCs w:val="5"/>
                <w:color w:val="auto"/>
              </w:rPr>
            </w:pPr>
          </w:p>
        </w:tc>
        <w:tc>
          <w:tcPr>
            <w:tcW w:w="1700" w:type="dxa"/>
            <w:vAlign w:val="bottom"/>
            <w:tcBorders>
              <w:bottom w:val="single" w:sz="8" w:color="00C389"/>
            </w:tcBorders>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b w:val="1"/>
                <w:bCs w:val="1"/>
                <w:color w:val="auto"/>
              </w:rPr>
              <w:t>David J. Urban</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2018</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57</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00" w:type="dxa"/>
            <w:vAlign w:val="bottom"/>
            <w:tcBorders>
              <w:bottom w:val="single" w:sz="8" w:color="00C389"/>
            </w:tcBorders>
          </w:tcPr>
          <w:p>
            <w:pPr>
              <w:spacing w:after="0"/>
              <w:rPr>
                <w:sz w:val="5"/>
                <w:szCs w:val="5"/>
                <w:color w:val="auto"/>
              </w:rPr>
            </w:pPr>
          </w:p>
        </w:tc>
        <w:tc>
          <w:tcPr>
            <w:tcW w:w="1700" w:type="dxa"/>
            <w:vAlign w:val="bottom"/>
            <w:tcBorders>
              <w:bottom w:val="single" w:sz="8" w:color="00C389"/>
            </w:tcBorders>
          </w:tcPr>
          <w:p>
            <w:pPr>
              <w:spacing w:after="0"/>
              <w:rPr>
                <w:sz w:val="5"/>
                <w:szCs w:val="5"/>
                <w:color w:val="auto"/>
              </w:rPr>
            </w:pPr>
          </w:p>
        </w:tc>
        <w:tc>
          <w:tcPr>
            <w:tcW w:w="1100" w:type="dxa"/>
            <w:vAlign w:val="bottom"/>
            <w:tcBorders>
              <w:bottom w:val="single" w:sz="8" w:color="00C389"/>
            </w:tcBorders>
          </w:tcPr>
          <w:p>
            <w:pPr>
              <w:spacing w:after="0"/>
              <w:rPr>
                <w:sz w:val="5"/>
                <w:szCs w:val="5"/>
                <w:color w:val="auto"/>
              </w:rPr>
            </w:pPr>
          </w:p>
        </w:tc>
        <w:tc>
          <w:tcPr>
            <w:tcW w:w="1520" w:type="dxa"/>
            <w:vAlign w:val="bottom"/>
            <w:tcBorders>
              <w:bottom w:val="single" w:sz="8" w:color="00C389"/>
            </w:tcBorders>
          </w:tcPr>
          <w:p>
            <w:pPr>
              <w:spacing w:after="0"/>
              <w:rPr>
                <w:sz w:val="5"/>
                <w:szCs w:val="5"/>
                <w:color w:val="auto"/>
              </w:rPr>
            </w:pPr>
          </w:p>
        </w:tc>
        <w:tc>
          <w:tcPr>
            <w:tcW w:w="1800" w:type="dxa"/>
            <w:vAlign w:val="bottom"/>
            <w:tcBorders>
              <w:bottom w:val="single" w:sz="8" w:color="00C389"/>
            </w:tcBorders>
          </w:tcPr>
          <w:p>
            <w:pPr>
              <w:spacing w:after="0"/>
              <w:rPr>
                <w:sz w:val="5"/>
                <w:szCs w:val="5"/>
                <w:color w:val="auto"/>
              </w:rPr>
            </w:pPr>
          </w:p>
        </w:tc>
        <w:tc>
          <w:tcPr>
            <w:tcW w:w="122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0"/>
                <w:szCs w:val="20"/>
                <w:color w:val="auto"/>
              </w:rPr>
            </w:pPr>
            <w:r>
              <w:rPr>
                <w:rFonts w:ascii="Arial" w:cs="Arial" w:eastAsia="Arial" w:hAnsi="Arial"/>
                <w:sz w:val="18"/>
                <w:szCs w:val="18"/>
                <w:b w:val="1"/>
                <w:bCs w:val="1"/>
                <w:color w:val="auto"/>
              </w:rPr>
              <w:t>Michael T. Viola</w:t>
            </w:r>
          </w:p>
        </w:tc>
        <w:tc>
          <w:tcPr>
            <w:tcW w:w="1700" w:type="dxa"/>
            <w:vAlign w:val="bottom"/>
          </w:tcPr>
          <w:p>
            <w:pPr>
              <w:spacing w:after="0"/>
              <w:rPr>
                <w:sz w:val="24"/>
                <w:szCs w:val="24"/>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2016</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34</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00C389"/>
            </w:tcBorders>
          </w:tcPr>
          <w:p>
            <w:pPr>
              <w:spacing w:after="0"/>
              <w:rPr>
                <w:sz w:val="4"/>
                <w:szCs w:val="4"/>
                <w:color w:val="auto"/>
              </w:rPr>
            </w:pPr>
          </w:p>
        </w:tc>
        <w:tc>
          <w:tcPr>
            <w:tcW w:w="1700" w:type="dxa"/>
            <w:vAlign w:val="bottom"/>
            <w:tcBorders>
              <w:bottom w:val="single" w:sz="8" w:color="00C389"/>
            </w:tcBorders>
          </w:tcPr>
          <w:p>
            <w:pPr>
              <w:spacing w:after="0"/>
              <w:rPr>
                <w:sz w:val="4"/>
                <w:szCs w:val="4"/>
                <w:color w:val="auto"/>
              </w:rPr>
            </w:pPr>
          </w:p>
        </w:tc>
        <w:tc>
          <w:tcPr>
            <w:tcW w:w="1100" w:type="dxa"/>
            <w:vAlign w:val="bottom"/>
            <w:tcBorders>
              <w:bottom w:val="single" w:sz="8" w:color="00C389"/>
            </w:tcBorders>
          </w:tcPr>
          <w:p>
            <w:pPr>
              <w:spacing w:after="0"/>
              <w:rPr>
                <w:sz w:val="4"/>
                <w:szCs w:val="4"/>
                <w:color w:val="auto"/>
              </w:rPr>
            </w:pPr>
          </w:p>
        </w:tc>
        <w:tc>
          <w:tcPr>
            <w:tcW w:w="1520" w:type="dxa"/>
            <w:vAlign w:val="bottom"/>
            <w:tcBorders>
              <w:bottom w:val="single" w:sz="8" w:color="00C389"/>
            </w:tcBorders>
          </w:tcPr>
          <w:p>
            <w:pPr>
              <w:spacing w:after="0"/>
              <w:rPr>
                <w:sz w:val="4"/>
                <w:szCs w:val="4"/>
                <w:color w:val="auto"/>
              </w:rPr>
            </w:pPr>
          </w:p>
        </w:tc>
        <w:tc>
          <w:tcPr>
            <w:tcW w:w="1800" w:type="dxa"/>
            <w:vAlign w:val="bottom"/>
            <w:tcBorders>
              <w:bottom w:val="single" w:sz="8" w:color="00C389"/>
            </w:tcBorders>
          </w:tcPr>
          <w:p>
            <w:pPr>
              <w:spacing w:after="0"/>
              <w:rPr>
                <w:sz w:val="4"/>
                <w:szCs w:val="4"/>
                <w:color w:val="auto"/>
              </w:rPr>
            </w:pPr>
          </w:p>
        </w:tc>
        <w:tc>
          <w:tcPr>
            <w:tcW w:w="1220" w:type="dxa"/>
            <w:vAlign w:val="bottom"/>
            <w:tcBorders>
              <w:bottom w:val="single" w:sz="8" w:color="00C389"/>
            </w:tcBorders>
          </w:tcPr>
          <w:p>
            <w:pPr>
              <w:spacing w:after="0"/>
              <w:rPr>
                <w:sz w:val="4"/>
                <w:szCs w:val="4"/>
                <w:color w:val="auto"/>
              </w:rPr>
            </w:pPr>
          </w:p>
        </w:tc>
        <w:tc>
          <w:tcPr>
            <w:tcW w:w="440" w:type="dxa"/>
            <w:vAlign w:val="bottom"/>
            <w:tcBorders>
              <w:bottom w:val="single" w:sz="8" w:color="00C389"/>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8"/>
                <w:szCs w:val="18"/>
                <w:b w:val="1"/>
                <w:bCs w:val="1"/>
                <w:color w:val="auto"/>
              </w:rPr>
              <w:t>Stephen Cavoli</w:t>
            </w:r>
          </w:p>
        </w:tc>
        <w:tc>
          <w:tcPr>
            <w:tcW w:w="1700" w:type="dxa"/>
            <w:vAlign w:val="bottom"/>
          </w:tcPr>
          <w:p>
            <w:pPr>
              <w:spacing w:after="0"/>
              <w:rPr>
                <w:sz w:val="20"/>
                <w:szCs w:val="20"/>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2017</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52</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Executive Vice President, Markets</w:t>
            </w: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00C389"/>
            </w:tcBorders>
          </w:tcPr>
          <w:p>
            <w:pPr>
              <w:spacing w:after="0"/>
              <w:rPr>
                <w:sz w:val="14"/>
                <w:szCs w:val="14"/>
                <w:color w:val="auto"/>
              </w:rPr>
            </w:pPr>
          </w:p>
        </w:tc>
        <w:tc>
          <w:tcPr>
            <w:tcW w:w="1700" w:type="dxa"/>
            <w:vAlign w:val="bottom"/>
            <w:tcBorders>
              <w:bottom w:val="single" w:sz="8" w:color="00C389"/>
            </w:tcBorders>
          </w:tcPr>
          <w:p>
            <w:pPr>
              <w:spacing w:after="0"/>
              <w:rPr>
                <w:sz w:val="14"/>
                <w:szCs w:val="14"/>
                <w:color w:val="auto"/>
              </w:rPr>
            </w:pPr>
          </w:p>
        </w:tc>
        <w:tc>
          <w:tcPr>
            <w:tcW w:w="1100" w:type="dxa"/>
            <w:vAlign w:val="bottom"/>
            <w:tcBorders>
              <w:bottom w:val="single" w:sz="8" w:color="00C389"/>
            </w:tcBorders>
          </w:tcPr>
          <w:p>
            <w:pPr>
              <w:spacing w:after="0"/>
              <w:rPr>
                <w:sz w:val="14"/>
                <w:szCs w:val="14"/>
                <w:color w:val="auto"/>
              </w:rPr>
            </w:pPr>
          </w:p>
        </w:tc>
        <w:tc>
          <w:tcPr>
            <w:tcW w:w="1520" w:type="dxa"/>
            <w:vAlign w:val="bottom"/>
            <w:tcBorders>
              <w:bottom w:val="single" w:sz="8" w:color="00C389"/>
            </w:tcBorders>
          </w:tcPr>
          <w:p>
            <w:pPr>
              <w:spacing w:after="0"/>
              <w:rPr>
                <w:sz w:val="14"/>
                <w:szCs w:val="14"/>
                <w:color w:val="auto"/>
              </w:rPr>
            </w:pPr>
          </w:p>
        </w:tc>
        <w:tc>
          <w:tcPr>
            <w:tcW w:w="1800" w:type="dxa"/>
            <w:vAlign w:val="bottom"/>
            <w:tcBorders>
              <w:bottom w:val="single" w:sz="8" w:color="00C389"/>
            </w:tcBorders>
          </w:tcPr>
          <w:p>
            <w:pPr>
              <w:spacing w:after="0"/>
              <w:rPr>
                <w:sz w:val="14"/>
                <w:szCs w:val="14"/>
                <w:color w:val="auto"/>
              </w:rPr>
            </w:pPr>
          </w:p>
        </w:tc>
        <w:tc>
          <w:tcPr>
            <w:tcW w:w="1220" w:type="dxa"/>
            <w:vAlign w:val="bottom"/>
            <w:tcBorders>
              <w:bottom w:val="single" w:sz="8" w:color="00C389"/>
            </w:tcBorders>
          </w:tcPr>
          <w:p>
            <w:pPr>
              <w:spacing w:after="0"/>
              <w:rPr>
                <w:sz w:val="14"/>
                <w:szCs w:val="14"/>
                <w:color w:val="auto"/>
              </w:rPr>
            </w:pPr>
          </w:p>
        </w:tc>
        <w:tc>
          <w:tcPr>
            <w:tcW w:w="440" w:type="dxa"/>
            <w:vAlign w:val="bottom"/>
            <w:tcBorders>
              <w:bottom w:val="single" w:sz="8" w:color="00C389"/>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b w:val="1"/>
                <w:bCs w:val="1"/>
                <w:color w:val="auto"/>
                <w:w w:val="99"/>
              </w:rPr>
              <w:t>Brett Fairclough</w:t>
            </w:r>
          </w:p>
        </w:tc>
        <w:tc>
          <w:tcPr>
            <w:tcW w:w="1700" w:type="dxa"/>
            <w:vAlign w:val="bottom"/>
          </w:tcPr>
          <w:p>
            <w:pPr>
              <w:spacing w:after="0"/>
              <w:rPr>
                <w:sz w:val="18"/>
                <w:szCs w:val="18"/>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2019</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38</w:t>
            </w: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w w:val="98"/>
              </w:rPr>
              <w:t>Co-President and</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1100" w:type="dxa"/>
            <w:vAlign w:val="bottom"/>
            <w:tcBorders>
              <w:bottom w:val="single" w:sz="8" w:color="00C389"/>
            </w:tcBorders>
          </w:tcPr>
          <w:p>
            <w:pPr>
              <w:spacing w:after="0"/>
              <w:rPr>
                <w:sz w:val="19"/>
                <w:szCs w:val="19"/>
                <w:color w:val="auto"/>
              </w:rPr>
            </w:pPr>
          </w:p>
        </w:tc>
        <w:tc>
          <w:tcPr>
            <w:tcW w:w="1520" w:type="dxa"/>
            <w:vAlign w:val="bottom"/>
            <w:tcBorders>
              <w:bottom w:val="single" w:sz="8" w:color="00C389"/>
            </w:tcBorders>
          </w:tcPr>
          <w:p>
            <w:pPr>
              <w:spacing w:after="0"/>
              <w:rPr>
                <w:sz w:val="19"/>
                <w:szCs w:val="19"/>
                <w:color w:val="auto"/>
              </w:rPr>
            </w:pPr>
          </w:p>
        </w:tc>
        <w:tc>
          <w:tcPr>
            <w:tcW w:w="1800" w:type="dxa"/>
            <w:vAlign w:val="bottom"/>
            <w:tcBorders>
              <w:bottom w:val="single" w:sz="8" w:color="00C389"/>
            </w:tcBorders>
          </w:tcPr>
          <w:p>
            <w:pPr>
              <w:spacing w:after="0"/>
              <w:rPr>
                <w:sz w:val="19"/>
                <w:szCs w:val="19"/>
                <w:color w:val="auto"/>
              </w:rPr>
            </w:pPr>
          </w:p>
        </w:tc>
        <w:tc>
          <w:tcPr>
            <w:tcW w:w="1220" w:type="dxa"/>
            <w:vAlign w:val="bottom"/>
            <w:tcBorders>
              <w:bottom w:val="single" w:sz="8" w:color="00C389"/>
            </w:tcBorders>
          </w:tcPr>
          <w:p>
            <w:pPr>
              <w:spacing w:after="0"/>
              <w:rPr>
                <w:sz w:val="19"/>
                <w:szCs w:val="19"/>
                <w:color w:val="auto"/>
              </w:rPr>
            </w:pPr>
          </w:p>
        </w:tc>
        <w:tc>
          <w:tcPr>
            <w:tcW w:w="440" w:type="dxa"/>
            <w:vAlign w:val="bottom"/>
            <w:tcBorders>
              <w:bottom w:val="single" w:sz="8" w:color="00C38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20"/>
                <w:szCs w:val="20"/>
                <w:color w:val="auto"/>
              </w:rPr>
            </w:pPr>
            <w:r>
              <w:rPr>
                <w:rFonts w:ascii="Arial" w:cs="Arial" w:eastAsia="Arial" w:hAnsi="Arial"/>
                <w:sz w:val="18"/>
                <w:szCs w:val="18"/>
                <w:b w:val="1"/>
                <w:bCs w:val="1"/>
                <w:color w:val="auto"/>
              </w:rPr>
              <w:t>Sean P. Galvin</w:t>
            </w:r>
          </w:p>
        </w:tc>
        <w:tc>
          <w:tcPr>
            <w:tcW w:w="1700" w:type="dxa"/>
            <w:vAlign w:val="bottom"/>
          </w:tcPr>
          <w:p>
            <w:pPr>
              <w:spacing w:after="0"/>
              <w:rPr>
                <w:sz w:val="18"/>
                <w:szCs w:val="18"/>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2020</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56</w:t>
            </w: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Chief Financial Officer</w:t>
            </w:r>
          </w:p>
        </w:tc>
        <w:tc>
          <w:tcPr>
            <w:tcW w:w="1100" w:type="dxa"/>
            <w:vAlign w:val="bottom"/>
            <w:tcBorders>
              <w:bottom w:val="single" w:sz="8" w:color="00C389"/>
            </w:tcBorders>
          </w:tcPr>
          <w:p>
            <w:pPr>
              <w:spacing w:after="0"/>
              <w:rPr>
                <w:sz w:val="19"/>
                <w:szCs w:val="19"/>
                <w:color w:val="auto"/>
              </w:rPr>
            </w:pPr>
          </w:p>
        </w:tc>
        <w:tc>
          <w:tcPr>
            <w:tcW w:w="1520" w:type="dxa"/>
            <w:vAlign w:val="bottom"/>
            <w:tcBorders>
              <w:bottom w:val="single" w:sz="8" w:color="00C389"/>
            </w:tcBorders>
          </w:tcPr>
          <w:p>
            <w:pPr>
              <w:spacing w:after="0"/>
              <w:rPr>
                <w:sz w:val="19"/>
                <w:szCs w:val="19"/>
                <w:color w:val="auto"/>
              </w:rPr>
            </w:pPr>
          </w:p>
        </w:tc>
        <w:tc>
          <w:tcPr>
            <w:tcW w:w="1800" w:type="dxa"/>
            <w:vAlign w:val="bottom"/>
            <w:tcBorders>
              <w:bottom w:val="single" w:sz="8" w:color="00C389"/>
            </w:tcBorders>
          </w:tcPr>
          <w:p>
            <w:pPr>
              <w:spacing w:after="0"/>
              <w:rPr>
                <w:sz w:val="19"/>
                <w:szCs w:val="19"/>
                <w:color w:val="auto"/>
              </w:rPr>
            </w:pPr>
          </w:p>
        </w:tc>
        <w:tc>
          <w:tcPr>
            <w:tcW w:w="1220" w:type="dxa"/>
            <w:vAlign w:val="bottom"/>
            <w:tcBorders>
              <w:bottom w:val="single" w:sz="8" w:color="00C389"/>
            </w:tcBorders>
          </w:tcPr>
          <w:p>
            <w:pPr>
              <w:spacing w:after="0"/>
              <w:rPr>
                <w:sz w:val="19"/>
                <w:szCs w:val="19"/>
                <w:color w:val="auto"/>
              </w:rPr>
            </w:pPr>
          </w:p>
        </w:tc>
        <w:tc>
          <w:tcPr>
            <w:tcW w:w="440" w:type="dxa"/>
            <w:vAlign w:val="bottom"/>
            <w:tcBorders>
              <w:bottom w:val="single" w:sz="8" w:color="00C389"/>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20"/>
                <w:szCs w:val="20"/>
                <w:color w:val="auto"/>
              </w:rPr>
            </w:pPr>
            <w:r>
              <w:rPr>
                <w:rFonts w:ascii="Arial" w:cs="Arial" w:eastAsia="Arial" w:hAnsi="Arial"/>
                <w:sz w:val="18"/>
                <w:szCs w:val="18"/>
                <w:b w:val="1"/>
                <w:bCs w:val="1"/>
                <w:color w:val="auto"/>
              </w:rPr>
              <w:t>Joseph Molluso</w:t>
            </w:r>
          </w:p>
        </w:tc>
        <w:tc>
          <w:tcPr>
            <w:tcW w:w="1700" w:type="dxa"/>
            <w:vAlign w:val="bottom"/>
          </w:tcPr>
          <w:p>
            <w:pPr>
              <w:spacing w:after="0"/>
              <w:rPr>
                <w:sz w:val="18"/>
                <w:szCs w:val="18"/>
                <w:color w:val="auto"/>
              </w:rPr>
            </w:pPr>
          </w:p>
        </w:tc>
        <w:tc>
          <w:tcPr>
            <w:tcW w:w="1100" w:type="dxa"/>
            <w:vAlign w:val="bottom"/>
          </w:tcPr>
          <w:p>
            <w:pPr>
              <w:jc w:val="center"/>
              <w:ind w:left="93"/>
              <w:spacing w:after="0"/>
              <w:rPr>
                <w:sz w:val="20"/>
                <w:szCs w:val="20"/>
                <w:color w:val="auto"/>
              </w:rPr>
            </w:pPr>
            <w:r>
              <w:rPr>
                <w:rFonts w:ascii="Arial" w:cs="Arial" w:eastAsia="Arial" w:hAnsi="Arial"/>
                <w:sz w:val="18"/>
                <w:szCs w:val="18"/>
                <w:color w:val="auto"/>
                <w:w w:val="99"/>
              </w:rPr>
              <w:t>2020</w:t>
            </w:r>
          </w:p>
        </w:tc>
        <w:tc>
          <w:tcPr>
            <w:tcW w:w="1520" w:type="dxa"/>
            <w:vAlign w:val="bottom"/>
          </w:tcPr>
          <w:p>
            <w:pPr>
              <w:jc w:val="right"/>
              <w:ind w:right="1091"/>
              <w:spacing w:after="0"/>
              <w:rPr>
                <w:sz w:val="20"/>
                <w:szCs w:val="20"/>
                <w:color w:val="auto"/>
              </w:rPr>
            </w:pPr>
            <w:r>
              <w:rPr>
                <w:rFonts w:ascii="Arial" w:cs="Arial" w:eastAsia="Arial" w:hAnsi="Arial"/>
                <w:sz w:val="18"/>
                <w:szCs w:val="18"/>
                <w:color w:val="auto"/>
              </w:rPr>
              <w:t>52</w:t>
            </w: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w w:val="98"/>
              </w:rPr>
              <w:t>Co-President and</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00C389"/>
            </w:tcBorders>
            <w:gridSpan w:val="2"/>
          </w:tcPr>
          <w:p>
            <w:pPr>
              <w:spacing w:after="0"/>
              <w:rPr>
                <w:sz w:val="20"/>
                <w:szCs w:val="20"/>
                <w:color w:val="auto"/>
              </w:rPr>
            </w:pPr>
            <w:r>
              <w:rPr>
                <w:rFonts w:ascii="Arial" w:cs="Arial" w:eastAsia="Arial" w:hAnsi="Arial"/>
                <w:sz w:val="18"/>
                <w:szCs w:val="18"/>
                <w:color w:val="auto"/>
              </w:rPr>
              <w:t>Co-Chief Operating Officer</w:t>
            </w:r>
          </w:p>
        </w:tc>
        <w:tc>
          <w:tcPr>
            <w:tcW w:w="1100" w:type="dxa"/>
            <w:vAlign w:val="bottom"/>
            <w:tcBorders>
              <w:bottom w:val="single" w:sz="8" w:color="00C389"/>
            </w:tcBorders>
          </w:tcPr>
          <w:p>
            <w:pPr>
              <w:spacing w:after="0"/>
              <w:rPr>
                <w:sz w:val="19"/>
                <w:szCs w:val="19"/>
                <w:color w:val="auto"/>
              </w:rPr>
            </w:pPr>
          </w:p>
        </w:tc>
        <w:tc>
          <w:tcPr>
            <w:tcW w:w="1520" w:type="dxa"/>
            <w:vAlign w:val="bottom"/>
            <w:tcBorders>
              <w:bottom w:val="single" w:sz="8" w:color="00C389"/>
            </w:tcBorders>
          </w:tcPr>
          <w:p>
            <w:pPr>
              <w:spacing w:after="0"/>
              <w:rPr>
                <w:sz w:val="19"/>
                <w:szCs w:val="19"/>
                <w:color w:val="auto"/>
              </w:rPr>
            </w:pPr>
          </w:p>
        </w:tc>
        <w:tc>
          <w:tcPr>
            <w:tcW w:w="1800" w:type="dxa"/>
            <w:vAlign w:val="bottom"/>
            <w:tcBorders>
              <w:bottom w:val="single" w:sz="8" w:color="00C389"/>
            </w:tcBorders>
          </w:tcPr>
          <w:p>
            <w:pPr>
              <w:spacing w:after="0"/>
              <w:rPr>
                <w:sz w:val="19"/>
                <w:szCs w:val="19"/>
                <w:color w:val="auto"/>
              </w:rPr>
            </w:pPr>
          </w:p>
        </w:tc>
        <w:tc>
          <w:tcPr>
            <w:tcW w:w="1220" w:type="dxa"/>
            <w:vAlign w:val="bottom"/>
            <w:tcBorders>
              <w:bottom w:val="single" w:sz="8" w:color="00C389"/>
            </w:tcBorders>
          </w:tcPr>
          <w:p>
            <w:pPr>
              <w:spacing w:after="0"/>
              <w:rPr>
                <w:sz w:val="19"/>
                <w:szCs w:val="19"/>
                <w:color w:val="auto"/>
              </w:rPr>
            </w:pPr>
          </w:p>
        </w:tc>
        <w:tc>
          <w:tcPr>
            <w:tcW w:w="440" w:type="dxa"/>
            <w:vAlign w:val="bottom"/>
            <w:tcBorders>
              <w:bottom w:val="single" w:sz="8" w:color="00C389"/>
            </w:tcBorders>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400" w:type="dxa"/>
            <w:vAlign w:val="bottom"/>
          </w:tcPr>
          <w:p>
            <w:pPr>
              <w:ind w:left="240"/>
              <w:spacing w:after="0"/>
              <w:rPr>
                <w:sz w:val="20"/>
                <w:szCs w:val="20"/>
                <w:color w:val="auto"/>
              </w:rPr>
            </w:pPr>
            <w:r>
              <w:rPr>
                <w:rFonts w:ascii="Arial" w:cs="Arial" w:eastAsia="Arial" w:hAnsi="Arial"/>
                <w:sz w:val="18"/>
                <w:szCs w:val="18"/>
                <w:color w:val="auto"/>
              </w:rPr>
              <w:t>Member</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Audit Committee Financial Expert</w:t>
            </w: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-205105</wp:posOffset>
            </wp:positionV>
            <wp:extent cx="1200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-5288280</wp:posOffset>
            </wp:positionV>
            <wp:extent cx="1631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-5288280</wp:posOffset>
            </wp:positionV>
            <wp:extent cx="1200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-5288280</wp:posOffset>
            </wp:positionV>
            <wp:extent cx="12001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-4919980</wp:posOffset>
            </wp:positionV>
            <wp:extent cx="16319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-4919980</wp:posOffset>
            </wp:positionV>
            <wp:extent cx="12001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-4551045</wp:posOffset>
            </wp:positionV>
            <wp:extent cx="1631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-4551045</wp:posOffset>
            </wp:positionV>
            <wp:extent cx="12001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-4551045</wp:posOffset>
            </wp:positionV>
            <wp:extent cx="12001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-4182745</wp:posOffset>
            </wp:positionV>
            <wp:extent cx="1631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-4182745</wp:posOffset>
            </wp:positionV>
            <wp:extent cx="1200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-3813810</wp:posOffset>
            </wp:positionV>
            <wp:extent cx="16319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-3813810</wp:posOffset>
            </wp:positionV>
            <wp:extent cx="12001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-3445510</wp:posOffset>
            </wp:positionV>
            <wp:extent cx="16319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-3445510</wp:posOffset>
            </wp:positionV>
            <wp:extent cx="1200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-3445510</wp:posOffset>
            </wp:positionV>
            <wp:extent cx="12001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-3076575</wp:posOffset>
            </wp:positionV>
            <wp:extent cx="16319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-3076575</wp:posOffset>
            </wp:positionV>
            <wp:extent cx="12001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-3076575</wp:posOffset>
            </wp:positionV>
            <wp:extent cx="12001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-2708275</wp:posOffset>
            </wp:positionV>
            <wp:extent cx="16319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-2708275</wp:posOffset>
            </wp:positionV>
            <wp:extent cx="12001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-2339340</wp:posOffset>
            </wp:positionV>
            <wp:extent cx="12001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6157595</wp:posOffset>
            </wp:positionH>
            <wp:positionV relativeFrom="paragraph">
              <wp:posOffset>-2339340</wp:posOffset>
            </wp:positionV>
            <wp:extent cx="12001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-205105</wp:posOffset>
            </wp:positionV>
            <wp:extent cx="12001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754380" cy="2400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PROXY STATEMENT SUMMARY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9"/>
          <w:szCs w:val="29"/>
          <w:i w:val="1"/>
          <w:iCs w:val="1"/>
          <w:color w:val="auto"/>
        </w:rPr>
        <w:t>IN MEMORIAM</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John F. Sandner</w:t>
      </w:r>
    </w:p>
    <w:p>
      <w:pPr>
        <w:spacing w:after="0" w:line="139" w:lineRule="exact"/>
        <w:rPr>
          <w:sz w:val="20"/>
          <w:szCs w:val="20"/>
          <w:color w:val="auto"/>
        </w:rPr>
      </w:pPr>
    </w:p>
    <w:p>
      <w:pPr>
        <w:ind w:left="760" w:right="900"/>
        <w:spacing w:after="0" w:line="252" w:lineRule="auto"/>
        <w:rPr>
          <w:sz w:val="20"/>
          <w:szCs w:val="20"/>
          <w:color w:val="auto"/>
        </w:rPr>
      </w:pPr>
      <w:r>
        <w:rPr>
          <w:rFonts w:ascii="Arial" w:cs="Arial" w:eastAsia="Arial" w:hAnsi="Arial"/>
          <w:sz w:val="18"/>
          <w:szCs w:val="18"/>
          <w:color w:val="auto"/>
        </w:rPr>
        <w:t>John F. (Jack) Sandner served as an independent board member of Virtu Financial, Inc. since Virtu’s IPO in April 2015 and had been a member of Virtu Financial’s board of directors since November 2011. He was a prominent member of the industry, serving a number of board and advisory roles including CME Group Inc., E*Trade Futures, LLC, National Futures Association, Ryan Specialty Group, Echo Global Logistics, Inc. and Click Commerce Inc. He was also President and CEO of RB&amp;H Financial Services, L.P., a futures commission merchant and clearing firm and clearing firm of CME Group. Jack passed away in March 2021. Our press release remembering Jack is accessible at https://ir.virtu.com/press-releases/press-release-details/2021/Virtu-Mourns-the-Passing-of-Longtime-Board-Member-Jack-Sandner/default.aspx.</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1645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362585</wp:posOffset>
            </wp:positionV>
            <wp:extent cx="582930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540"/>
        <w:spacing w:after="0"/>
        <w:tabs>
          <w:tab w:leader="none" w:pos="6960" w:val="left"/>
        </w:tabs>
        <w:rPr>
          <w:sz w:val="20"/>
          <w:szCs w:val="20"/>
          <w:color w:val="auto"/>
        </w:rPr>
      </w:pPr>
      <w:r>
        <w:rPr>
          <w:rFonts w:ascii="Arial" w:cs="Arial" w:eastAsia="Arial" w:hAnsi="Arial"/>
          <w:sz w:val="14"/>
          <w:szCs w:val="14"/>
          <w:b w:val="1"/>
          <w:bCs w:val="1"/>
          <w:color w:val="FEFEFE"/>
        </w:rPr>
        <w:t>WHAT WE DO</w:t>
      </w:r>
      <w:r>
        <w:rPr>
          <w:sz w:val="20"/>
          <w:szCs w:val="20"/>
          <w:color w:val="auto"/>
        </w:rPr>
        <w:tab/>
      </w:r>
      <w:r>
        <w:rPr>
          <w:rFonts w:ascii="Arial" w:cs="Arial" w:eastAsia="Arial" w:hAnsi="Arial"/>
          <w:sz w:val="14"/>
          <w:szCs w:val="14"/>
          <w:b w:val="1"/>
          <w:bCs w:val="1"/>
          <w:color w:val="FEFEFE"/>
        </w:rPr>
        <w:t>WHAT WE DON’T DO</w:t>
      </w:r>
    </w:p>
    <w:p>
      <w:pPr>
        <w:sectPr>
          <w:pgSz w:w="11900" w:h="16838" w:orient="portrait"/>
          <w:cols w:equalWidth="0" w:num="1">
            <w:col w:w="10720"/>
          </w:cols>
          <w:pgMar w:left="580" w:top="131" w:right="599" w:bottom="1440" w:gutter="0" w:footer="0" w:header="0"/>
        </w:sectPr>
      </w:pPr>
    </w:p>
    <w:p>
      <w:pPr>
        <w:spacing w:after="0" w:line="157" w:lineRule="exact"/>
        <w:rPr>
          <w:sz w:val="20"/>
          <w:szCs w:val="20"/>
          <w:color w:val="auto"/>
        </w:rPr>
      </w:pPr>
    </w:p>
    <w:p>
      <w:pPr>
        <w:ind w:left="1200"/>
        <w:spacing w:after="0" w:line="256" w:lineRule="auto"/>
        <w:rPr>
          <w:sz w:val="20"/>
          <w:szCs w:val="20"/>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for named executive officers is designed to encourage the executives to remain focused on both our short-term and long-term operational success and to reward outstanding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284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-819785</wp:posOffset>
            </wp:positionV>
            <wp:extent cx="16256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32" w:lineRule="exact"/>
        <w:rPr>
          <w:sz w:val="20"/>
          <w:szCs w:val="20"/>
          <w:color w:val="auto"/>
        </w:rPr>
      </w:pPr>
    </w:p>
    <w:p>
      <w:pPr>
        <w:ind w:left="1200" w:right="60"/>
        <w:spacing w:after="0" w:line="277" w:lineRule="auto"/>
        <w:rPr>
          <w:sz w:val="20"/>
          <w:szCs w:val="20"/>
          <w:color w:val="auto"/>
        </w:rPr>
      </w:pPr>
      <w:r>
        <w:rPr>
          <w:rFonts w:ascii="Arial" w:cs="Arial" w:eastAsia="Arial" w:hAnsi="Arial"/>
          <w:sz w:val="17"/>
          <w:szCs w:val="17"/>
          <w:i w:val="1"/>
          <w:iCs w:val="1"/>
          <w:color w:val="auto"/>
        </w:rPr>
        <w:t>Align Incentives with Stockholders</w:t>
      </w:r>
      <w:r>
        <w:rPr>
          <w:rFonts w:ascii="Arial" w:cs="Arial" w:eastAsia="Arial" w:hAnsi="Arial"/>
          <w:sz w:val="17"/>
          <w:szCs w:val="17"/>
          <w:color w:val="auto"/>
        </w:rPr>
        <w:t>: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is designed to focus our named executive officers on our key strategic, financial and operational goals that will translate into long-term value-creation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-9525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-703580</wp:posOffset>
            </wp:positionV>
            <wp:extent cx="16256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3" w:lineRule="exact"/>
        <w:rPr>
          <w:sz w:val="20"/>
          <w:szCs w:val="20"/>
          <w:color w:val="auto"/>
        </w:rPr>
      </w:pPr>
    </w:p>
    <w:p>
      <w:pPr>
        <w:ind w:left="1200" w:right="660"/>
        <w:spacing w:after="0" w:line="261" w:lineRule="auto"/>
        <w:rPr>
          <w:sz w:val="20"/>
          <w:szCs w:val="20"/>
          <w:color w:val="auto"/>
        </w:rPr>
      </w:pPr>
      <w:r>
        <w:rPr>
          <w:rFonts w:ascii="Arial" w:cs="Arial" w:eastAsia="Arial" w:hAnsi="Arial"/>
          <w:sz w:val="18"/>
          <w:szCs w:val="18"/>
          <w:i w:val="1"/>
          <w:iCs w:val="1"/>
          <w:color w:val="auto"/>
        </w:rPr>
        <w:t>Limited perquisites</w:t>
      </w:r>
      <w:r>
        <w:rPr>
          <w:rFonts w:ascii="Arial" w:cs="Arial" w:eastAsia="Arial" w:hAnsi="Arial"/>
          <w:sz w:val="18"/>
          <w:szCs w:val="18"/>
          <w:color w:val="auto"/>
        </w:rPr>
        <w:t>: We provide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perquisites that we believe are consistent with our overall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-559435</wp:posOffset>
            </wp:positionV>
            <wp:extent cx="16256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177165</wp:posOffset>
            </wp:positionV>
            <wp:extent cx="7543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920"/>
        <w:spacing w:after="0" w:line="254" w:lineRule="auto"/>
        <w:rPr>
          <w:sz w:val="20"/>
          <w:szCs w:val="20"/>
          <w:color w:val="auto"/>
        </w:rPr>
      </w:pPr>
      <w:r>
        <w:rPr>
          <w:rFonts w:ascii="Arial" w:cs="Arial" w:eastAsia="Arial" w:hAnsi="Arial"/>
          <w:sz w:val="18"/>
          <w:szCs w:val="18"/>
          <w:color w:val="auto"/>
        </w:rPr>
        <w:t>No IRC Section 280G or 409A tax gross-ups: We do not provide tax gross-ups under our change in control provisions or deferred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275590</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-554990</wp:posOffset>
            </wp:positionV>
            <wp:extent cx="16319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pacing w:after="0" w:line="2744" w:lineRule="exact"/>
        <w:rPr>
          <w:sz w:val="20"/>
          <w:szCs w:val="20"/>
          <w:color w:val="auto"/>
        </w:rPr>
      </w:pPr>
    </w:p>
    <w:p>
      <w:pPr>
        <w:sectPr>
          <w:pgSz w:w="11900" w:h="16838" w:orient="portrait"/>
          <w:cols w:equalWidth="0" w:num="2">
            <w:col w:w="5200" w:space="700"/>
            <w:col w:w="4820"/>
          </w:cols>
          <w:pgMar w:left="580" w:top="131" w:right="599" w:bottom="1440" w:gutter="0" w:footer="0" w:header="0"/>
          <w:type w:val="continuous"/>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860" w:type="dxa"/>
            <w:vAlign w:val="bottom"/>
          </w:tcPr>
          <w:p>
            <w:pPr>
              <w:jc w:val="right"/>
              <w:ind w:right="690"/>
              <w:spacing w:after="0"/>
              <w:rPr>
                <w:sz w:val="20"/>
                <w:szCs w:val="20"/>
                <w:color w:val="auto"/>
              </w:rPr>
            </w:pPr>
            <w:r>
              <w:rPr>
                <w:rFonts w:ascii="Arial" w:cs="Arial" w:eastAsia="Arial" w:hAnsi="Arial"/>
                <w:sz w:val="18"/>
                <w:szCs w:val="18"/>
                <w:color w:val="auto"/>
              </w:rPr>
              <w:t>3</w:t>
            </w:r>
          </w:p>
        </w:tc>
      </w:tr>
      <w:tr>
        <w:trPr>
          <w:trHeight w:val="574"/>
        </w:trPr>
        <w:tc>
          <w:tcPr>
            <w:tcW w:w="68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Proposal 1 Election of Directors</w:t>
      </w:r>
    </w:p>
    <w:p>
      <w:pPr>
        <w:spacing w:after="0" w:line="112"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At the Annual Meeting, stockholders will vote to elect the four nominees named in this proxy statement as Class III directors. Each of the Class III directors elected at the Annual Meeting will hold office until the 2024 annual meeting of stockholders and until his or her successor has been duly elected and qualified. Our board of directors has nominated Virginia Gambale, John D. Nixon, David J. Urban and Michael T. Viola to serve as Class III directors for terms expiring at the 2024 annual meeting of stockholders and until each of their successors has been duly elected and qualified. The persons named as proxies will vote to elect Messrs. Nixon, Urban, Viola and Ms. Gambale unless a stockholder indicates that his or her shares should be withheld with respect to one or more of such nominees.</w:t>
      </w:r>
    </w:p>
    <w:p>
      <w:pPr>
        <w:spacing w:after="0" w:line="86" w:lineRule="exact"/>
        <w:rPr>
          <w:sz w:val="20"/>
          <w:szCs w:val="20"/>
          <w:color w:val="auto"/>
        </w:rPr>
      </w:pPr>
    </w:p>
    <w:p>
      <w:pPr>
        <w:ind w:left="760" w:right="200"/>
        <w:spacing w:after="0" w:line="254" w:lineRule="auto"/>
        <w:rPr>
          <w:sz w:val="20"/>
          <w:szCs w:val="20"/>
          <w:color w:val="auto"/>
        </w:rPr>
      </w:pPr>
      <w:r>
        <w:rPr>
          <w:rFonts w:ascii="Arial" w:cs="Arial" w:eastAsia="Arial" w:hAnsi="Arial"/>
          <w:sz w:val="18"/>
          <w:szCs w:val="18"/>
          <w:color w:val="auto"/>
        </w:rPr>
        <w:t>In the event that any nominee for Class III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292735</wp:posOffset>
            </wp:positionV>
            <wp:extent cx="5829300" cy="480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002554"/>
        </w:rPr>
        <w:t>Our board of directors recommends that you vote FOR each of the</w:t>
      </w:r>
    </w:p>
    <w:p>
      <w:pPr>
        <w:spacing w:after="0" w:line="3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002554"/>
        </w:rPr>
        <w:t>nominees for our board of directors in this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754380" cy="24003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PROPOSAL 1 ELECTION OF DIRECTORS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 forth below is a brief biography of each of our directors and executive officers.</w:t>
      </w:r>
    </w:p>
    <w:p>
      <w:pPr>
        <w:spacing w:after="0" w:line="117" w:lineRule="exact"/>
        <w:rPr>
          <w:sz w:val="20"/>
          <w:szCs w:val="20"/>
          <w:color w:val="auto"/>
        </w:rPr>
      </w:pPr>
    </w:p>
    <w:p>
      <w:pPr>
        <w:ind w:left="760" w:right="780"/>
        <w:spacing w:after="0" w:line="256" w:lineRule="auto"/>
        <w:rPr>
          <w:sz w:val="20"/>
          <w:szCs w:val="20"/>
          <w:color w:val="auto"/>
        </w:rPr>
      </w:pPr>
      <w:r>
        <w:rPr>
          <w:rFonts w:ascii="Arial" w:cs="Arial" w:eastAsia="Arial" w:hAnsi="Arial"/>
          <w:sz w:val="18"/>
          <w:szCs w:val="18"/>
          <w:color w:val="auto"/>
        </w:rPr>
        <w:t>On May 4, 2020, the Company announced the appointments of Brett Fairclough and Joseph Molluso to serve as the Company’s Co-Presidents and Co-Chief Operating Officers. For additional information, please see the Current Report on Form 8-K filed by the Company with the SEC on May 5, 2020.</w:t>
      </w:r>
    </w:p>
    <w:p>
      <w:pPr>
        <w:spacing w:after="0" w:line="94" w:lineRule="exact"/>
        <w:rPr>
          <w:sz w:val="20"/>
          <w:szCs w:val="20"/>
          <w:color w:val="auto"/>
        </w:rPr>
      </w:pPr>
    </w:p>
    <w:p>
      <w:pPr>
        <w:jc w:val="both"/>
        <w:ind w:left="760" w:right="880"/>
        <w:spacing w:after="0" w:line="254" w:lineRule="auto"/>
        <w:rPr>
          <w:sz w:val="20"/>
          <w:szCs w:val="20"/>
          <w:color w:val="auto"/>
        </w:rPr>
      </w:pPr>
      <w:r>
        <w:rPr>
          <w:rFonts w:ascii="Arial" w:cs="Arial" w:eastAsia="Arial" w:hAnsi="Arial"/>
          <w:sz w:val="18"/>
          <w:szCs w:val="18"/>
          <w:color w:val="auto"/>
        </w:rPr>
        <w:t>On August 10, 2020, the Company announced the appointment of Sean P. Galvin to serve as the Company’s Chief Financial Officer, effective as of the same date, succeeding Alexander M. Ioffe, who agreed to depart the Company in connection with the transition. For additional information, please see the Current Report on Form 8-K filed by the Company with the SEC on August 13, 2020.</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 Directors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 directors will expire at the 2022 Annual Meeting.</w:t>
      </w:r>
    </w:p>
    <w:p>
      <w:pPr>
        <w:spacing w:after="0" w:line="35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80" w:type="dxa"/>
            <w:vAlign w:val="bottom"/>
          </w:tcPr>
          <w:p>
            <w:pPr>
              <w:spacing w:after="0"/>
              <w:rPr>
                <w:sz w:val="20"/>
                <w:szCs w:val="20"/>
                <w:color w:val="auto"/>
              </w:rPr>
            </w:pPr>
            <w:r>
              <w:rPr>
                <w:rFonts w:ascii="Arial" w:cs="Arial" w:eastAsia="Arial" w:hAnsi="Arial"/>
                <w:sz w:val="36"/>
                <w:szCs w:val="36"/>
                <w:color w:val="00C389"/>
              </w:rPr>
              <w:t>William F.</w:t>
            </w:r>
          </w:p>
        </w:tc>
        <w:tc>
          <w:tcPr>
            <w:tcW w:w="2540" w:type="dxa"/>
            <w:vAlign w:val="bottom"/>
            <w:vMerge w:val="restart"/>
          </w:tcPr>
          <w:p>
            <w:pPr>
              <w:ind w:left="52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180" w:type="dxa"/>
            <w:vAlign w:val="bottom"/>
            <w:vMerge w:val="restart"/>
          </w:tcPr>
          <w:p>
            <w:pPr>
              <w:spacing w:after="0" w:line="392" w:lineRule="exact"/>
              <w:rPr>
                <w:sz w:val="20"/>
                <w:szCs w:val="20"/>
                <w:color w:val="auto"/>
              </w:rPr>
            </w:pPr>
            <w:r>
              <w:rPr>
                <w:rFonts w:ascii="Arial" w:cs="Arial" w:eastAsia="Arial" w:hAnsi="Arial"/>
                <w:sz w:val="36"/>
                <w:szCs w:val="36"/>
                <w:color w:val="00C389"/>
              </w:rPr>
              <w:t>Cruger, Jr.</w:t>
            </w:r>
          </w:p>
        </w:tc>
        <w:tc>
          <w:tcPr>
            <w:tcW w:w="254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00C389"/>
            </w:tcBorders>
            <w:vMerge w:val="continue"/>
          </w:tcPr>
          <w:p>
            <w:pPr>
              <w:spacing w:after="0"/>
              <w:rPr>
                <w:sz w:val="20"/>
                <w:szCs w:val="20"/>
                <w:color w:val="auto"/>
              </w:rPr>
            </w:pPr>
          </w:p>
        </w:tc>
        <w:tc>
          <w:tcPr>
            <w:tcW w:w="2540" w:type="dxa"/>
            <w:vAlign w:val="bottom"/>
            <w:tcBorders>
              <w:bottom w:val="single" w:sz="8" w:color="00C389"/>
            </w:tcBorders>
          </w:tcPr>
          <w:p>
            <w:pPr>
              <w:ind w:left="520"/>
              <w:spacing w:after="0"/>
              <w:rPr>
                <w:sz w:val="20"/>
                <w:szCs w:val="20"/>
                <w:color w:val="auto"/>
              </w:rPr>
            </w:pPr>
            <w:r>
              <w:rPr>
                <w:rFonts w:ascii="Arial" w:cs="Arial" w:eastAsia="Arial" w:hAnsi="Arial"/>
                <w:sz w:val="18"/>
                <w:szCs w:val="18"/>
                <w:color w:val="auto"/>
              </w:rPr>
              <w:t>Age: 62</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Audit</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5"/>
        </w:trPr>
        <w:tc>
          <w:tcPr>
            <w:tcW w:w="2180" w:type="dxa"/>
            <w:vAlign w:val="bottom"/>
          </w:tcPr>
          <w:p>
            <w:pPr>
              <w:spacing w:after="0"/>
              <w:rPr>
                <w:sz w:val="20"/>
                <w:szCs w:val="20"/>
                <w:color w:val="auto"/>
              </w:rPr>
            </w:pPr>
            <w:r>
              <w:rPr>
                <w:rFonts w:ascii="Arial" w:cs="Arial" w:eastAsia="Arial" w:hAnsi="Arial"/>
                <w:sz w:val="18"/>
                <w:szCs w:val="18"/>
                <w:color w:val="00C389"/>
              </w:rPr>
              <w:t>BACKGROUND:</w:t>
            </w:r>
          </w:p>
        </w:tc>
        <w:tc>
          <w:tcPr>
            <w:tcW w:w="2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Mr. Cruger became a member of our board of directors in April 2015 and was previously a member of the board of directors of Virtu Financial LLC (“Virtu Financial”), which is a subsidiary of the Company and was the entity through which we conducted our business prior to our initial public offering. He was most recently Vice Chairman of Investment Banking at J.P. Morgan and Co., where he was responsible for key client relationships on a global basis. Previously, Mr. Cruger held a number of senior positions at J.P. Morgan, including Managing Director in the Financial Institutions group from 1996 to 2011.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 Holdings Inc. and People’s United Financial, Inc., and has previously served on the boards of Archipelago Holdings, Inc., CreditTrade, Inc. and Capital IQ, Inc. He has an M.B.A. from Columbia University and a B.A. from Clark University.</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1580"/>
        <w:spacing w:after="0" w:line="291" w:lineRule="auto"/>
        <w:rPr>
          <w:sz w:val="20"/>
          <w:szCs w:val="20"/>
          <w:color w:val="auto"/>
        </w:rPr>
      </w:pPr>
      <w:r>
        <w:rPr>
          <w:rFonts w:ascii="Arial" w:cs="Arial" w:eastAsia="Arial" w:hAnsi="Arial"/>
          <w:sz w:val="17"/>
          <w:szCs w:val="17"/>
          <w:color w:val="auto"/>
        </w:rPr>
        <w:t>Mr. Cruger’s diverse experience in investment banking at a global financial services firm and his extensive experience in financial markets and financial leadership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-17145</wp:posOffset>
            </wp:positionV>
            <wp:extent cx="58293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2228215</wp:posOffset>
            </wp:positionV>
            <wp:extent cx="75438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860" w:type="dxa"/>
            <w:vAlign w:val="bottom"/>
          </w:tcPr>
          <w:p>
            <w:pPr>
              <w:jc w:val="right"/>
              <w:ind w:right="690"/>
              <w:spacing w:after="0"/>
              <w:rPr>
                <w:sz w:val="20"/>
                <w:szCs w:val="20"/>
                <w:color w:val="auto"/>
              </w:rPr>
            </w:pPr>
            <w:r>
              <w:rPr>
                <w:rFonts w:ascii="Arial" w:cs="Arial" w:eastAsia="Arial" w:hAnsi="Arial"/>
                <w:sz w:val="18"/>
                <w:szCs w:val="18"/>
                <w:color w:val="auto"/>
              </w:rPr>
              <w:t>5</w:t>
            </w:r>
          </w:p>
        </w:tc>
      </w:tr>
      <w:tr>
        <w:trPr>
          <w:trHeight w:val="574"/>
        </w:trPr>
        <w:tc>
          <w:tcPr>
            <w:tcW w:w="68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40" w:type="dxa"/>
            <w:vAlign w:val="bottom"/>
          </w:tcPr>
          <w:p>
            <w:pPr>
              <w:spacing w:after="0"/>
              <w:rPr>
                <w:sz w:val="20"/>
                <w:szCs w:val="20"/>
                <w:color w:val="auto"/>
              </w:rPr>
            </w:pPr>
            <w:r>
              <w:rPr>
                <w:rFonts w:ascii="Arial" w:cs="Arial" w:eastAsia="Arial" w:hAnsi="Arial"/>
                <w:sz w:val="36"/>
                <w:szCs w:val="36"/>
                <w:color w:val="00C389"/>
              </w:rPr>
              <w:t>Glenn</w:t>
            </w:r>
          </w:p>
        </w:tc>
        <w:tc>
          <w:tcPr>
            <w:tcW w:w="2680" w:type="dxa"/>
            <w:vAlign w:val="bottom"/>
            <w:vMerge w:val="restart"/>
          </w:tcPr>
          <w:p>
            <w:pPr>
              <w:ind w:left="66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040" w:type="dxa"/>
            <w:vAlign w:val="bottom"/>
            <w:vMerge w:val="restart"/>
          </w:tcPr>
          <w:p>
            <w:pPr>
              <w:spacing w:after="0" w:line="392" w:lineRule="exact"/>
              <w:rPr>
                <w:sz w:val="20"/>
                <w:szCs w:val="20"/>
                <w:color w:val="auto"/>
              </w:rPr>
            </w:pPr>
            <w:r>
              <w:rPr>
                <w:rFonts w:ascii="Arial" w:cs="Arial" w:eastAsia="Arial" w:hAnsi="Arial"/>
                <w:sz w:val="36"/>
                <w:szCs w:val="36"/>
                <w:color w:val="00C389"/>
              </w:rPr>
              <w:t>Hutchins</w:t>
            </w:r>
          </w:p>
        </w:tc>
        <w:tc>
          <w:tcPr>
            <w:tcW w:w="26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00C389"/>
            </w:tcBorders>
            <w:vMerge w:val="continue"/>
          </w:tcPr>
          <w:p>
            <w:pPr>
              <w:spacing w:after="0"/>
              <w:rPr>
                <w:sz w:val="20"/>
                <w:szCs w:val="20"/>
                <w:color w:val="auto"/>
              </w:rPr>
            </w:pPr>
          </w:p>
        </w:tc>
        <w:tc>
          <w:tcPr>
            <w:tcW w:w="2680" w:type="dxa"/>
            <w:vAlign w:val="bottom"/>
            <w:tcBorders>
              <w:bottom w:val="single" w:sz="8" w:color="00C389"/>
            </w:tcBorders>
          </w:tcPr>
          <w:p>
            <w:pPr>
              <w:ind w:left="660"/>
              <w:spacing w:after="0"/>
              <w:rPr>
                <w:sz w:val="20"/>
                <w:szCs w:val="20"/>
                <w:color w:val="auto"/>
              </w:rPr>
            </w:pPr>
            <w:r>
              <w:rPr>
                <w:rFonts w:ascii="Arial" w:cs="Arial" w:eastAsia="Arial" w:hAnsi="Arial"/>
                <w:sz w:val="18"/>
                <w:szCs w:val="18"/>
                <w:color w:val="auto"/>
              </w:rPr>
              <w:t>Age: 65</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40"/>
        <w:spacing w:after="0" w:line="251" w:lineRule="auto"/>
        <w:rPr>
          <w:sz w:val="20"/>
          <w:szCs w:val="20"/>
          <w:color w:val="auto"/>
        </w:rPr>
      </w:pPr>
      <w:r>
        <w:rPr>
          <w:rFonts w:ascii="Arial" w:cs="Arial" w:eastAsia="Arial" w:hAnsi="Arial"/>
          <w:sz w:val="18"/>
          <w:szCs w:val="18"/>
          <w:color w:val="auto"/>
        </w:rPr>
        <w:t>Glenn Hutchins is Chairman of North Island and North Island Ventures and a co-founder of Silver Lake. He is a director of AT&amp;T, Virtu Financial and Digital Currency Group; Co-Chair of the Brookings Institution and CARE; Vice Chair of the Obama Foundation; on the Executive Committee of the Boston Celtics Basketball Team; and a board member of the New York Presbyterian Hospital. He is also a member of the International Advisory Board of GIC Private Limited, the sovereign wealth fund of Singapore. He was a Director and Chair of Audit and Risk Committee of the Federal Reserve Bank of New York from 2011-2020. Mr. Hutchins also served President Clinton in both the transition and the White House as a special advisor on economic and health-care policy. He was previously chairman of the board of SunGard Data Systems, Inc. and Instinet, Inc. and a long-time director of Nasdaq, Inc. He was also a director of the Harvard Management Company for a decade and co-chairman of Harvard University’s capital campaign.Mr. Hutchins and his wife, Debbie, founded the Hutchins Family Foundation which, among other projects, is supporting the construction of the Obama Presidential Center and has created the Hutchins Center for African &amp; African American Research at Harvard University; the Hutchins Center on Fiscal and Monetary Policy at The Brookings Institution; and the Chronic Fatigue Initiative, which conducted basic research into the cause of chronic fatigue syndrome. Mr. Hutchins has published essays on economic and public policy in the Wall Street Journal, New York Times, Washington Post, Financial Times, Fortune and Foreign Affairs. He is also a Fellow of the American Academy of Arts and Sciences. Mr. Hutchins holds an A.B. from Harvard College, an M.B.A. from Harvard Business School, and a J.D. from Harvard Law School.</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140"/>
        <w:spacing w:after="0" w:line="261" w:lineRule="auto"/>
        <w:rPr>
          <w:sz w:val="20"/>
          <w:szCs w:val="20"/>
          <w:color w:val="auto"/>
        </w:rPr>
      </w:pPr>
      <w:r>
        <w:rPr>
          <w:rFonts w:ascii="Arial" w:cs="Arial" w:eastAsia="Arial" w:hAnsi="Arial"/>
          <w:sz w:val="18"/>
          <w:szCs w:val="18"/>
          <w:color w:val="auto"/>
        </w:rPr>
        <w:t>Mr. Hutchins’ qualifications to serve on our board of directors include his extensive experience and expertise in the technology and financial sectors, his public policy experience and his strong strategic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500" w:type="dxa"/>
            <w:vAlign w:val="bottom"/>
          </w:tcPr>
          <w:p>
            <w:pPr>
              <w:spacing w:after="0"/>
              <w:rPr>
                <w:sz w:val="20"/>
                <w:szCs w:val="20"/>
                <w:color w:val="auto"/>
              </w:rPr>
            </w:pPr>
            <w:r>
              <w:rPr>
                <w:rFonts w:ascii="Arial" w:cs="Arial" w:eastAsia="Arial" w:hAnsi="Arial"/>
                <w:sz w:val="36"/>
                <w:szCs w:val="36"/>
                <w:color w:val="00C389"/>
              </w:rPr>
              <w:t>Christopher C.</w:t>
            </w:r>
          </w:p>
        </w:tc>
        <w:tc>
          <w:tcPr>
            <w:tcW w:w="222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500" w:type="dxa"/>
            <w:vAlign w:val="bottom"/>
            <w:vMerge w:val="restart"/>
          </w:tcPr>
          <w:p>
            <w:pPr>
              <w:spacing w:after="0"/>
              <w:rPr>
                <w:sz w:val="20"/>
                <w:szCs w:val="20"/>
                <w:color w:val="auto"/>
              </w:rPr>
            </w:pPr>
            <w:r>
              <w:rPr>
                <w:rFonts w:ascii="Arial" w:cs="Arial" w:eastAsia="Arial" w:hAnsi="Arial"/>
                <w:sz w:val="36"/>
                <w:szCs w:val="36"/>
                <w:color w:val="00C389"/>
              </w:rPr>
              <w:t>Quick</w:t>
            </w:r>
          </w:p>
        </w:tc>
        <w:tc>
          <w:tcPr>
            <w:tcW w:w="2220" w:type="dxa"/>
            <w:vAlign w:val="bottom"/>
            <w:vMerge w:val="continue"/>
          </w:tcPr>
          <w:p>
            <w:pPr>
              <w:spacing w:after="0"/>
              <w:rPr>
                <w:sz w:val="17"/>
                <w:szCs w:val="17"/>
                <w:color w:val="auto"/>
              </w:rPr>
            </w:pPr>
          </w:p>
        </w:tc>
        <w:tc>
          <w:tcPr>
            <w:tcW w:w="2140" w:type="dxa"/>
            <w:vAlign w:val="bottom"/>
          </w:tcPr>
          <w:p>
            <w:pPr>
              <w:ind w:left="200"/>
              <w:spacing w:after="0" w:line="201"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Audit</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00C389"/>
            </w:tcBorders>
            <w:vMerge w:val="continue"/>
          </w:tcPr>
          <w:p>
            <w:pPr>
              <w:spacing w:after="0"/>
              <w:rPr>
                <w:sz w:val="20"/>
                <w:szCs w:val="20"/>
                <w:color w:val="auto"/>
              </w:rPr>
            </w:pPr>
          </w:p>
        </w:tc>
        <w:tc>
          <w:tcPr>
            <w:tcW w:w="222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auto"/>
              </w:rPr>
              <w:t>Age: 63</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5"/>
        </w:trPr>
        <w:tc>
          <w:tcPr>
            <w:tcW w:w="2500" w:type="dxa"/>
            <w:vAlign w:val="bottom"/>
          </w:tcPr>
          <w:p>
            <w:pPr>
              <w:spacing w:after="0"/>
              <w:rPr>
                <w:sz w:val="20"/>
                <w:szCs w:val="20"/>
                <w:color w:val="auto"/>
              </w:rPr>
            </w:pPr>
            <w:r>
              <w:rPr>
                <w:rFonts w:ascii="Arial" w:cs="Arial" w:eastAsia="Arial" w:hAnsi="Arial"/>
                <w:sz w:val="18"/>
                <w:szCs w:val="18"/>
                <w:color w:val="00C389"/>
              </w:rPr>
              <w:t>BACKGROUND:</w:t>
            </w: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20"/>
        <w:spacing w:after="0" w:line="251" w:lineRule="auto"/>
        <w:rPr>
          <w:sz w:val="20"/>
          <w:szCs w:val="20"/>
          <w:color w:val="auto"/>
        </w:rPr>
      </w:pPr>
      <w:r>
        <w:rPr>
          <w:rFonts w:ascii="Arial" w:cs="Arial" w:eastAsia="Arial" w:hAnsi="Arial"/>
          <w:sz w:val="18"/>
          <w:szCs w:val="18"/>
          <w:color w:val="auto"/>
        </w:rPr>
        <w:t>Mr. Quick became a member of our board of directors in April 2016. Mr. Quick has more than 30 years of experience in the securities and financial services industries. He is the former CEO of Banc of America Specialist, Inc., a wholly owned subsidiary of Bank of America Corporation and member firm of the New York Stock Exchange (“NYSE”).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Mutual of America and a Trustee of Fairfield University. He is also a former member of the NYSE Board of Directors, the board of directors of KCG Holdings, Inc. (“KCG”), the board of directors of The Alfred E. Smith Memorial Foundation Inc., and the Board of Trustees for the Boys Club of New York. Mr. Quick received a B.S. in Finance from Fairfield University in 1979.</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jc w:val="both"/>
        <w:ind w:left="760" w:right="660"/>
        <w:spacing w:after="0" w:line="256" w:lineRule="auto"/>
        <w:rPr>
          <w:sz w:val="20"/>
          <w:szCs w:val="20"/>
          <w:color w:val="auto"/>
        </w:rPr>
      </w:pPr>
      <w:r>
        <w:rPr>
          <w:rFonts w:ascii="Arial" w:cs="Arial" w:eastAsia="Arial" w:hAnsi="Arial"/>
          <w:sz w:val="18"/>
          <w:szCs w:val="18"/>
          <w:color w:val="auto"/>
        </w:rPr>
        <w:t>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0</wp:posOffset>
            </wp:positionV>
            <wp:extent cx="5829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754380" cy="2400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PROPOSAL 1 ELECTION OF DIRECTORS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389"/>
              </w:rPr>
              <w:t>Vincent</w:t>
            </w:r>
          </w:p>
        </w:tc>
        <w:tc>
          <w:tcPr>
            <w:tcW w:w="214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Director</w:t>
            </w:r>
          </w:p>
        </w:tc>
        <w:tc>
          <w:tcPr>
            <w:tcW w:w="2700" w:type="dxa"/>
            <w:vAlign w:val="bottom"/>
            <w:vMerge w:val="restart"/>
          </w:tcPr>
          <w:p>
            <w:pPr>
              <w:ind w:left="76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020" w:type="dxa"/>
            <w:vAlign w:val="bottom"/>
            <w:vMerge w:val="restart"/>
          </w:tcPr>
          <w:p>
            <w:pPr>
              <w:spacing w:after="0" w:line="392" w:lineRule="exact"/>
              <w:rPr>
                <w:sz w:val="20"/>
                <w:szCs w:val="20"/>
                <w:color w:val="auto"/>
              </w:rPr>
            </w:pPr>
            <w:r>
              <w:rPr>
                <w:rFonts w:ascii="Arial" w:cs="Arial" w:eastAsia="Arial" w:hAnsi="Arial"/>
                <w:sz w:val="36"/>
                <w:szCs w:val="36"/>
                <w:color w:val="00C389"/>
              </w:rPr>
              <w:t>Viola</w:t>
            </w:r>
          </w:p>
        </w:tc>
        <w:tc>
          <w:tcPr>
            <w:tcW w:w="21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00C389"/>
            </w:tcBorders>
            <w:vMerge w:val="continue"/>
          </w:tcPr>
          <w:p>
            <w:pPr>
              <w:spacing w:after="0"/>
              <w:rPr>
                <w:sz w:val="20"/>
                <w:szCs w:val="20"/>
                <w:color w:val="auto"/>
              </w:rPr>
            </w:pPr>
          </w:p>
        </w:tc>
        <w:tc>
          <w:tcPr>
            <w:tcW w:w="214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65</w:t>
            </w:r>
          </w:p>
        </w:tc>
        <w:tc>
          <w:tcPr>
            <w:tcW w:w="2700" w:type="dxa"/>
            <w:vAlign w:val="bottom"/>
            <w:tcBorders>
              <w:bottom w:val="single" w:sz="8" w:color="00C389"/>
            </w:tcBorders>
          </w:tcPr>
          <w:p>
            <w:pPr>
              <w:ind w:left="76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None</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5"/>
        </w:trPr>
        <w:tc>
          <w:tcPr>
            <w:tcW w:w="2020" w:type="dxa"/>
            <w:vAlign w:val="bottom"/>
          </w:tcPr>
          <w:p>
            <w:pPr>
              <w:spacing w:after="0"/>
              <w:rPr>
                <w:sz w:val="20"/>
                <w:szCs w:val="20"/>
                <w:color w:val="auto"/>
              </w:rPr>
            </w:pPr>
            <w:r>
              <w:rPr>
                <w:rFonts w:ascii="Arial" w:cs="Arial" w:eastAsia="Arial" w:hAnsi="Arial"/>
                <w:sz w:val="18"/>
                <w:szCs w:val="18"/>
                <w:color w:val="00C389"/>
              </w:rPr>
              <w:t>BACKGROUND:</w:t>
            </w:r>
          </w:p>
        </w:tc>
        <w:tc>
          <w:tcPr>
            <w:tcW w:w="2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820"/>
        <w:spacing w:after="0" w:line="251" w:lineRule="auto"/>
        <w:rPr>
          <w:sz w:val="20"/>
          <w:szCs w:val="20"/>
          <w:color w:val="auto"/>
        </w:rPr>
      </w:pPr>
      <w:r>
        <w:rPr>
          <w:rFonts w:ascii="Arial" w:cs="Arial" w:eastAsia="Arial" w:hAnsi="Arial"/>
          <w:sz w:val="18"/>
          <w:szCs w:val="18"/>
          <w:color w:val="auto"/>
        </w:rPr>
        <w:t>Mr. Viola is our founder and has served as a member and Chairman Emeritus of our board of directors since July 2017. From November 2013 until July 2017, Mr. Viola served as our Executive Chairman and Chairman of our board of directors. He previously served as Chief Executive Officer and Chairman of the board of directors of Virtu and its predecessors since April 2008. Mr. Viola is one of the nation’s foremost leaders in electronic trading. He was the founder of Virtu Financial Operating LLC (“Virtu East”) in 2008, a founder of Madison Tyler Holdings, LLC (“Madison Tyler Holdings”) in 2002 and is the former Chairman of the New York Mercantile Exchange (“NYMEX”). Mr. Viola started his career in the financial services industry on the floor of the NYMEX and became Vice Chairman from 1993 to 1996 and Chairman from 2001 to 2004. Mr. Viola has launched a number of successful businesses during his career, including Virtu and Independent Bank Group Inc., a regional banking group in Texas that is now listed on NASDAQ (IBTX). Shortly after September 11, 2001, Mr. Viola was instrumental in founding the Combating Terrorism Center at West Point. Mr. Viola is currently the principal owner and serves as the Chairman and Governor for the Florida Panthers Hockey Club and its parent company, Sunrise Sports &amp; Entertainment LLC. Mr. Viola graduated from the U.S. Military Academy at West Point in 1977. He later graduated from the U.S. Army Airborne, Infantry and Ranger Schools and served in the 101st Airborne Division. In 1983, he graduated from New York Law School.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1140"/>
        <w:spacing w:after="0" w:line="254" w:lineRule="auto"/>
        <w:rPr>
          <w:sz w:val="20"/>
          <w:szCs w:val="20"/>
          <w:color w:val="auto"/>
        </w:rPr>
      </w:pPr>
      <w:r>
        <w:rPr>
          <w:rFonts w:ascii="Arial" w:cs="Arial" w:eastAsia="Arial" w:hAnsi="Arial"/>
          <w:sz w:val="18"/>
          <w:szCs w:val="18"/>
          <w:color w:val="auto"/>
        </w:rPr>
        <w:t>Mr. Viola’s extensive business experience in the financial services industry provides our board of directors with valuable knowledge and experience in the electronic trading and market making business. In addition, as our founder, Mr. Viola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1270</wp:posOffset>
            </wp:positionV>
            <wp:extent cx="58293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II Directors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term of the following four Class II directors will expire at the 2023 Annual Meeting of Stockholders.</w:t>
      </w:r>
    </w:p>
    <w:p>
      <w:pPr>
        <w:spacing w:after="0" w:line="31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220" w:type="dxa"/>
            <w:vAlign w:val="bottom"/>
          </w:tcPr>
          <w:p>
            <w:pPr>
              <w:spacing w:after="0"/>
              <w:rPr>
                <w:sz w:val="20"/>
                <w:szCs w:val="20"/>
                <w:color w:val="auto"/>
              </w:rPr>
            </w:pPr>
            <w:r>
              <w:rPr>
                <w:rFonts w:ascii="Arial" w:cs="Arial" w:eastAsia="Arial" w:hAnsi="Arial"/>
                <w:sz w:val="36"/>
                <w:szCs w:val="36"/>
                <w:color w:val="00C389"/>
              </w:rPr>
              <w:t>Douglas A.</w:t>
            </w:r>
          </w:p>
        </w:tc>
        <w:tc>
          <w:tcPr>
            <w:tcW w:w="1940" w:type="dxa"/>
            <w:vAlign w:val="bottom"/>
            <w:vMerge w:val="restart"/>
          </w:tcPr>
          <w:p>
            <w:pPr>
              <w:ind w:left="480"/>
              <w:spacing w:after="0"/>
              <w:rPr>
                <w:sz w:val="20"/>
                <w:szCs w:val="20"/>
                <w:color w:val="auto"/>
              </w:rPr>
            </w:pPr>
            <w:r>
              <w:rPr>
                <w:rFonts w:ascii="Arial" w:cs="Arial" w:eastAsia="Arial" w:hAnsi="Arial"/>
                <w:sz w:val="18"/>
                <w:szCs w:val="18"/>
                <w:b w:val="1"/>
                <w:bCs w:val="1"/>
                <w:color w:val="00C389"/>
              </w:rPr>
              <w:t>Director</w:t>
            </w:r>
          </w:p>
        </w:tc>
        <w:tc>
          <w:tcPr>
            <w:tcW w:w="2700" w:type="dxa"/>
            <w:vAlign w:val="bottom"/>
            <w:vMerge w:val="restart"/>
          </w:tcPr>
          <w:p>
            <w:pPr>
              <w:ind w:left="76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220" w:type="dxa"/>
            <w:vAlign w:val="bottom"/>
            <w:vMerge w:val="restart"/>
          </w:tcPr>
          <w:p>
            <w:pPr>
              <w:spacing w:after="0" w:line="392" w:lineRule="exact"/>
              <w:rPr>
                <w:sz w:val="20"/>
                <w:szCs w:val="20"/>
                <w:color w:val="auto"/>
              </w:rPr>
            </w:pPr>
            <w:r>
              <w:rPr>
                <w:rFonts w:ascii="Arial" w:cs="Arial" w:eastAsia="Arial" w:hAnsi="Arial"/>
                <w:sz w:val="36"/>
                <w:szCs w:val="36"/>
                <w:color w:val="00C389"/>
              </w:rPr>
              <w:t>Cifu</w:t>
            </w:r>
          </w:p>
        </w:tc>
        <w:tc>
          <w:tcPr>
            <w:tcW w:w="19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00C389"/>
            </w:tcBorders>
            <w:vMerge w:val="continue"/>
          </w:tcPr>
          <w:p>
            <w:pPr>
              <w:spacing w:after="0"/>
              <w:rPr>
                <w:sz w:val="20"/>
                <w:szCs w:val="20"/>
                <w:color w:val="auto"/>
              </w:rPr>
            </w:pPr>
          </w:p>
        </w:tc>
        <w:tc>
          <w:tcPr>
            <w:tcW w:w="1940" w:type="dxa"/>
            <w:vAlign w:val="bottom"/>
            <w:tcBorders>
              <w:bottom w:val="single" w:sz="8" w:color="00C389"/>
            </w:tcBorders>
          </w:tcPr>
          <w:p>
            <w:pPr>
              <w:ind w:left="480"/>
              <w:spacing w:after="0"/>
              <w:rPr>
                <w:sz w:val="20"/>
                <w:szCs w:val="20"/>
                <w:color w:val="auto"/>
              </w:rPr>
            </w:pPr>
            <w:r>
              <w:rPr>
                <w:rFonts w:ascii="Arial" w:cs="Arial" w:eastAsia="Arial" w:hAnsi="Arial"/>
                <w:sz w:val="18"/>
                <w:szCs w:val="18"/>
                <w:color w:val="auto"/>
              </w:rPr>
              <w:t>Age: 55</w:t>
            </w:r>
          </w:p>
        </w:tc>
        <w:tc>
          <w:tcPr>
            <w:tcW w:w="2700" w:type="dxa"/>
            <w:vAlign w:val="bottom"/>
            <w:tcBorders>
              <w:bottom w:val="single" w:sz="8" w:color="00C389"/>
            </w:tcBorders>
          </w:tcPr>
          <w:p>
            <w:pPr>
              <w:ind w:left="760"/>
              <w:spacing w:after="0"/>
              <w:rPr>
                <w:sz w:val="20"/>
                <w:szCs w:val="20"/>
                <w:color w:val="auto"/>
              </w:rPr>
            </w:pPr>
            <w:r>
              <w:rPr>
                <w:rFonts w:ascii="Arial" w:cs="Arial" w:eastAsia="Arial" w:hAnsi="Arial"/>
                <w:sz w:val="18"/>
                <w:szCs w:val="18"/>
                <w:color w:val="auto"/>
              </w:rPr>
              <w:t>None</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 xml:space="preserve">Mr. Cifu has been our Chief Executive Officer and a member of our board of directors since November 2013. He previously served as Virtu’s President and Chief Operating Officer and has served on its board of directors or the boards of its predecessors since co-founding the firm in April 2008. Prior to co-founding Virtu, Mr. Cifu was a partner at the international law firm of Paul, Weiss, Rifkind, Wharton &amp; Garrison LLP, where he practiced corporate law from 1990 to 2008 and served as a member of the Management Committee and Deputy Chairman of the firm’s corporate department. Mr. Cifu also previously served on the board of directors of Independent Bank Group, Inc., a regional bank holding company. Mr. Cifu currently serves as a member of the board of directors of the U.S. Chamber of Commerce, as well as the Board of Visitors of Columbia College at Columbia University. Mr. Cifu also serves as Vice Chairman, Partner and Alternate Governor for the Florida Panthers Hockey Club and its parent company, Sunrise Sports &amp; Entertainment LLC. Mr. Cifu completed his J.D. at Columbia Law School in 1990 and received his B.A. from Columbia University in 1987, from which he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jc w:val="both"/>
        <w:ind w:left="760" w:right="1160"/>
        <w:spacing w:after="0" w:line="254" w:lineRule="auto"/>
        <w:rPr>
          <w:sz w:val="20"/>
          <w:szCs w:val="20"/>
          <w:color w:val="auto"/>
        </w:rPr>
      </w:pPr>
      <w:r>
        <w:rPr>
          <w:rFonts w:ascii="Arial" w:cs="Arial" w:eastAsia="Arial" w:hAnsi="Arial"/>
          <w:sz w:val="18"/>
          <w:szCs w:val="18"/>
          <w:color w:val="auto"/>
        </w:rPr>
        <w:t>Mr. Cifu’s extensive experience in global financial markets and market structure, his leadership acumen and his background as a corporate attorney add significant value to our Company and our Board of Directors. As a co-founder, Mr. Cifu has successfully led Virtu since its inception and provides our board of directors with valuable insight regarding strategic decisions and the future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1270</wp:posOffset>
            </wp:positionV>
            <wp:extent cx="5829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215900</wp:posOffset>
            </wp:positionV>
            <wp:extent cx="75438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860" w:type="dxa"/>
            <w:vAlign w:val="bottom"/>
          </w:tcPr>
          <w:p>
            <w:pPr>
              <w:jc w:val="right"/>
              <w:ind w:right="690"/>
              <w:spacing w:after="0"/>
              <w:rPr>
                <w:sz w:val="20"/>
                <w:szCs w:val="20"/>
                <w:color w:val="auto"/>
              </w:rPr>
            </w:pPr>
            <w:r>
              <w:rPr>
                <w:rFonts w:ascii="Arial" w:cs="Arial" w:eastAsia="Arial" w:hAnsi="Arial"/>
                <w:sz w:val="18"/>
                <w:szCs w:val="18"/>
                <w:color w:val="auto"/>
              </w:rPr>
              <w:t>7</w:t>
            </w:r>
          </w:p>
        </w:tc>
      </w:tr>
      <w:tr>
        <w:trPr>
          <w:trHeight w:val="560"/>
        </w:trPr>
        <w:tc>
          <w:tcPr>
            <w:tcW w:w="68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40" w:type="dxa"/>
            <w:vAlign w:val="bottom"/>
          </w:tcPr>
          <w:p>
            <w:pPr>
              <w:spacing w:after="0"/>
              <w:rPr>
                <w:sz w:val="20"/>
                <w:szCs w:val="20"/>
                <w:color w:val="auto"/>
              </w:rPr>
            </w:pPr>
            <w:r>
              <w:rPr>
                <w:rFonts w:ascii="Arial" w:cs="Arial" w:eastAsia="Arial" w:hAnsi="Arial"/>
                <w:sz w:val="36"/>
                <w:szCs w:val="36"/>
                <w:color w:val="00C389"/>
              </w:rPr>
              <w:t>Joseph J.</w:t>
            </w:r>
          </w:p>
        </w:tc>
        <w:tc>
          <w:tcPr>
            <w:tcW w:w="2580" w:type="dxa"/>
            <w:vAlign w:val="bottom"/>
            <w:vMerge w:val="restart"/>
          </w:tcPr>
          <w:p>
            <w:pPr>
              <w:ind w:left="56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140" w:type="dxa"/>
            <w:vAlign w:val="bottom"/>
            <w:vMerge w:val="restart"/>
          </w:tcPr>
          <w:p>
            <w:pPr>
              <w:spacing w:after="0" w:line="392" w:lineRule="exact"/>
              <w:rPr>
                <w:sz w:val="20"/>
                <w:szCs w:val="20"/>
                <w:color w:val="auto"/>
              </w:rPr>
            </w:pPr>
            <w:r>
              <w:rPr>
                <w:rFonts w:ascii="Arial" w:cs="Arial" w:eastAsia="Arial" w:hAnsi="Arial"/>
                <w:sz w:val="36"/>
                <w:szCs w:val="36"/>
                <w:color w:val="00C389"/>
              </w:rPr>
              <w:t>Grano, Jr.</w:t>
            </w:r>
          </w:p>
        </w:tc>
        <w:tc>
          <w:tcPr>
            <w:tcW w:w="258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00C389"/>
            </w:tcBorders>
            <w:vMerge w:val="continue"/>
          </w:tcPr>
          <w:p>
            <w:pPr>
              <w:spacing w:after="0"/>
              <w:rPr>
                <w:sz w:val="20"/>
                <w:szCs w:val="20"/>
                <w:color w:val="auto"/>
              </w:rPr>
            </w:pPr>
          </w:p>
        </w:tc>
        <w:tc>
          <w:tcPr>
            <w:tcW w:w="2580" w:type="dxa"/>
            <w:vAlign w:val="bottom"/>
            <w:tcBorders>
              <w:bottom w:val="single" w:sz="8" w:color="00C389"/>
            </w:tcBorders>
          </w:tcPr>
          <w:p>
            <w:pPr>
              <w:ind w:left="560"/>
              <w:spacing w:after="0"/>
              <w:rPr>
                <w:sz w:val="20"/>
                <w:szCs w:val="20"/>
                <w:color w:val="auto"/>
              </w:rPr>
            </w:pPr>
            <w:r>
              <w:rPr>
                <w:rFonts w:ascii="Arial" w:cs="Arial" w:eastAsia="Arial" w:hAnsi="Arial"/>
                <w:sz w:val="18"/>
                <w:szCs w:val="18"/>
                <w:color w:val="auto"/>
              </w:rPr>
              <w:t>Age: 73</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Audit</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4"/>
        </w:trPr>
        <w:tc>
          <w:tcPr>
            <w:tcW w:w="2140" w:type="dxa"/>
            <w:vAlign w:val="bottom"/>
          </w:tcPr>
          <w:p>
            <w:pPr>
              <w:spacing w:after="0"/>
              <w:rPr>
                <w:sz w:val="20"/>
                <w:szCs w:val="20"/>
                <w:color w:val="auto"/>
              </w:rPr>
            </w:pPr>
            <w:r>
              <w:rPr>
                <w:rFonts w:ascii="Arial" w:cs="Arial" w:eastAsia="Arial" w:hAnsi="Arial"/>
                <w:sz w:val="18"/>
                <w:szCs w:val="18"/>
                <w:color w:val="00C389"/>
              </w:rPr>
              <w:t>BACKGROUND:</w:t>
            </w: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120"/>
        <w:spacing w:after="0" w:line="251" w:lineRule="auto"/>
        <w:rPr>
          <w:sz w:val="20"/>
          <w:szCs w:val="20"/>
          <w:color w:val="auto"/>
        </w:rPr>
      </w:pPr>
      <w:r>
        <w:rPr>
          <w:rFonts w:ascii="Arial" w:cs="Arial" w:eastAsia="Arial" w:hAnsi="Arial"/>
          <w:sz w:val="18"/>
          <w:szCs w:val="18"/>
          <w:color w:val="auto"/>
        </w:rPr>
        <w:t>Mr. Grano, Jr. became a member of our board of directors in October 2017. Mr. Grano has more than 30 years of experience in the securities and financial services industries. Mr. Grano currently serves as the Principal Partner of the JJG Family Office, which primarily engages in advisory services.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including Director of National Sales. Mr. Grano previously served as Chairman of the Board of Governors of the National Association of Securities Dealers (NASD) (predecessor to the Financial Industry Regulatory Authority (FINRA)), and was formerly a member of the NASD’s Executive Committee.</w:t>
      </w:r>
    </w:p>
    <w:p>
      <w:pPr>
        <w:spacing w:after="0" w:line="104"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w:t>
      </w:r>
    </w:p>
    <w:p>
      <w:pPr>
        <w:spacing w:after="0" w:line="100" w:lineRule="exact"/>
        <w:rPr>
          <w:sz w:val="20"/>
          <w:szCs w:val="20"/>
          <w:color w:val="auto"/>
        </w:rPr>
      </w:pPr>
    </w:p>
    <w:p>
      <w:pPr>
        <w:jc w:val="both"/>
        <w:ind w:left="760" w:right="240"/>
        <w:spacing w:after="0" w:line="265" w:lineRule="auto"/>
        <w:rPr>
          <w:sz w:val="20"/>
          <w:szCs w:val="20"/>
          <w:color w:val="auto"/>
        </w:rPr>
      </w:pPr>
      <w:r>
        <w:rPr>
          <w:rFonts w:ascii="Arial" w:cs="Arial" w:eastAsia="Arial" w:hAnsi="Arial"/>
          <w:sz w:val="17"/>
          <w:szCs w:val="17"/>
          <w:color w:val="auto"/>
        </w:rPr>
        <w:t>Mr. Grano holds honorary Doctor of Laws degrees from Pepperdine University and Babson College as well as an honorary Doctor of Humane Letters degree from Queens College. In addition to being one of the financial service industry’s leading executives, Mr. Grano is involved in a wide range of educational and philanthropic endeavors.</w:t>
      </w:r>
    </w:p>
    <w:p>
      <w:pPr>
        <w:jc w:val="both"/>
        <w:ind w:left="760" w:right="200"/>
        <w:spacing w:after="0" w:line="256" w:lineRule="auto"/>
        <w:rPr>
          <w:sz w:val="20"/>
          <w:szCs w:val="20"/>
          <w:color w:val="auto"/>
        </w:rPr>
      </w:pPr>
      <w:r>
        <w:rPr>
          <w:rFonts w:ascii="Arial" w:cs="Arial" w:eastAsia="Arial" w:hAnsi="Arial"/>
          <w:sz w:val="18"/>
          <w:szCs w:val="18"/>
          <w:color w:val="auto"/>
        </w:rPr>
        <w:t>Mr. Grano also served in the U.S. Special Forces (Green Berets). He also won a Tony Award as a producer of the record-setting musical Jersey Boys. Mr. Grano is the author of the book “You Can’t Predict A Hero” which was on Businessweek’s best seller list in 2009.</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440"/>
        <w:spacing w:after="0" w:line="261" w:lineRule="auto"/>
        <w:rPr>
          <w:sz w:val="20"/>
          <w:szCs w:val="20"/>
          <w:color w:val="auto"/>
        </w:rPr>
      </w:pPr>
      <w:r>
        <w:rPr>
          <w:rFonts w:ascii="Arial" w:cs="Arial" w:eastAsia="Arial" w:hAnsi="Arial"/>
          <w:sz w:val="18"/>
          <w:szCs w:val="18"/>
          <w:color w:val="auto"/>
        </w:rPr>
        <w:t>Mr. Grano’s previous senior leadership roles in the financial securities industry and public company experience provide a valuable insight regarding strategic decisions and add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389"/>
              </w:rPr>
              <w:t>Robert</w:t>
            </w:r>
          </w:p>
        </w:tc>
        <w:tc>
          <w:tcPr>
            <w:tcW w:w="270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restart"/>
          </w:tcPr>
          <w:p>
            <w:pPr>
              <w:spacing w:after="0"/>
              <w:rPr>
                <w:sz w:val="20"/>
                <w:szCs w:val="20"/>
                <w:color w:val="auto"/>
              </w:rPr>
            </w:pPr>
            <w:r>
              <w:rPr>
                <w:rFonts w:ascii="Arial" w:cs="Arial" w:eastAsia="Arial" w:hAnsi="Arial"/>
                <w:sz w:val="36"/>
                <w:szCs w:val="36"/>
                <w:color w:val="00C389"/>
              </w:rPr>
              <w:t>Greifeld</w:t>
            </w:r>
          </w:p>
        </w:tc>
        <w:tc>
          <w:tcPr>
            <w:tcW w:w="2700" w:type="dxa"/>
            <w:vAlign w:val="bottom"/>
            <w:vMerge w:val="continue"/>
          </w:tcPr>
          <w:p>
            <w:pPr>
              <w:spacing w:after="0"/>
              <w:rPr>
                <w:sz w:val="17"/>
                <w:szCs w:val="17"/>
                <w:color w:val="auto"/>
              </w:rPr>
            </w:pPr>
          </w:p>
        </w:tc>
        <w:tc>
          <w:tcPr>
            <w:tcW w:w="2140" w:type="dxa"/>
            <w:vAlign w:val="bottom"/>
          </w:tcPr>
          <w:p>
            <w:pPr>
              <w:ind w:left="200"/>
              <w:spacing w:after="0" w:line="201"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Compensation</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00C389"/>
            </w:tcBorders>
            <w:vMerge w:val="continue"/>
          </w:tcPr>
          <w:p>
            <w:pPr>
              <w:spacing w:after="0"/>
              <w:rPr>
                <w:sz w:val="20"/>
                <w:szCs w:val="20"/>
                <w:color w:val="auto"/>
              </w:rPr>
            </w:pPr>
          </w:p>
        </w:tc>
        <w:tc>
          <w:tcPr>
            <w:tcW w:w="270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63</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N&amp;CG</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5"/>
        </w:trPr>
        <w:tc>
          <w:tcPr>
            <w:tcW w:w="2020" w:type="dxa"/>
            <w:vAlign w:val="bottom"/>
          </w:tcPr>
          <w:p>
            <w:pPr>
              <w:spacing w:after="0"/>
              <w:rPr>
                <w:sz w:val="20"/>
                <w:szCs w:val="20"/>
                <w:color w:val="auto"/>
              </w:rPr>
            </w:pPr>
            <w:r>
              <w:rPr>
                <w:rFonts w:ascii="Arial" w:cs="Arial" w:eastAsia="Arial" w:hAnsi="Arial"/>
                <w:sz w:val="18"/>
                <w:szCs w:val="18"/>
                <w:color w:val="00C389"/>
              </w:rPr>
              <w:t>BACKGROUND:</w:t>
            </w:r>
          </w:p>
        </w:tc>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20"/>
        <w:spacing w:after="0" w:line="251" w:lineRule="auto"/>
        <w:rPr>
          <w:sz w:val="20"/>
          <w:szCs w:val="20"/>
          <w:color w:val="auto"/>
        </w:rPr>
      </w:pPr>
      <w:r>
        <w:rPr>
          <w:rFonts w:ascii="Arial" w:cs="Arial" w:eastAsia="Arial" w:hAnsi="Arial"/>
          <w:sz w:val="18"/>
          <w:szCs w:val="18"/>
          <w:color w:val="auto"/>
        </w:rPr>
        <w:t>Mr. Greifeld became a member and the Chairman of our board of directors in July 2017. Mr. Greifeld is a co-founder of Ordinal Ventures, LLC (f/k/a North Island Ventures, LLC), currently the CEO and Chairman of Cornerstone Investment Capital Holdings Co., Managing Partner and Co-Founder at Cornerstone Investment Capital, a financial technology investment firm, a position he has held since September 2018, and a Board Member at Capital Rock, Financeware LLC, and Hudson Executive Investment Capital. He previously served as Chairman of the board of directors of The Nasdaq Stock Market LLC (“NASDAQ”) from January 2017 until May 2017 and as Chief Executive Officer of NASDAQ from 2003 to 2016. During his tenure, Mr. Greifeld led Nasdaq through a series of complex, innovative acquisitions that extended the company’s footprint from a single U.S. equity exchange to a global exchange and technology solutions provider and grew market capitalization over 20 times. Prior to joining NASDAQ, Mr. Greifeld was an Executive Vice President with SunGard Data Systems and, prior to joining SunGard, was President at Automated Securities Clearance. Mr. Greifeld founded and chairs the USA Track &amp; Field Foundation, which supports emerging athletes and inner-city youth athletics. Mr. Greifeld is a member of the NYU Stern Board of Overseers and a CNBC Contributor. Mr. Greifeld holds a Master’s in Business from New York University, Stern School of Business, and a B.A. in English from Iona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5080</wp:posOffset>
            </wp:positionV>
            <wp:extent cx="58293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754380" cy="2400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Greifeld’s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29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Class III Directors</w:t>
      </w:r>
    </w:p>
    <w:p>
      <w:pPr>
        <w:spacing w:after="0" w:line="139" w:lineRule="exact"/>
        <w:rPr>
          <w:sz w:val="20"/>
          <w:szCs w:val="20"/>
          <w:color w:val="auto"/>
        </w:rPr>
      </w:pPr>
    </w:p>
    <w:p>
      <w:pPr>
        <w:ind w:left="760" w:right="780"/>
        <w:spacing w:after="0" w:line="256" w:lineRule="auto"/>
        <w:rPr>
          <w:sz w:val="20"/>
          <w:szCs w:val="20"/>
          <w:color w:val="auto"/>
        </w:rPr>
      </w:pPr>
      <w:r>
        <w:rPr>
          <w:rFonts w:ascii="Arial" w:cs="Arial" w:eastAsia="Arial" w:hAnsi="Arial"/>
          <w:sz w:val="18"/>
          <w:szCs w:val="18"/>
          <w:color w:val="auto"/>
        </w:rPr>
        <w:t>The term of the following four Class III directors will expire at the Annual Meeting. Messrs. Nixon, Urban, Viola and Ms. Gambale are the only nominees for election at the Annual Meeting, for a term that will expire at the 2024 annual meeting of stockholders and until each of their successors has been duly elected and qualified.</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80" w:type="dxa"/>
            <w:vAlign w:val="bottom"/>
          </w:tcPr>
          <w:p>
            <w:pPr>
              <w:spacing w:after="0"/>
              <w:rPr>
                <w:sz w:val="20"/>
                <w:szCs w:val="20"/>
                <w:color w:val="auto"/>
              </w:rPr>
            </w:pPr>
            <w:r>
              <w:rPr>
                <w:rFonts w:ascii="Arial" w:cs="Arial" w:eastAsia="Arial" w:hAnsi="Arial"/>
                <w:sz w:val="36"/>
                <w:szCs w:val="36"/>
                <w:color w:val="00C389"/>
              </w:rPr>
              <w:t>Virginia</w:t>
            </w:r>
          </w:p>
        </w:tc>
        <w:tc>
          <w:tcPr>
            <w:tcW w:w="2640" w:type="dxa"/>
            <w:vAlign w:val="bottom"/>
            <w:vMerge w:val="restart"/>
          </w:tcPr>
          <w:p>
            <w:pPr>
              <w:ind w:left="62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80" w:type="dxa"/>
            <w:vAlign w:val="bottom"/>
            <w:vMerge w:val="restart"/>
          </w:tcPr>
          <w:p>
            <w:pPr>
              <w:spacing w:after="0"/>
              <w:rPr>
                <w:sz w:val="20"/>
                <w:szCs w:val="20"/>
                <w:color w:val="auto"/>
              </w:rPr>
            </w:pPr>
            <w:r>
              <w:rPr>
                <w:rFonts w:ascii="Arial" w:cs="Arial" w:eastAsia="Arial" w:hAnsi="Arial"/>
                <w:sz w:val="36"/>
                <w:szCs w:val="36"/>
                <w:color w:val="00C389"/>
              </w:rPr>
              <w:t>Gambale</w:t>
            </w:r>
          </w:p>
        </w:tc>
        <w:tc>
          <w:tcPr>
            <w:tcW w:w="2640" w:type="dxa"/>
            <w:vAlign w:val="bottom"/>
            <w:vMerge w:val="continue"/>
          </w:tcPr>
          <w:p>
            <w:pPr>
              <w:spacing w:after="0"/>
              <w:rPr>
                <w:sz w:val="17"/>
                <w:szCs w:val="17"/>
                <w:color w:val="auto"/>
              </w:rPr>
            </w:pPr>
          </w:p>
        </w:tc>
        <w:tc>
          <w:tcPr>
            <w:tcW w:w="340" w:type="dxa"/>
            <w:vAlign w:val="bottom"/>
          </w:tcPr>
          <w:p>
            <w:pPr>
              <w:ind w:left="200"/>
              <w:spacing w:after="0" w:line="201" w:lineRule="exact"/>
              <w:rPr>
                <w:sz w:val="20"/>
                <w:szCs w:val="20"/>
                <w:color w:val="auto"/>
              </w:rPr>
            </w:pPr>
            <w:r>
              <w:rPr>
                <w:rFonts w:ascii="Arial" w:cs="Arial" w:eastAsia="Arial" w:hAnsi="Arial"/>
                <w:sz w:val="18"/>
                <w:szCs w:val="18"/>
                <w:color w:val="002554"/>
              </w:rPr>
              <w:t>•</w:t>
            </w:r>
          </w:p>
        </w:tc>
        <w:tc>
          <w:tcPr>
            <w:tcW w:w="1800" w:type="dxa"/>
            <w:vAlign w:val="bottom"/>
          </w:tcPr>
          <w:p>
            <w:pPr>
              <w:ind w:left="40"/>
              <w:spacing w:after="0" w:line="201" w:lineRule="exact"/>
              <w:rPr>
                <w:sz w:val="20"/>
                <w:szCs w:val="20"/>
                <w:color w:val="auto"/>
              </w:rPr>
            </w:pPr>
            <w:r>
              <w:rPr>
                <w:rFonts w:ascii="Arial" w:cs="Arial" w:eastAsia="Arial" w:hAnsi="Arial"/>
                <w:sz w:val="18"/>
                <w:szCs w:val="18"/>
                <w:color w:val="auto"/>
              </w:rPr>
              <w:t>Audit</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00C389"/>
            </w:tcBorders>
            <w:vMerge w:val="continue"/>
          </w:tcPr>
          <w:p>
            <w:pPr>
              <w:spacing w:after="0"/>
              <w:rPr>
                <w:sz w:val="20"/>
                <w:szCs w:val="20"/>
                <w:color w:val="auto"/>
              </w:rPr>
            </w:pPr>
          </w:p>
        </w:tc>
        <w:tc>
          <w:tcPr>
            <w:tcW w:w="2640" w:type="dxa"/>
            <w:vAlign w:val="bottom"/>
            <w:tcBorders>
              <w:bottom w:val="single" w:sz="8" w:color="00C389"/>
            </w:tcBorders>
          </w:tcPr>
          <w:p>
            <w:pPr>
              <w:ind w:left="620"/>
              <w:spacing w:after="0"/>
              <w:rPr>
                <w:sz w:val="20"/>
                <w:szCs w:val="20"/>
                <w:color w:val="auto"/>
              </w:rPr>
            </w:pPr>
            <w:r>
              <w:rPr>
                <w:rFonts w:ascii="Arial" w:cs="Arial" w:eastAsia="Arial" w:hAnsi="Arial"/>
                <w:sz w:val="18"/>
                <w:szCs w:val="18"/>
                <w:color w:val="auto"/>
              </w:rPr>
              <w:t>Age: 61</w:t>
            </w:r>
          </w:p>
        </w:tc>
        <w:tc>
          <w:tcPr>
            <w:tcW w:w="3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w:t>
            </w:r>
          </w:p>
        </w:tc>
        <w:tc>
          <w:tcPr>
            <w:tcW w:w="1800" w:type="dxa"/>
            <w:vAlign w:val="bottom"/>
            <w:tcBorders>
              <w:bottom w:val="single" w:sz="8" w:color="00C389"/>
            </w:tcBorders>
          </w:tcPr>
          <w:p>
            <w:pPr>
              <w:ind w:left="40"/>
              <w:spacing w:after="0"/>
              <w:rPr>
                <w:sz w:val="20"/>
                <w:szCs w:val="20"/>
                <w:color w:val="auto"/>
              </w:rPr>
            </w:pPr>
            <w:r>
              <w:rPr>
                <w:rFonts w:ascii="Arial" w:cs="Arial" w:eastAsia="Arial" w:hAnsi="Arial"/>
                <w:sz w:val="18"/>
                <w:szCs w:val="18"/>
                <w:color w:val="auto"/>
              </w:rPr>
              <w:t>Risk</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900"/>
        <w:spacing w:after="0" w:line="265" w:lineRule="auto"/>
        <w:rPr>
          <w:sz w:val="20"/>
          <w:szCs w:val="20"/>
          <w:color w:val="auto"/>
        </w:rPr>
      </w:pPr>
      <w:r>
        <w:rPr>
          <w:rFonts w:ascii="Arial" w:cs="Arial" w:eastAsia="Arial" w:hAnsi="Arial"/>
          <w:sz w:val="17"/>
          <w:szCs w:val="17"/>
          <w:color w:val="auto"/>
        </w:rPr>
        <w:t>Ms. Gambale became a member of our board of directors in January 2020. Ms. Gambale is Managing Partner of Azimuth Partners LLC, a technology advisory firm facilitating the growth and adoption of emerging technologies for financial services, consumer and technology companies. Prior to starting Azimuth Partners in 2003, Ms. Gambale was an Investment Partner at Deutsche Bank Capital and ABS Ventures from 1999 to 2003. Prior to that,</w:t>
      </w:r>
    </w:p>
    <w:p>
      <w:pPr>
        <w:spacing w:after="0" w:line="1" w:lineRule="exact"/>
        <w:rPr>
          <w:sz w:val="20"/>
          <w:szCs w:val="20"/>
          <w:color w:val="auto"/>
        </w:rPr>
      </w:pPr>
    </w:p>
    <w:p>
      <w:pPr>
        <w:ind w:left="760" w:right="920"/>
        <w:spacing w:after="0" w:line="252" w:lineRule="auto"/>
        <w:rPr>
          <w:sz w:val="20"/>
          <w:szCs w:val="20"/>
          <w:color w:val="auto"/>
        </w:rPr>
      </w:pPr>
      <w:r>
        <w:rPr>
          <w:rFonts w:ascii="Arial" w:cs="Arial" w:eastAsia="Arial" w:hAnsi="Arial"/>
          <w:sz w:val="18"/>
          <w:szCs w:val="18"/>
          <w:color w:val="auto"/>
        </w:rPr>
        <w:t>Ms. Gambale held the position of Chief Information Officer at Bankers Trust Alex Brown and Merrill Lynch. Ms. Gambale currently serves as a Director for JetBlue Airways Corp. (NASDAQ:JBLU), First Derivatives plc (LSE:FDP.L), Regis Corp. (NYSE:RGS), Nutanix, Inc. (NASDAQ:NTNX) and serves on the NACD Risk Oversight Advisory Council. She has also served on numerous international public and private boards including Piper Jaffray Companies, Synchronoss Technologies, Motive, Inc., Workbrain and IQ Financial, among others. Ms. Gambale holds a B.S. from New York Institute of Technology-Old Westbury.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900"/>
        <w:spacing w:after="0" w:line="261" w:lineRule="auto"/>
        <w:rPr>
          <w:sz w:val="20"/>
          <w:szCs w:val="20"/>
          <w:color w:val="auto"/>
        </w:rPr>
      </w:pPr>
      <w:r>
        <w:rPr>
          <w:rFonts w:ascii="Arial" w:cs="Arial" w:eastAsia="Arial" w:hAnsi="Arial"/>
          <w:sz w:val="18"/>
          <w:szCs w:val="18"/>
          <w:color w:val="auto"/>
        </w:rPr>
        <w:t>Ms. Gambale’s previous experience in senior leadership positions in finance and technology and previous services on the boards of other public companies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389"/>
              </w:rPr>
              <w:t>John D.</w:t>
            </w:r>
          </w:p>
        </w:tc>
        <w:tc>
          <w:tcPr>
            <w:tcW w:w="270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restart"/>
          </w:tcPr>
          <w:p>
            <w:pPr>
              <w:spacing w:after="0"/>
              <w:rPr>
                <w:sz w:val="20"/>
                <w:szCs w:val="20"/>
                <w:color w:val="auto"/>
              </w:rPr>
            </w:pPr>
            <w:r>
              <w:rPr>
                <w:rFonts w:ascii="Arial" w:cs="Arial" w:eastAsia="Arial" w:hAnsi="Arial"/>
                <w:sz w:val="36"/>
                <w:szCs w:val="36"/>
                <w:color w:val="00C389"/>
              </w:rPr>
              <w:t>Nixon</w:t>
            </w:r>
          </w:p>
        </w:tc>
        <w:tc>
          <w:tcPr>
            <w:tcW w:w="2700" w:type="dxa"/>
            <w:vAlign w:val="bottom"/>
            <w:vMerge w:val="continue"/>
          </w:tcPr>
          <w:p>
            <w:pPr>
              <w:spacing w:after="0"/>
              <w:rPr>
                <w:sz w:val="17"/>
                <w:szCs w:val="17"/>
                <w:color w:val="auto"/>
              </w:rPr>
            </w:pPr>
          </w:p>
        </w:tc>
        <w:tc>
          <w:tcPr>
            <w:tcW w:w="2140" w:type="dxa"/>
            <w:vAlign w:val="bottom"/>
          </w:tcPr>
          <w:p>
            <w:pPr>
              <w:ind w:left="200"/>
              <w:spacing w:after="0" w:line="201"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Compensation</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00C389"/>
            </w:tcBorders>
            <w:vMerge w:val="continue"/>
          </w:tcPr>
          <w:p>
            <w:pPr>
              <w:spacing w:after="0"/>
              <w:rPr>
                <w:sz w:val="20"/>
                <w:szCs w:val="20"/>
                <w:color w:val="auto"/>
              </w:rPr>
            </w:pPr>
          </w:p>
        </w:tc>
        <w:tc>
          <w:tcPr>
            <w:tcW w:w="270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65</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N&amp;CG</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5"/>
        </w:trPr>
        <w:tc>
          <w:tcPr>
            <w:tcW w:w="2020" w:type="dxa"/>
            <w:vAlign w:val="bottom"/>
          </w:tcPr>
          <w:p>
            <w:pPr>
              <w:spacing w:after="0"/>
              <w:rPr>
                <w:sz w:val="20"/>
                <w:szCs w:val="20"/>
                <w:color w:val="auto"/>
              </w:rPr>
            </w:pPr>
            <w:r>
              <w:rPr>
                <w:rFonts w:ascii="Arial" w:cs="Arial" w:eastAsia="Arial" w:hAnsi="Arial"/>
                <w:sz w:val="18"/>
                <w:szCs w:val="18"/>
                <w:color w:val="00C389"/>
              </w:rPr>
              <w:t>BACKGROUND:</w:t>
            </w:r>
          </w:p>
        </w:tc>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820"/>
        <w:spacing w:after="0" w:line="250" w:lineRule="auto"/>
        <w:rPr>
          <w:sz w:val="20"/>
          <w:szCs w:val="20"/>
          <w:color w:val="auto"/>
        </w:rPr>
      </w:pPr>
      <w:r>
        <w:rPr>
          <w:rFonts w:ascii="Arial" w:cs="Arial" w:eastAsia="Arial" w:hAnsi="Arial"/>
          <w:sz w:val="18"/>
          <w:szCs w:val="18"/>
          <w:color w:val="auto"/>
        </w:rPr>
        <w:t>Mr. Nixon became a member of our board of directors in May 2015. Mr. Nixon has more than 30 years of international experience in the interdealer broker industry with ICAP plc (“ICAP”) and, previously, with Tullett Prebon. He served as a non-executive director of ICAP from 1998 to 2002 and served as executive director from May 2008 until his retirement in March 2015. Mr. Nixon was a member of ICAP’s Global Executive Management Group from 2003 to 2015 with responsibility during that period for business divisions and strategic acquisitions. He represented the ICAP Americas businesses to the ICAP board, was chairman of the i-Swap business and had been responsible for the implementation of the ICAP Swap Execution Facility. In addition to serving on our board,</w:t>
      </w:r>
    </w:p>
    <w:p>
      <w:pPr>
        <w:spacing w:after="0" w:line="3" w:lineRule="exact"/>
        <w:rPr>
          <w:sz w:val="20"/>
          <w:szCs w:val="20"/>
          <w:color w:val="auto"/>
        </w:rPr>
      </w:pPr>
    </w:p>
    <w:p>
      <w:pPr>
        <w:ind w:left="760" w:right="880"/>
        <w:spacing w:after="0" w:line="256" w:lineRule="auto"/>
        <w:rPr>
          <w:sz w:val="20"/>
          <w:szCs w:val="20"/>
          <w:color w:val="auto"/>
        </w:rPr>
      </w:pPr>
      <w:r>
        <w:rPr>
          <w:rFonts w:ascii="Arial" w:cs="Arial" w:eastAsia="Arial" w:hAnsi="Arial"/>
          <w:sz w:val="18"/>
          <w:szCs w:val="18"/>
          <w:color w:val="auto"/>
        </w:rPr>
        <w:t>Mr. Nixon serves as our representative on the board of Eris Exchange Holdings, LLC, as a senior financial services advisor to Temasek USA and as a member of the board of directors of Eastdil Secured on behalf of Temasek. Mr. Nixon holds a degree in Commerce from Queen’s University, Ontario.</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860"/>
        <w:spacing w:after="0" w:line="261" w:lineRule="auto"/>
        <w:rPr>
          <w:sz w:val="20"/>
          <w:szCs w:val="20"/>
          <w:color w:val="auto"/>
        </w:rPr>
      </w:pPr>
      <w:r>
        <w:rPr>
          <w:rFonts w:ascii="Arial" w:cs="Arial" w:eastAsia="Arial" w:hAnsi="Arial"/>
          <w:sz w:val="18"/>
          <w:szCs w:val="18"/>
          <w:color w:val="auto"/>
        </w:rPr>
        <w:t>Mr. Nixon’s extensive business experience in the interdealer broker industry as well as his operational and strategic expertise in the financial services industry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546100</wp:posOffset>
            </wp:positionV>
            <wp:extent cx="75438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86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574"/>
        </w:trPr>
        <w:tc>
          <w:tcPr>
            <w:tcW w:w="68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1 ELECTION OF DIRECTORS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389"/>
              </w:rPr>
              <w:t>David J.</w:t>
            </w:r>
          </w:p>
        </w:tc>
        <w:tc>
          <w:tcPr>
            <w:tcW w:w="270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Independent Director</w:t>
            </w:r>
          </w:p>
        </w:tc>
        <w:tc>
          <w:tcPr>
            <w:tcW w:w="2140" w:type="dxa"/>
            <w:vAlign w:val="bottom"/>
            <w:vMerge w:val="restart"/>
          </w:tcPr>
          <w:p>
            <w:pPr>
              <w:ind w:left="20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163"/>
        </w:trPr>
        <w:tc>
          <w:tcPr>
            <w:tcW w:w="2020" w:type="dxa"/>
            <w:vAlign w:val="bottom"/>
            <w:vMerge w:val="restart"/>
          </w:tcPr>
          <w:p>
            <w:pPr>
              <w:spacing w:after="0" w:line="392" w:lineRule="exact"/>
              <w:rPr>
                <w:sz w:val="20"/>
                <w:szCs w:val="20"/>
                <w:color w:val="auto"/>
              </w:rPr>
            </w:pPr>
            <w:r>
              <w:rPr>
                <w:rFonts w:ascii="Arial" w:cs="Arial" w:eastAsia="Arial" w:hAnsi="Arial"/>
                <w:sz w:val="36"/>
                <w:szCs w:val="36"/>
                <w:color w:val="00C389"/>
              </w:rPr>
              <w:t>Urban</w:t>
            </w:r>
          </w:p>
        </w:tc>
        <w:tc>
          <w:tcPr>
            <w:tcW w:w="270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00C389"/>
            </w:tcBorders>
            <w:vMerge w:val="continue"/>
          </w:tcPr>
          <w:p>
            <w:pPr>
              <w:spacing w:after="0"/>
              <w:rPr>
                <w:sz w:val="20"/>
                <w:szCs w:val="20"/>
                <w:color w:val="auto"/>
              </w:rPr>
            </w:pPr>
          </w:p>
        </w:tc>
        <w:tc>
          <w:tcPr>
            <w:tcW w:w="270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57</w:t>
            </w:r>
          </w:p>
        </w:tc>
        <w:tc>
          <w:tcPr>
            <w:tcW w:w="2140" w:type="dxa"/>
            <w:vAlign w:val="bottom"/>
            <w:tcBorders>
              <w:bottom w:val="single" w:sz="8" w:color="00C389"/>
            </w:tcBorders>
          </w:tcPr>
          <w:p>
            <w:pPr>
              <w:ind w:left="20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44"/>
        </w:trPr>
        <w:tc>
          <w:tcPr>
            <w:tcW w:w="2020" w:type="dxa"/>
            <w:vAlign w:val="bottom"/>
          </w:tcPr>
          <w:p>
            <w:pPr>
              <w:spacing w:after="0"/>
              <w:rPr>
                <w:sz w:val="20"/>
                <w:szCs w:val="20"/>
                <w:color w:val="auto"/>
              </w:rPr>
            </w:pPr>
            <w:r>
              <w:rPr>
                <w:rFonts w:ascii="Arial" w:cs="Arial" w:eastAsia="Arial" w:hAnsi="Arial"/>
                <w:sz w:val="18"/>
                <w:szCs w:val="18"/>
                <w:color w:val="00C389"/>
              </w:rPr>
              <w:t>BACKGROUND:</w:t>
            </w:r>
          </w:p>
        </w:tc>
        <w:tc>
          <w:tcPr>
            <w:tcW w:w="2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40"/>
        <w:spacing w:after="0" w:line="251" w:lineRule="auto"/>
        <w:rPr>
          <w:sz w:val="20"/>
          <w:szCs w:val="20"/>
          <w:color w:val="auto"/>
        </w:rPr>
      </w:pPr>
      <w:r>
        <w:rPr>
          <w:rFonts w:ascii="Arial" w:cs="Arial" w:eastAsia="Arial" w:hAnsi="Arial"/>
          <w:sz w:val="18"/>
          <w:szCs w:val="18"/>
          <w:color w:val="auto"/>
        </w:rPr>
        <w:t>Mr. Urban became a member of our board of directors in December 2018. Mr. Urban is Executive Vice President, North American Corporate Affairs at ByteDance Ltd a global internet technology company. Previously, Mr. Urban served as President of the American Continental Group, a leading bi partisan government affairs and strategic consulting firm which provides strategic consulting services across the financial services and technology sectors, among others. Mr. Urban currently serves as a Director for several other private technology-focused companies. Mr. Urban previously served as the Chief of Staff for a United States Senator from 1997 to 2002, and from 1994 to 1997 was an attorney in private practice. From 1986 through 1991, Mr. Urban served as an artillery officer in the United States Army’s 101 Airborne Division. Mr. Urban holds a Bachelor of Science degree from the United States Military Academy at West Point, a Master of Government Administration degree from the University of Pennsylvania and a Juris Doctor from the Temple University School of Law.</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Mr. Urban’s governmental relations experience and his previous industry leadership service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75"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160" w:type="dxa"/>
            <w:vAlign w:val="bottom"/>
          </w:tcPr>
          <w:p>
            <w:pPr>
              <w:spacing w:after="0"/>
              <w:rPr>
                <w:sz w:val="20"/>
                <w:szCs w:val="20"/>
                <w:color w:val="auto"/>
              </w:rPr>
            </w:pPr>
            <w:r>
              <w:rPr>
                <w:rFonts w:ascii="Arial" w:cs="Arial" w:eastAsia="Arial" w:hAnsi="Arial"/>
                <w:sz w:val="36"/>
                <w:szCs w:val="36"/>
                <w:color w:val="00C389"/>
              </w:rPr>
              <w:t>Michael T.</w:t>
            </w:r>
          </w:p>
        </w:tc>
        <w:tc>
          <w:tcPr>
            <w:tcW w:w="2000" w:type="dxa"/>
            <w:vAlign w:val="bottom"/>
            <w:vMerge w:val="restart"/>
          </w:tcPr>
          <w:p>
            <w:pPr>
              <w:ind w:left="540"/>
              <w:spacing w:after="0"/>
              <w:rPr>
                <w:sz w:val="20"/>
                <w:szCs w:val="20"/>
                <w:color w:val="auto"/>
              </w:rPr>
            </w:pPr>
            <w:r>
              <w:rPr>
                <w:rFonts w:ascii="Arial" w:cs="Arial" w:eastAsia="Arial" w:hAnsi="Arial"/>
                <w:sz w:val="18"/>
                <w:szCs w:val="18"/>
                <w:b w:val="1"/>
                <w:bCs w:val="1"/>
                <w:color w:val="00C389"/>
              </w:rPr>
              <w:t>Director</w:t>
            </w:r>
          </w:p>
        </w:tc>
        <w:tc>
          <w:tcPr>
            <w:tcW w:w="2700" w:type="dxa"/>
            <w:vAlign w:val="bottom"/>
            <w:vMerge w:val="restart"/>
          </w:tcPr>
          <w:p>
            <w:pPr>
              <w:ind w:left="760"/>
              <w:spacing w:after="0"/>
              <w:rPr>
                <w:sz w:val="20"/>
                <w:szCs w:val="20"/>
                <w:color w:val="auto"/>
              </w:rPr>
            </w:pPr>
            <w:r>
              <w:rPr>
                <w:rFonts w:ascii="Arial" w:cs="Arial" w:eastAsia="Arial" w:hAnsi="Arial"/>
                <w:sz w:val="18"/>
                <w:szCs w:val="18"/>
                <w:b w:val="1"/>
                <w:bCs w:val="1"/>
                <w:color w:val="00C389"/>
              </w:rPr>
              <w:t>Board Committees:</w:t>
            </w:r>
          </w:p>
        </w:tc>
        <w:tc>
          <w:tcPr>
            <w:tcW w:w="2320" w:type="dxa"/>
            <w:vAlign w:val="bottom"/>
            <w:vMerge w:val="restart"/>
          </w:tcPr>
          <w:p>
            <w:pPr>
              <w:ind w:left="300"/>
              <w:spacing w:after="0"/>
              <w:rPr>
                <w:sz w:val="20"/>
                <w:szCs w:val="20"/>
                <w:color w:val="auto"/>
              </w:rPr>
            </w:pPr>
            <w:r>
              <w:rPr>
                <w:rFonts w:ascii="Arial" w:cs="Arial" w:eastAsia="Arial" w:hAnsi="Arial"/>
                <w:sz w:val="18"/>
                <w:szCs w:val="18"/>
                <w:b w:val="1"/>
                <w:bCs w:val="1"/>
                <w:color w:val="00C389"/>
              </w:rPr>
              <w:t>Director Since:</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160" w:type="dxa"/>
            <w:vAlign w:val="bottom"/>
            <w:vMerge w:val="restart"/>
          </w:tcPr>
          <w:p>
            <w:pPr>
              <w:spacing w:after="0"/>
              <w:rPr>
                <w:sz w:val="20"/>
                <w:szCs w:val="20"/>
                <w:color w:val="auto"/>
              </w:rPr>
            </w:pPr>
            <w:r>
              <w:rPr>
                <w:rFonts w:ascii="Arial" w:cs="Arial" w:eastAsia="Arial" w:hAnsi="Arial"/>
                <w:sz w:val="36"/>
                <w:szCs w:val="36"/>
                <w:color w:val="00C389"/>
              </w:rPr>
              <w:t>Viola</w:t>
            </w:r>
          </w:p>
        </w:tc>
        <w:tc>
          <w:tcPr>
            <w:tcW w:w="2000" w:type="dxa"/>
            <w:vAlign w:val="bottom"/>
            <w:vMerge w:val="continue"/>
          </w:tcPr>
          <w:p>
            <w:pPr>
              <w:spacing w:after="0"/>
              <w:rPr>
                <w:sz w:val="17"/>
                <w:szCs w:val="17"/>
                <w:color w:val="auto"/>
              </w:rPr>
            </w:pPr>
          </w:p>
        </w:tc>
        <w:tc>
          <w:tcPr>
            <w:tcW w:w="2700" w:type="dxa"/>
            <w:vAlign w:val="bottom"/>
          </w:tcPr>
          <w:p>
            <w:pPr>
              <w:ind w:left="760"/>
              <w:spacing w:after="0" w:line="201" w:lineRule="exact"/>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N&amp;CG</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00C389"/>
            </w:tcBorders>
            <w:vMerge w:val="continue"/>
          </w:tcPr>
          <w:p>
            <w:pPr>
              <w:spacing w:after="0"/>
              <w:rPr>
                <w:sz w:val="20"/>
                <w:szCs w:val="20"/>
                <w:color w:val="auto"/>
              </w:rPr>
            </w:pPr>
          </w:p>
        </w:tc>
        <w:tc>
          <w:tcPr>
            <w:tcW w:w="2000" w:type="dxa"/>
            <w:vAlign w:val="bottom"/>
            <w:tcBorders>
              <w:bottom w:val="single" w:sz="8" w:color="00C389"/>
            </w:tcBorders>
          </w:tcPr>
          <w:p>
            <w:pPr>
              <w:ind w:left="540"/>
              <w:spacing w:after="0"/>
              <w:rPr>
                <w:sz w:val="20"/>
                <w:szCs w:val="20"/>
                <w:color w:val="auto"/>
              </w:rPr>
            </w:pPr>
            <w:r>
              <w:rPr>
                <w:rFonts w:ascii="Arial" w:cs="Arial" w:eastAsia="Arial" w:hAnsi="Arial"/>
                <w:sz w:val="18"/>
                <w:szCs w:val="18"/>
                <w:color w:val="auto"/>
              </w:rPr>
              <w:t>Age: 34</w:t>
            </w:r>
          </w:p>
        </w:tc>
        <w:tc>
          <w:tcPr>
            <w:tcW w:w="2700" w:type="dxa"/>
            <w:vAlign w:val="bottom"/>
            <w:tcBorders>
              <w:bottom w:val="single" w:sz="8" w:color="00C389"/>
            </w:tcBorders>
          </w:tcPr>
          <w:p>
            <w:pPr>
              <w:ind w:left="760"/>
              <w:spacing w:after="0"/>
              <w:rPr>
                <w:sz w:val="20"/>
                <w:szCs w:val="20"/>
                <w:color w:val="auto"/>
              </w:rPr>
            </w:pPr>
            <w:r>
              <w:rPr>
                <w:rFonts w:ascii="Arial" w:cs="Arial" w:eastAsia="Arial" w:hAnsi="Arial"/>
                <w:sz w:val="18"/>
                <w:szCs w:val="18"/>
                <w:color w:val="002554"/>
              </w:rPr>
              <w:t xml:space="preserve">• </w:t>
            </w:r>
            <w:r>
              <w:rPr>
                <w:rFonts w:ascii="Arial" w:cs="Arial" w:eastAsia="Arial" w:hAnsi="Arial"/>
                <w:sz w:val="18"/>
                <w:szCs w:val="18"/>
                <w:color w:val="000000"/>
              </w:rPr>
              <w:t>Risk</w:t>
            </w:r>
          </w:p>
        </w:tc>
        <w:tc>
          <w:tcPr>
            <w:tcW w:w="2320" w:type="dxa"/>
            <w:vAlign w:val="bottom"/>
            <w:tcBorders>
              <w:bottom w:val="single" w:sz="8" w:color="00C389"/>
            </w:tcBorders>
          </w:tcPr>
          <w:p>
            <w:pPr>
              <w:ind w:left="3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4"/>
        </w:trPr>
        <w:tc>
          <w:tcPr>
            <w:tcW w:w="2160" w:type="dxa"/>
            <w:vAlign w:val="bottom"/>
          </w:tcPr>
          <w:p>
            <w:pPr>
              <w:spacing w:after="0"/>
              <w:rPr>
                <w:sz w:val="20"/>
                <w:szCs w:val="20"/>
                <w:color w:val="auto"/>
              </w:rPr>
            </w:pPr>
            <w:r>
              <w:rPr>
                <w:rFonts w:ascii="Arial" w:cs="Arial" w:eastAsia="Arial" w:hAnsi="Arial"/>
                <w:sz w:val="18"/>
                <w:szCs w:val="18"/>
                <w:color w:val="00C389"/>
              </w:rPr>
              <w:t>BACKGROUND:</w:t>
            </w:r>
          </w:p>
        </w:tc>
        <w:tc>
          <w:tcPr>
            <w:tcW w:w="2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260"/>
        <w:spacing w:after="0" w:line="252" w:lineRule="auto"/>
        <w:rPr>
          <w:sz w:val="20"/>
          <w:szCs w:val="20"/>
          <w:color w:val="auto"/>
        </w:rPr>
      </w:pPr>
      <w:r>
        <w:rPr>
          <w:rFonts w:ascii="Arial" w:cs="Arial" w:eastAsia="Arial" w:hAnsi="Arial"/>
          <w:sz w:val="18"/>
          <w:szCs w:val="18"/>
          <w:color w:val="auto"/>
        </w:rPr>
        <w:t>Mr. Viola became a member of our board of directors in April 2016. Mr. Viola previously served the Company in a variety of roles since 2011, most recently as a senior trader focused on foreign exchange products and global commodities. Since 2016, Mr. Viola has served as the President of the Viola family’s private investment office, located in New York City. In addition, Mr. Viola is a member of the board of directors of Independent Bank Group, Inc., which he joined in February 2013, as well as iAero Group, Cornerstone Investment Capital Holdings, Crowheart Energy LLC, Madava Financial LLC, the Viola Foundation, and the USA Track &amp; Field Foundation. Mr. Viola holds a B.S. in Finance from Pepperdine University.</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QUALIFICATIONS:</w:t>
      </w:r>
    </w:p>
    <w:p>
      <w:pPr>
        <w:spacing w:after="0" w:line="117" w:lineRule="exact"/>
        <w:rPr>
          <w:sz w:val="20"/>
          <w:szCs w:val="20"/>
          <w:color w:val="auto"/>
        </w:rPr>
      </w:pPr>
    </w:p>
    <w:p>
      <w:pPr>
        <w:ind w:left="760" w:right="260"/>
        <w:spacing w:after="0" w:line="261" w:lineRule="auto"/>
        <w:rPr>
          <w:sz w:val="20"/>
          <w:szCs w:val="20"/>
          <w:color w:val="auto"/>
        </w:rPr>
      </w:pPr>
      <w:r>
        <w:rPr>
          <w:rFonts w:ascii="Arial" w:cs="Arial" w:eastAsia="Arial" w:hAnsi="Arial"/>
          <w:sz w:val="18"/>
          <w:szCs w:val="18"/>
          <w:color w:val="auto"/>
        </w:rPr>
        <w:t>Mr. Viola’s significant experience in electronic market making and his experience as the director of another public company adds significant value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293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2020" w:type="dxa"/>
            <w:vAlign w:val="bottom"/>
          </w:tcPr>
          <w:p>
            <w:pPr>
              <w:spacing w:after="0"/>
              <w:rPr>
                <w:sz w:val="20"/>
                <w:szCs w:val="20"/>
                <w:color w:val="auto"/>
              </w:rPr>
            </w:pPr>
            <w:r>
              <w:rPr>
                <w:rFonts w:ascii="Arial" w:cs="Arial" w:eastAsia="Arial" w:hAnsi="Arial"/>
                <w:sz w:val="36"/>
                <w:szCs w:val="36"/>
                <w:color w:val="00C389"/>
              </w:rPr>
              <w:t>Stephen</w:t>
            </w:r>
          </w:p>
        </w:tc>
        <w:tc>
          <w:tcPr>
            <w:tcW w:w="322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EVP</w:t>
            </w:r>
          </w:p>
        </w:tc>
        <w:tc>
          <w:tcPr>
            <w:tcW w:w="3940" w:type="dxa"/>
            <w:vAlign w:val="bottom"/>
            <w:vMerge w:val="restart"/>
          </w:tcPr>
          <w:p>
            <w:pPr>
              <w:ind w:left="1920"/>
              <w:spacing w:after="0"/>
              <w:rPr>
                <w:sz w:val="20"/>
                <w:szCs w:val="20"/>
                <w:color w:val="auto"/>
              </w:rPr>
            </w:pPr>
            <w:r>
              <w:rPr>
                <w:rFonts w:ascii="Arial" w:cs="Arial" w:eastAsia="Arial" w:hAnsi="Arial"/>
                <w:sz w:val="18"/>
                <w:szCs w:val="18"/>
                <w:b w:val="1"/>
                <w:bCs w:val="1"/>
                <w:color w:val="00C389"/>
              </w:rPr>
              <w:t>Officer Since:</w:t>
            </w:r>
          </w:p>
        </w:tc>
        <w:tc>
          <w:tcPr>
            <w:tcW w:w="0" w:type="dxa"/>
            <w:vAlign w:val="bottom"/>
          </w:tcPr>
          <w:p>
            <w:pPr>
              <w:spacing w:after="0"/>
              <w:rPr>
                <w:sz w:val="1"/>
                <w:szCs w:val="1"/>
                <w:color w:val="auto"/>
              </w:rPr>
            </w:pPr>
          </w:p>
        </w:tc>
      </w:tr>
      <w:tr>
        <w:trPr>
          <w:trHeight w:val="163"/>
        </w:trPr>
        <w:tc>
          <w:tcPr>
            <w:tcW w:w="2020" w:type="dxa"/>
            <w:vAlign w:val="bottom"/>
            <w:vMerge w:val="restart"/>
          </w:tcPr>
          <w:p>
            <w:pPr>
              <w:spacing w:after="0" w:line="392" w:lineRule="exact"/>
              <w:rPr>
                <w:sz w:val="20"/>
                <w:szCs w:val="20"/>
                <w:color w:val="auto"/>
              </w:rPr>
            </w:pPr>
            <w:r>
              <w:rPr>
                <w:rFonts w:ascii="Arial" w:cs="Arial" w:eastAsia="Arial" w:hAnsi="Arial"/>
                <w:sz w:val="36"/>
                <w:szCs w:val="36"/>
                <w:color w:val="00C389"/>
              </w:rPr>
              <w:t>Cavoli</w:t>
            </w:r>
          </w:p>
        </w:tc>
        <w:tc>
          <w:tcPr>
            <w:tcW w:w="322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00C389"/>
            </w:tcBorders>
            <w:vMerge w:val="continue"/>
          </w:tcPr>
          <w:p>
            <w:pPr>
              <w:spacing w:after="0"/>
              <w:rPr>
                <w:sz w:val="20"/>
                <w:szCs w:val="20"/>
                <w:color w:val="auto"/>
              </w:rPr>
            </w:pPr>
          </w:p>
        </w:tc>
        <w:tc>
          <w:tcPr>
            <w:tcW w:w="322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52</w:t>
            </w:r>
          </w:p>
        </w:tc>
        <w:tc>
          <w:tcPr>
            <w:tcW w:w="3940" w:type="dxa"/>
            <w:vAlign w:val="bottom"/>
            <w:tcBorders>
              <w:bottom w:val="single" w:sz="8" w:color="00C389"/>
            </w:tcBorders>
          </w:tcPr>
          <w:p>
            <w:pPr>
              <w:ind w:left="19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180"/>
        <w:spacing w:after="0" w:line="252" w:lineRule="auto"/>
        <w:rPr>
          <w:sz w:val="20"/>
          <w:szCs w:val="20"/>
          <w:color w:val="auto"/>
        </w:rPr>
      </w:pPr>
      <w:r>
        <w:rPr>
          <w:rFonts w:ascii="Arial" w:cs="Arial" w:eastAsia="Arial" w:hAnsi="Arial"/>
          <w:sz w:val="18"/>
          <w:szCs w:val="18"/>
          <w:color w:val="auto"/>
        </w:rPr>
        <w:t>Mr. Cavoli has been our Executive Vice President, Markets since December 2017, and previously served as our Senior Vice President, Strategy and Market Development since 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3810</wp:posOffset>
            </wp:positionV>
            <wp:extent cx="58293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380"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754380"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17"/>
        </w:trPr>
        <w:tc>
          <w:tcPr>
            <w:tcW w:w="2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9"/>
              </w:rPr>
              <w:t>PROPOSAL 1 ELECTION OF DIRECTORS</w:t>
            </w:r>
          </w:p>
        </w:tc>
        <w:tc>
          <w:tcPr>
            <w:tcW w:w="0" w:type="dxa"/>
            <w:vAlign w:val="bottom"/>
          </w:tcPr>
          <w:p>
            <w:pPr>
              <w:spacing w:after="0"/>
              <w:rPr>
                <w:sz w:val="1"/>
                <w:szCs w:val="1"/>
                <w:color w:val="auto"/>
              </w:rPr>
            </w:pPr>
          </w:p>
        </w:tc>
      </w:tr>
      <w:tr>
        <w:trPr>
          <w:trHeight w:val="538"/>
        </w:trPr>
        <w:tc>
          <w:tcPr>
            <w:tcW w:w="2140" w:type="dxa"/>
            <w:vAlign w:val="bottom"/>
          </w:tcPr>
          <w:p>
            <w:pPr>
              <w:spacing w:after="0"/>
              <w:rPr>
                <w:sz w:val="20"/>
                <w:szCs w:val="20"/>
                <w:color w:val="auto"/>
              </w:rPr>
            </w:pPr>
            <w:r>
              <w:rPr>
                <w:rFonts w:ascii="Arial" w:cs="Arial" w:eastAsia="Arial" w:hAnsi="Arial"/>
                <w:sz w:val="36"/>
                <w:szCs w:val="36"/>
                <w:color w:val="00C389"/>
              </w:rPr>
              <w:t>Brett</w:t>
            </w:r>
          </w:p>
        </w:tc>
        <w:tc>
          <w:tcPr>
            <w:tcW w:w="3100" w:type="dxa"/>
            <w:vAlign w:val="bottom"/>
            <w:vMerge w:val="restart"/>
          </w:tcPr>
          <w:p>
            <w:pPr>
              <w:ind w:left="460"/>
              <w:spacing w:after="0"/>
              <w:rPr>
                <w:sz w:val="20"/>
                <w:szCs w:val="20"/>
                <w:color w:val="auto"/>
              </w:rPr>
            </w:pPr>
            <w:r>
              <w:rPr>
                <w:rFonts w:ascii="Arial" w:cs="Arial" w:eastAsia="Arial" w:hAnsi="Arial"/>
                <w:sz w:val="18"/>
                <w:szCs w:val="18"/>
                <w:b w:val="1"/>
                <w:bCs w:val="1"/>
                <w:color w:val="00C389"/>
              </w:rPr>
              <w:t>Co-President and Co-COO</w:t>
            </w:r>
          </w:p>
        </w:tc>
        <w:tc>
          <w:tcPr>
            <w:tcW w:w="3940" w:type="dxa"/>
            <w:vAlign w:val="bottom"/>
            <w:vMerge w:val="restart"/>
          </w:tcPr>
          <w:p>
            <w:pPr>
              <w:ind w:left="1980"/>
              <w:spacing w:after="0"/>
              <w:rPr>
                <w:sz w:val="20"/>
                <w:szCs w:val="20"/>
                <w:color w:val="auto"/>
              </w:rPr>
            </w:pPr>
            <w:r>
              <w:rPr>
                <w:rFonts w:ascii="Arial" w:cs="Arial" w:eastAsia="Arial" w:hAnsi="Arial"/>
                <w:sz w:val="18"/>
                <w:szCs w:val="18"/>
                <w:b w:val="1"/>
                <w:bCs w:val="1"/>
                <w:color w:val="00C389"/>
              </w:rPr>
              <w:t>Officer Since:</w:t>
            </w:r>
          </w:p>
        </w:tc>
        <w:tc>
          <w:tcPr>
            <w:tcW w:w="0" w:type="dxa"/>
            <w:vAlign w:val="bottom"/>
          </w:tcPr>
          <w:p>
            <w:pPr>
              <w:spacing w:after="0"/>
              <w:rPr>
                <w:sz w:val="1"/>
                <w:szCs w:val="1"/>
                <w:color w:val="auto"/>
              </w:rPr>
            </w:pPr>
          </w:p>
        </w:tc>
      </w:tr>
      <w:tr>
        <w:trPr>
          <w:trHeight w:val="163"/>
        </w:trPr>
        <w:tc>
          <w:tcPr>
            <w:tcW w:w="2140" w:type="dxa"/>
            <w:vAlign w:val="bottom"/>
            <w:vMerge w:val="restart"/>
          </w:tcPr>
          <w:p>
            <w:pPr>
              <w:spacing w:after="0" w:line="392" w:lineRule="exact"/>
              <w:rPr>
                <w:sz w:val="20"/>
                <w:szCs w:val="20"/>
                <w:color w:val="auto"/>
              </w:rPr>
            </w:pPr>
            <w:r>
              <w:rPr>
                <w:rFonts w:ascii="Arial" w:cs="Arial" w:eastAsia="Arial" w:hAnsi="Arial"/>
                <w:sz w:val="36"/>
                <w:szCs w:val="36"/>
                <w:color w:val="00C389"/>
              </w:rPr>
              <w:t>Fairclough</w:t>
            </w:r>
          </w:p>
        </w:tc>
        <w:tc>
          <w:tcPr>
            <w:tcW w:w="310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00C389"/>
            </w:tcBorders>
            <w:vMerge w:val="continue"/>
          </w:tcPr>
          <w:p>
            <w:pPr>
              <w:spacing w:after="0"/>
              <w:rPr>
                <w:sz w:val="20"/>
                <w:szCs w:val="20"/>
                <w:color w:val="auto"/>
              </w:rPr>
            </w:pPr>
          </w:p>
        </w:tc>
        <w:tc>
          <w:tcPr>
            <w:tcW w:w="3100" w:type="dxa"/>
            <w:vAlign w:val="bottom"/>
            <w:tcBorders>
              <w:bottom w:val="single" w:sz="8" w:color="00C389"/>
            </w:tcBorders>
          </w:tcPr>
          <w:p>
            <w:pPr>
              <w:ind w:left="460"/>
              <w:spacing w:after="0"/>
              <w:rPr>
                <w:sz w:val="20"/>
                <w:szCs w:val="20"/>
                <w:color w:val="auto"/>
              </w:rPr>
            </w:pPr>
            <w:r>
              <w:rPr>
                <w:rFonts w:ascii="Arial" w:cs="Arial" w:eastAsia="Arial" w:hAnsi="Arial"/>
                <w:sz w:val="18"/>
                <w:szCs w:val="18"/>
                <w:color w:val="auto"/>
              </w:rPr>
              <w:t>Age: 38</w:t>
            </w:r>
          </w:p>
        </w:tc>
        <w:tc>
          <w:tcPr>
            <w:tcW w:w="3940" w:type="dxa"/>
            <w:vAlign w:val="bottom"/>
            <w:tcBorders>
              <w:bottom w:val="single" w:sz="8" w:color="00C389"/>
            </w:tcBorders>
          </w:tcPr>
          <w:p>
            <w:pPr>
              <w:ind w:left="198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900"/>
        <w:spacing w:after="0" w:line="252" w:lineRule="auto"/>
        <w:rPr>
          <w:sz w:val="20"/>
          <w:szCs w:val="20"/>
          <w:color w:val="auto"/>
        </w:rPr>
      </w:pPr>
      <w:r>
        <w:rPr>
          <w:rFonts w:ascii="Arial" w:cs="Arial" w:eastAsia="Arial" w:hAnsi="Arial"/>
          <w:sz w:val="18"/>
          <w:szCs w:val="18"/>
          <w:color w:val="auto"/>
        </w:rPr>
        <w:t>Mr. Fairclough was appointed our Co-President and Co-Chief Operating Officer in May 2020. Mr. Fairclough has been an employee of the Company and its predecessors since 2007, previously serving as the Company’s Executive Vice President, Chief Operating Officer and Global Head of Business Development in 2019, as well as Managing Director of Asia Pacific and Chief Executive Officer of Virtu Singapore Pte. Ltd., the Company’s Singapore-based subsidiary, since 2014. Prior to that, he served as Chief Compliance Officer of the Company’s broker-dealer subsidiaries. He has also worked closely with exchanges and other industry participants to foster the growth and development of securities markets globally. Mr. Fairclough received a B.A. from the University of California at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20" w:type="dxa"/>
            <w:vAlign w:val="bottom"/>
          </w:tcPr>
          <w:p>
            <w:pPr>
              <w:spacing w:after="0"/>
              <w:rPr>
                <w:sz w:val="20"/>
                <w:szCs w:val="20"/>
                <w:color w:val="auto"/>
              </w:rPr>
            </w:pPr>
            <w:r>
              <w:rPr>
                <w:rFonts w:ascii="Arial" w:cs="Arial" w:eastAsia="Arial" w:hAnsi="Arial"/>
                <w:sz w:val="36"/>
                <w:szCs w:val="36"/>
                <w:color w:val="00C389"/>
              </w:rPr>
              <w:t>Joseph</w:t>
            </w:r>
          </w:p>
        </w:tc>
        <w:tc>
          <w:tcPr>
            <w:tcW w:w="4100" w:type="dxa"/>
            <w:vAlign w:val="bottom"/>
            <w:vMerge w:val="restart"/>
          </w:tcPr>
          <w:p>
            <w:pPr>
              <w:ind w:left="680"/>
              <w:spacing w:after="0"/>
              <w:rPr>
                <w:sz w:val="20"/>
                <w:szCs w:val="20"/>
                <w:color w:val="auto"/>
              </w:rPr>
            </w:pPr>
            <w:r>
              <w:rPr>
                <w:rFonts w:ascii="Arial" w:cs="Arial" w:eastAsia="Arial" w:hAnsi="Arial"/>
                <w:sz w:val="18"/>
                <w:szCs w:val="18"/>
                <w:b w:val="1"/>
                <w:bCs w:val="1"/>
                <w:color w:val="00C389"/>
              </w:rPr>
              <w:t>Co-President and Co-COO</w:t>
            </w:r>
          </w:p>
        </w:tc>
        <w:tc>
          <w:tcPr>
            <w:tcW w:w="3160" w:type="dxa"/>
            <w:vAlign w:val="bottom"/>
            <w:vMerge w:val="restart"/>
          </w:tcPr>
          <w:p>
            <w:pPr>
              <w:ind w:left="1200"/>
              <w:spacing w:after="0"/>
              <w:rPr>
                <w:sz w:val="20"/>
                <w:szCs w:val="20"/>
                <w:color w:val="auto"/>
              </w:rPr>
            </w:pPr>
            <w:r>
              <w:rPr>
                <w:rFonts w:ascii="Arial" w:cs="Arial" w:eastAsia="Arial" w:hAnsi="Arial"/>
                <w:sz w:val="18"/>
                <w:szCs w:val="18"/>
                <w:b w:val="1"/>
                <w:bCs w:val="1"/>
                <w:color w:val="00C389"/>
              </w:rPr>
              <w:t>Officer Since:</w:t>
            </w:r>
          </w:p>
        </w:tc>
        <w:tc>
          <w:tcPr>
            <w:tcW w:w="0" w:type="dxa"/>
            <w:vAlign w:val="bottom"/>
          </w:tcPr>
          <w:p>
            <w:pPr>
              <w:spacing w:after="0"/>
              <w:rPr>
                <w:sz w:val="1"/>
                <w:szCs w:val="1"/>
                <w:color w:val="auto"/>
              </w:rPr>
            </w:pPr>
          </w:p>
        </w:tc>
      </w:tr>
      <w:tr>
        <w:trPr>
          <w:trHeight w:val="163"/>
        </w:trPr>
        <w:tc>
          <w:tcPr>
            <w:tcW w:w="1920" w:type="dxa"/>
            <w:vAlign w:val="bottom"/>
            <w:vMerge w:val="restart"/>
          </w:tcPr>
          <w:p>
            <w:pPr>
              <w:spacing w:after="0" w:line="392" w:lineRule="exact"/>
              <w:rPr>
                <w:sz w:val="20"/>
                <w:szCs w:val="20"/>
                <w:color w:val="auto"/>
              </w:rPr>
            </w:pPr>
            <w:r>
              <w:rPr>
                <w:rFonts w:ascii="Arial" w:cs="Arial" w:eastAsia="Arial" w:hAnsi="Arial"/>
                <w:sz w:val="36"/>
                <w:szCs w:val="36"/>
                <w:color w:val="00C389"/>
              </w:rPr>
              <w:t>Molluso</w:t>
            </w:r>
          </w:p>
        </w:tc>
        <w:tc>
          <w:tcPr>
            <w:tcW w:w="4100" w:type="dxa"/>
            <w:vAlign w:val="bottom"/>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00C389"/>
            </w:tcBorders>
            <w:vMerge w:val="continue"/>
          </w:tcPr>
          <w:p>
            <w:pPr>
              <w:spacing w:after="0"/>
              <w:rPr>
                <w:sz w:val="20"/>
                <w:szCs w:val="20"/>
                <w:color w:val="auto"/>
              </w:rPr>
            </w:pPr>
          </w:p>
        </w:tc>
        <w:tc>
          <w:tcPr>
            <w:tcW w:w="4100" w:type="dxa"/>
            <w:vAlign w:val="bottom"/>
            <w:tcBorders>
              <w:bottom w:val="single" w:sz="8" w:color="00C389"/>
            </w:tcBorders>
          </w:tcPr>
          <w:p>
            <w:pPr>
              <w:ind w:left="680"/>
              <w:spacing w:after="0"/>
              <w:rPr>
                <w:sz w:val="20"/>
                <w:szCs w:val="20"/>
                <w:color w:val="auto"/>
              </w:rPr>
            </w:pPr>
            <w:r>
              <w:rPr>
                <w:rFonts w:ascii="Arial" w:cs="Arial" w:eastAsia="Arial" w:hAnsi="Arial"/>
                <w:sz w:val="18"/>
                <w:szCs w:val="18"/>
                <w:color w:val="auto"/>
              </w:rPr>
              <w:t>Age: 52</w:t>
            </w:r>
          </w:p>
        </w:tc>
        <w:tc>
          <w:tcPr>
            <w:tcW w:w="3160" w:type="dxa"/>
            <w:vAlign w:val="bottom"/>
            <w:tcBorders>
              <w:bottom w:val="single" w:sz="8" w:color="00C389"/>
            </w:tcBorders>
          </w:tcPr>
          <w:p>
            <w:pPr>
              <w:ind w:left="12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840"/>
        <w:spacing w:after="0" w:line="252" w:lineRule="auto"/>
        <w:rPr>
          <w:sz w:val="20"/>
          <w:szCs w:val="20"/>
          <w:color w:val="auto"/>
        </w:rPr>
      </w:pPr>
      <w:r>
        <w:rPr>
          <w:rFonts w:ascii="Arial" w:cs="Arial" w:eastAsia="Arial" w:hAnsi="Arial"/>
          <w:sz w:val="18"/>
          <w:szCs w:val="18"/>
          <w:color w:val="auto"/>
        </w:rPr>
        <w:t>Mr. Molluso was appointed our Co-President and Co-Chief Operating Officer in May 2020. Mr. Molluso joined Virtu in November 2013 as Chief Financial Officer. After a brief departure in 2019 to serve as Chief Financial Officer of Capitolis, Mr. Molluso rejoined Virtu in 2020. Prior to joining Virtu, Mr. Molluso was a Managing Director in Investment 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5829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414"/>
        </w:trPr>
        <w:tc>
          <w:tcPr>
            <w:tcW w:w="1960" w:type="dxa"/>
            <w:vAlign w:val="bottom"/>
          </w:tcPr>
          <w:p>
            <w:pPr>
              <w:spacing w:after="0"/>
              <w:rPr>
                <w:sz w:val="20"/>
                <w:szCs w:val="20"/>
                <w:color w:val="auto"/>
              </w:rPr>
            </w:pPr>
            <w:r>
              <w:rPr>
                <w:rFonts w:ascii="Arial" w:cs="Arial" w:eastAsia="Arial" w:hAnsi="Arial"/>
                <w:sz w:val="36"/>
                <w:szCs w:val="36"/>
                <w:color w:val="00C389"/>
              </w:rPr>
              <w:t>Sean P.</w:t>
            </w:r>
          </w:p>
        </w:tc>
        <w:tc>
          <w:tcPr>
            <w:tcW w:w="3280" w:type="dxa"/>
            <w:vAlign w:val="bottom"/>
            <w:vMerge w:val="restart"/>
          </w:tcPr>
          <w:p>
            <w:pPr>
              <w:ind w:left="740"/>
              <w:spacing w:after="0"/>
              <w:rPr>
                <w:sz w:val="20"/>
                <w:szCs w:val="20"/>
                <w:color w:val="auto"/>
              </w:rPr>
            </w:pPr>
            <w:r>
              <w:rPr>
                <w:rFonts w:ascii="Arial" w:cs="Arial" w:eastAsia="Arial" w:hAnsi="Arial"/>
                <w:sz w:val="18"/>
                <w:szCs w:val="18"/>
                <w:b w:val="1"/>
                <w:bCs w:val="1"/>
                <w:color w:val="00C389"/>
              </w:rPr>
              <w:t>CFO</w:t>
            </w:r>
          </w:p>
        </w:tc>
        <w:tc>
          <w:tcPr>
            <w:tcW w:w="3940" w:type="dxa"/>
            <w:vAlign w:val="bottom"/>
            <w:vMerge w:val="restart"/>
          </w:tcPr>
          <w:p>
            <w:pPr>
              <w:ind w:left="1920"/>
              <w:spacing w:after="0"/>
              <w:rPr>
                <w:sz w:val="20"/>
                <w:szCs w:val="20"/>
                <w:color w:val="auto"/>
              </w:rPr>
            </w:pPr>
            <w:r>
              <w:rPr>
                <w:rFonts w:ascii="Arial" w:cs="Arial" w:eastAsia="Arial" w:hAnsi="Arial"/>
                <w:sz w:val="18"/>
                <w:szCs w:val="18"/>
                <w:b w:val="1"/>
                <w:bCs w:val="1"/>
                <w:color w:val="00C389"/>
              </w:rPr>
              <w:t>Officer Since:</w:t>
            </w:r>
          </w:p>
        </w:tc>
        <w:tc>
          <w:tcPr>
            <w:tcW w:w="0" w:type="dxa"/>
            <w:vAlign w:val="bottom"/>
          </w:tcPr>
          <w:p>
            <w:pPr>
              <w:spacing w:after="0"/>
              <w:rPr>
                <w:sz w:val="1"/>
                <w:szCs w:val="1"/>
                <w:color w:val="auto"/>
              </w:rPr>
            </w:pPr>
          </w:p>
        </w:tc>
      </w:tr>
      <w:tr>
        <w:trPr>
          <w:trHeight w:val="163"/>
        </w:trPr>
        <w:tc>
          <w:tcPr>
            <w:tcW w:w="1960" w:type="dxa"/>
            <w:vAlign w:val="bottom"/>
            <w:vMerge w:val="restart"/>
          </w:tcPr>
          <w:p>
            <w:pPr>
              <w:spacing w:after="0" w:line="392" w:lineRule="exact"/>
              <w:rPr>
                <w:sz w:val="20"/>
                <w:szCs w:val="20"/>
                <w:color w:val="auto"/>
              </w:rPr>
            </w:pPr>
            <w:r>
              <w:rPr>
                <w:rFonts w:ascii="Arial" w:cs="Arial" w:eastAsia="Arial" w:hAnsi="Arial"/>
                <w:sz w:val="36"/>
                <w:szCs w:val="36"/>
                <w:color w:val="00C389"/>
              </w:rPr>
              <w:t>Galvin</w:t>
            </w:r>
          </w:p>
        </w:tc>
        <w:tc>
          <w:tcPr>
            <w:tcW w:w="328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00C389"/>
            </w:tcBorders>
            <w:vMerge w:val="continue"/>
          </w:tcPr>
          <w:p>
            <w:pPr>
              <w:spacing w:after="0"/>
              <w:rPr>
                <w:sz w:val="20"/>
                <w:szCs w:val="20"/>
                <w:color w:val="auto"/>
              </w:rPr>
            </w:pPr>
          </w:p>
        </w:tc>
        <w:tc>
          <w:tcPr>
            <w:tcW w:w="3280" w:type="dxa"/>
            <w:vAlign w:val="bottom"/>
            <w:tcBorders>
              <w:bottom w:val="single" w:sz="8" w:color="00C389"/>
            </w:tcBorders>
          </w:tcPr>
          <w:p>
            <w:pPr>
              <w:ind w:left="740"/>
              <w:spacing w:after="0"/>
              <w:rPr>
                <w:sz w:val="20"/>
                <w:szCs w:val="20"/>
                <w:color w:val="auto"/>
              </w:rPr>
            </w:pPr>
            <w:r>
              <w:rPr>
                <w:rFonts w:ascii="Arial" w:cs="Arial" w:eastAsia="Arial" w:hAnsi="Arial"/>
                <w:sz w:val="18"/>
                <w:szCs w:val="18"/>
                <w:color w:val="auto"/>
              </w:rPr>
              <w:t>Age: 56</w:t>
            </w:r>
          </w:p>
        </w:tc>
        <w:tc>
          <w:tcPr>
            <w:tcW w:w="3940" w:type="dxa"/>
            <w:vAlign w:val="bottom"/>
            <w:tcBorders>
              <w:bottom w:val="single" w:sz="8" w:color="00C389"/>
            </w:tcBorders>
          </w:tcPr>
          <w:p>
            <w:pPr>
              <w:ind w:left="19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00C389"/>
        </w:rPr>
        <w:t>BACKGROUND:</w:t>
      </w:r>
    </w:p>
    <w:p>
      <w:pPr>
        <w:spacing w:after="0" w:line="117" w:lineRule="exact"/>
        <w:rPr>
          <w:sz w:val="20"/>
          <w:szCs w:val="20"/>
          <w:color w:val="auto"/>
        </w:rPr>
      </w:pPr>
    </w:p>
    <w:p>
      <w:pPr>
        <w:ind w:left="760" w:right="980"/>
        <w:spacing w:after="0" w:line="252" w:lineRule="auto"/>
        <w:rPr>
          <w:sz w:val="20"/>
          <w:szCs w:val="20"/>
          <w:color w:val="auto"/>
        </w:rPr>
      </w:pPr>
      <w:r>
        <w:rPr>
          <w:rFonts w:ascii="Arial" w:cs="Arial" w:eastAsia="Arial" w:hAnsi="Arial"/>
          <w:sz w:val="18"/>
          <w:szCs w:val="18"/>
          <w:color w:val="auto"/>
        </w:rPr>
        <w:t>Mr. Galvin was appointed our Executive Vice President and Chief Financial Officer in August 2020. Mr. Galvin has more than 30 years of experience in the accounting and financial services fields and previously served as the interim Chief Financial Officer of KCG Holdings, Inc., the Chief Accounting Officer of BGC Partners, Inc., and in various other senior finance roles with Virtu, KCG Holdings Inc. and Knight Capital Group, Inc. Prior to joining Knight in 2000, Mr. Galvin was a Vice President at Donaldson, Lufkin &amp; Jenrette and a Senior Tax Manager at PricewaterhouseCoopers LLP. Mr. Galvin earned a M.S. in Taxation from Fordham University as well as a B.S. in Accounting and Information Systems with a minor in Economics from Queens College, CUNY. Mr. Galvin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2540</wp:posOffset>
            </wp:positionV>
            <wp:extent cx="5829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1545590</wp:posOffset>
            </wp:positionV>
            <wp:extent cx="75438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11</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Corporate Governance</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Our board of directors consists of 11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94"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TJMT Holdings LLC (the “Founder Member”), an affiliate of Mr. Vincent Viola, our founder and Chairman Emeritus, or any of its affiliates or permitted transferees, no longer beneficially own shares representing 25% of our issued and outstanding common stock (the “Triggering Event”), vacancies on the board of directors may also be filled by the affirmative vote of a majority of our outstanding shares of common stock.</w:t>
      </w:r>
    </w:p>
    <w:p>
      <w:pPr>
        <w:spacing w:after="0" w:line="99"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97" w:lineRule="exact"/>
        <w:rPr>
          <w:sz w:val="20"/>
          <w:szCs w:val="20"/>
          <w:color w:val="auto"/>
        </w:rPr>
      </w:pPr>
    </w:p>
    <w:p>
      <w:pPr>
        <w:ind w:left="760" w:right="100"/>
        <w:spacing w:after="0" w:line="256" w:lineRule="auto"/>
        <w:rPr>
          <w:sz w:val="20"/>
          <w:szCs w:val="20"/>
          <w:color w:val="auto"/>
        </w:rPr>
      </w:pPr>
      <w:r>
        <w:rPr>
          <w:rFonts w:ascii="Arial" w:cs="Arial" w:eastAsia="Arial" w:hAnsi="Arial"/>
          <w:sz w:val="18"/>
          <w:szCs w:val="18"/>
          <w:color w:val="auto"/>
        </w:rPr>
        <w:t>Our amended and restated certificate of incorporation provides that the board of directors is divided into three classes of directors, with staggered three-year terms, with the classes to be as nearly equal in number as possible. As a result, approximately one-third of the board of directors will be elected each year.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Controlled Company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Founder Member currently controls more than 50% of our combined voting power, and as a result, we are considered a “controlled company” for the purposes of NASDAQ rules and corporate governance standards. As a “controlled company,” we are permitted and may from time to time elect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is determined or recommended to the board of directors by the independent members of the board of directors.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80"/>
        <w:spacing w:after="0" w:line="256" w:lineRule="auto"/>
        <w:rPr>
          <w:sz w:val="20"/>
          <w:szCs w:val="20"/>
          <w:color w:val="auto"/>
        </w:rPr>
      </w:pPr>
      <w:r>
        <w:rPr>
          <w:rFonts w:ascii="Arial" w:cs="Arial" w:eastAsia="Arial" w:hAnsi="Arial"/>
          <w:sz w:val="18"/>
          <w:szCs w:val="18"/>
          <w:color w:val="auto"/>
        </w:rPr>
        <w:t>Our board of directors has determined that Messrs. Cruger, Grano, Greifeld, Hutchins, Nixon, Quick and Urban and Ms. Gambale are each “independent directors”, as such term is defined by the applicable rules and regulations of NASDAQ.</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Family Relationships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40"/>
        <w:spacing w:after="0" w:line="256" w:lineRule="auto"/>
        <w:rPr>
          <w:sz w:val="20"/>
          <w:szCs w:val="20"/>
          <w:color w:val="auto"/>
        </w:rPr>
      </w:pPr>
      <w:r>
        <w:rPr>
          <w:rFonts w:ascii="Arial" w:cs="Arial" w:eastAsia="Arial" w:hAnsi="Arial"/>
          <w:sz w:val="18"/>
          <w:szCs w:val="18"/>
          <w:color w:val="auto"/>
        </w:rPr>
        <w:t>Other than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754380" cy="24003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GOVERNANCE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jc w:val="both"/>
        <w:ind w:left="760" w:right="840"/>
        <w:spacing w:after="0" w:line="254" w:lineRule="auto"/>
        <w:rPr>
          <w:sz w:val="20"/>
          <w:szCs w:val="20"/>
          <w:color w:val="auto"/>
        </w:rPr>
      </w:pPr>
      <w:r>
        <w:rPr>
          <w:rFonts w:ascii="Arial" w:cs="Arial" w:eastAsia="Arial" w:hAnsi="Arial"/>
          <w:sz w:val="18"/>
          <w:szCs w:val="18"/>
          <w:color w:val="auto"/>
        </w:rPr>
        <w:t>We currently separate the roles of chairman of the board of directors and chief executive officer. Mr. Greifeld serves as Chairman of our board of directors. This structure enables the board of directors to effectively exercise its role in oversight of Virtu while allowing our Chief Executive Officer to focus on the management of the day-to-day conduct of our business. The board may review and change its leadership structure in the future.</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of Directors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760"/>
        <w:spacing w:after="0" w:line="261" w:lineRule="auto"/>
        <w:rPr>
          <w:sz w:val="20"/>
          <w:szCs w:val="20"/>
          <w:color w:val="auto"/>
        </w:rPr>
      </w:pPr>
      <w:r>
        <w:rPr>
          <w:rFonts w:ascii="Arial" w:cs="Arial" w:eastAsia="Arial" w:hAnsi="Arial"/>
          <w:sz w:val="18"/>
          <w:szCs w:val="18"/>
          <w:color w:val="auto"/>
        </w:rPr>
        <w:t>It is the duty of our board of directors to serve as a prudent fiduciary for stockholders and to oversee the management of our Company.</w:t>
      </w:r>
    </w:p>
    <w:p>
      <w:pPr>
        <w:spacing w:after="0" w:line="90" w:lineRule="exact"/>
        <w:rPr>
          <w:sz w:val="20"/>
          <w:szCs w:val="20"/>
          <w:color w:val="auto"/>
        </w:rPr>
      </w:pPr>
    </w:p>
    <w:p>
      <w:pPr>
        <w:jc w:val="both"/>
        <w:ind w:left="760" w:right="780"/>
        <w:spacing w:after="0" w:line="254" w:lineRule="auto"/>
        <w:rPr>
          <w:sz w:val="20"/>
          <w:szCs w:val="20"/>
          <w:color w:val="auto"/>
        </w:rPr>
      </w:pPr>
      <w:r>
        <w:rPr>
          <w:rFonts w:ascii="Arial" w:cs="Arial" w:eastAsia="Arial" w:hAnsi="Arial"/>
          <w:sz w:val="18"/>
          <w:szCs w:val="18"/>
          <w:color w:val="auto"/>
        </w:rPr>
        <w:t>Our Risk Committee, under powers delegated to it by our board of directors, is responsible for overseeing areas of risk that are not the primary responsibility of another committee of our board of directors or retained for oversight of the full board, including (i) cybersecurity, information security and information technology risk, (ii) trading, capital and liquidity risk and (iii) enterprise risk.</w:t>
      </w:r>
    </w:p>
    <w:p>
      <w:pPr>
        <w:spacing w:after="0" w:line="96" w:lineRule="exact"/>
        <w:rPr>
          <w:sz w:val="20"/>
          <w:szCs w:val="20"/>
          <w:color w:val="auto"/>
        </w:rPr>
      </w:pPr>
    </w:p>
    <w:p>
      <w:pPr>
        <w:ind w:left="760" w:right="860"/>
        <w:spacing w:after="0" w:line="268" w:lineRule="auto"/>
        <w:rPr>
          <w:sz w:val="20"/>
          <w:szCs w:val="20"/>
          <w:color w:val="auto"/>
        </w:rPr>
      </w:pPr>
      <w:r>
        <w:rPr>
          <w:rFonts w:ascii="Arial" w:cs="Arial" w:eastAsia="Arial" w:hAnsi="Arial"/>
          <w:sz w:val="17"/>
          <w:szCs w:val="17"/>
          <w:color w:val="auto"/>
        </w:rPr>
        <w:t>Our Audit Committee, under powers delegated to it by our board of directors, is also responsible for discussing with management the major financial, legal, compliance and other significant risks. Our 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87" w:lineRule="exact"/>
        <w:rPr>
          <w:sz w:val="20"/>
          <w:szCs w:val="20"/>
          <w:color w:val="auto"/>
        </w:rPr>
      </w:pPr>
    </w:p>
    <w:p>
      <w:pPr>
        <w:ind w:left="760" w:right="820"/>
        <w:spacing w:after="0" w:line="273" w:lineRule="auto"/>
        <w:rPr>
          <w:sz w:val="20"/>
          <w:szCs w:val="20"/>
          <w:color w:val="auto"/>
        </w:rPr>
      </w:pPr>
      <w:r>
        <w:rPr>
          <w:rFonts w:ascii="Arial" w:cs="Arial" w:eastAsia="Arial" w:hAnsi="Arial"/>
          <w:sz w:val="17"/>
          <w:szCs w:val="17"/>
          <w:color w:val="auto"/>
        </w:rPr>
        <w:t>Our Compensation Committee oversees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83" w:lineRule="exact"/>
        <w:rPr>
          <w:sz w:val="20"/>
          <w:szCs w:val="20"/>
          <w:color w:val="auto"/>
        </w:rPr>
      </w:pPr>
    </w:p>
    <w:p>
      <w:pPr>
        <w:ind w:left="760" w:right="820"/>
        <w:spacing w:after="0" w:line="261" w:lineRule="auto"/>
        <w:rPr>
          <w:sz w:val="20"/>
          <w:szCs w:val="20"/>
          <w:color w:val="auto"/>
        </w:rPr>
      </w:pPr>
      <w:r>
        <w:rPr>
          <w:rFonts w:ascii="Arial" w:cs="Arial" w:eastAsia="Arial" w:hAnsi="Arial"/>
          <w:sz w:val="18"/>
          <w:szCs w:val="18"/>
          <w:color w:val="auto"/>
        </w:rPr>
        <w:t>The Nominating and Corporate Governance Committee oversees the management of risks relating to our corporate governance structure and director selection process.</w:t>
      </w:r>
    </w:p>
    <w:p>
      <w:pPr>
        <w:spacing w:after="0" w:line="90"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103" w:lineRule="exact"/>
        <w:rPr>
          <w:sz w:val="20"/>
          <w:szCs w:val="20"/>
          <w:color w:val="auto"/>
        </w:rPr>
      </w:pPr>
    </w:p>
    <w:p>
      <w:pPr>
        <w:ind w:left="760" w:right="820"/>
        <w:spacing w:after="0" w:line="252" w:lineRule="auto"/>
        <w:rPr>
          <w:sz w:val="20"/>
          <w:szCs w:val="20"/>
          <w:color w:val="auto"/>
        </w:rPr>
      </w:pPr>
      <w:r>
        <w:rPr>
          <w:rFonts w:ascii="Arial" w:cs="Arial" w:eastAsia="Arial" w:hAnsi="Arial"/>
          <w:sz w:val="18"/>
          <w:szCs w:val="18"/>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758190</wp:posOffset>
            </wp:positionV>
            <wp:extent cx="75438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13</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and Committee Meetings;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2020:</w:t>
      </w:r>
    </w:p>
    <w:p>
      <w:pPr>
        <w:spacing w:after="0" w:line="117" w:lineRule="exact"/>
        <w:rPr>
          <w:sz w:val="20"/>
          <w:szCs w:val="20"/>
          <w:color w:val="auto"/>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board of directors held six meetings and acted by written consent six times;</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Audit Committee held nine meetings and did not act by written consent;</w:t>
      </w:r>
    </w:p>
    <w:p>
      <w:pPr>
        <w:spacing w:after="0" w:line="117"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Risk Committee held five meetings and did not act by written consent;</w:t>
      </w:r>
    </w:p>
    <w:p>
      <w:pPr>
        <w:spacing w:after="0" w:line="117" w:lineRule="exact"/>
        <w:rPr>
          <w:rFonts w:ascii="Arial" w:cs="Arial" w:eastAsia="Arial" w:hAnsi="Arial"/>
          <w:sz w:val="18"/>
          <w:szCs w:val="18"/>
          <w:color w:val="002554"/>
        </w:rPr>
      </w:pPr>
    </w:p>
    <w:p>
      <w:pPr>
        <w:ind w:left="1200" w:right="220" w:hanging="222"/>
        <w:spacing w:after="0" w:line="261" w:lineRule="auto"/>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Nominating and Corporate Governance Committee held one meeting and did not act by written consent; and</w:t>
      </w:r>
    </w:p>
    <w:p>
      <w:pPr>
        <w:spacing w:after="0" w:line="89" w:lineRule="exact"/>
        <w:rPr>
          <w:rFonts w:ascii="Arial" w:cs="Arial" w:eastAsia="Arial" w:hAnsi="Arial"/>
          <w:sz w:val="18"/>
          <w:szCs w:val="18"/>
          <w:color w:val="002554"/>
        </w:rPr>
      </w:pPr>
    </w:p>
    <w:p>
      <w:pPr>
        <w:ind w:left="1200" w:hanging="222"/>
        <w:spacing w:after="0"/>
        <w:tabs>
          <w:tab w:leader="none" w:pos="1200" w:val="left"/>
        </w:tabs>
        <w:numPr>
          <w:ilvl w:val="0"/>
          <w:numId w:val="5"/>
        </w:numPr>
        <w:rPr>
          <w:rFonts w:ascii="Arial" w:cs="Arial" w:eastAsia="Arial" w:hAnsi="Arial"/>
          <w:sz w:val="18"/>
          <w:szCs w:val="18"/>
          <w:color w:val="002554"/>
        </w:rPr>
      </w:pPr>
      <w:r>
        <w:rPr>
          <w:rFonts w:ascii="Arial" w:cs="Arial" w:eastAsia="Arial" w:hAnsi="Arial"/>
          <w:sz w:val="18"/>
          <w:szCs w:val="18"/>
          <w:color w:val="auto"/>
        </w:rPr>
        <w:t>the Compensation Committee held two meetings and acted by written consent four times.</w:t>
      </w:r>
    </w:p>
    <w:p>
      <w:pPr>
        <w:spacing w:after="0" w:line="117" w:lineRule="exact"/>
        <w:rPr>
          <w:sz w:val="20"/>
          <w:szCs w:val="20"/>
          <w:color w:val="auto"/>
        </w:rPr>
      </w:pPr>
    </w:p>
    <w:p>
      <w:pPr>
        <w:ind w:left="760" w:right="260"/>
        <w:spacing w:after="0" w:line="254" w:lineRule="auto"/>
        <w:rPr>
          <w:sz w:val="20"/>
          <w:szCs w:val="20"/>
          <w:color w:val="auto"/>
        </w:rPr>
      </w:pPr>
      <w:r>
        <w:rPr>
          <w:rFonts w:ascii="Arial" w:cs="Arial" w:eastAsia="Arial" w:hAnsi="Arial"/>
          <w:sz w:val="18"/>
          <w:szCs w:val="18"/>
          <w:color w:val="auto"/>
        </w:rPr>
        <w:t>In the year ended December 31, 2020,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w:t>
      </w:r>
    </w:p>
    <w:p>
      <w:pPr>
        <w:spacing w:after="0" w:line="96"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Four of our directors attended our 2020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0"/>
        <w:spacing w:after="0" w:line="252" w:lineRule="auto"/>
        <w:rPr>
          <w:sz w:val="20"/>
          <w:szCs w:val="20"/>
          <w:color w:val="auto"/>
        </w:rPr>
      </w:pPr>
      <w:r>
        <w:rPr>
          <w:rFonts w:ascii="Arial" w:cs="Arial" w:eastAsia="Arial" w:hAnsi="Arial"/>
          <w:sz w:val="18"/>
          <w:szCs w:val="18"/>
          <w:color w:val="auto"/>
        </w:rPr>
        <w:t>Our board of directors has four standing committees: the Audit Committee, the Compensation Committee, the Nominating and Corporate Governance Committee and the Risk Committee. Under the rules of NASDAQ, the membership of the Audit Committee is required to consist entirely of independent directors. As a controlled company (see “Controlled Company Status” on page 24 of this proxy statement), we are not required to have fully independent Compensation and Nominating and Corporate Governance Committees. The following is a brief description of our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14</w:t>
      </w:r>
      <w:r>
        <w:rPr>
          <w:sz w:val="20"/>
          <w:szCs w:val="20"/>
          <w:color w:val="auto"/>
        </w:rPr>
        <w:tab/>
      </w:r>
      <w:r>
        <w:rPr>
          <w:sz w:val="1"/>
          <w:szCs w:val="1"/>
          <w:color w:val="auto"/>
        </w:rPr>
        <w:drawing>
          <wp:inline distT="0" distB="0" distL="0" distR="0">
            <wp:extent cx="754380" cy="24003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317" w:lineRule="exact"/>
        <w:rPr>
          <w:sz w:val="20"/>
          <w:szCs w:val="20"/>
          <w:color w:val="auto"/>
        </w:rPr>
      </w:pPr>
    </w:p>
    <w:p>
      <w:pPr>
        <w:ind w:left="760"/>
        <w:spacing w:after="0"/>
        <w:rPr>
          <w:sz w:val="20"/>
          <w:szCs w:val="20"/>
          <w:color w:val="auto"/>
        </w:rPr>
      </w:pPr>
      <w:r>
        <w:rPr>
          <w:rFonts w:ascii="Arial" w:cs="Arial" w:eastAsia="Arial" w:hAnsi="Arial"/>
          <w:sz w:val="22"/>
          <w:szCs w:val="22"/>
          <w:color w:val="00C389"/>
        </w:rPr>
        <w:t>AUDIT</w:t>
      </w:r>
    </w:p>
    <w:p>
      <w:pPr>
        <w:ind w:left="760"/>
        <w:spacing w:after="0"/>
        <w:rPr>
          <w:sz w:val="20"/>
          <w:szCs w:val="20"/>
          <w:color w:val="auto"/>
        </w:rPr>
      </w:pPr>
      <w:r>
        <w:rPr>
          <w:rFonts w:ascii="Arial" w:cs="Arial" w:eastAsia="Arial" w:hAnsi="Arial"/>
          <w:sz w:val="22"/>
          <w:szCs w:val="22"/>
          <w:color w:val="00C389"/>
        </w:rPr>
        <w:t>COMMITTEE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William F. Cruger,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J. Grano, Jr.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163" w:lineRule="exact"/>
        <w:rPr>
          <w:sz w:val="20"/>
          <w:szCs w:val="20"/>
          <w:color w:val="auto"/>
        </w:rPr>
      </w:pPr>
    </w:p>
    <w:p>
      <w:pPr>
        <w:ind w:left="760"/>
        <w:spacing w:after="0" w:line="318" w:lineRule="auto"/>
        <w:rPr>
          <w:sz w:val="20"/>
          <w:szCs w:val="20"/>
          <w:color w:val="auto"/>
        </w:rPr>
      </w:pPr>
      <w:r>
        <w:rPr>
          <w:rFonts w:ascii="Arial" w:cs="Arial" w:eastAsia="Arial" w:hAnsi="Arial"/>
          <w:sz w:val="17"/>
          <w:szCs w:val="17"/>
          <w:b w:val="1"/>
          <w:bCs w:val="1"/>
          <w:color w:val="auto"/>
        </w:rPr>
        <w:t>Number of Meetings Held in 2020: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6046470</wp:posOffset>
            </wp:positionV>
            <wp:extent cx="75438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 responsibilities include:</w:t>
      </w:r>
    </w:p>
    <w:p>
      <w:pPr>
        <w:spacing w:after="0" w:line="153" w:lineRule="exact"/>
        <w:rPr>
          <w:sz w:val="20"/>
          <w:szCs w:val="20"/>
          <w:color w:val="auto"/>
        </w:rPr>
      </w:pPr>
    </w:p>
    <w:p>
      <w:pPr>
        <w:ind w:right="780"/>
        <w:spacing w:after="0" w:line="251" w:lineRule="auto"/>
        <w:rPr>
          <w:sz w:val="20"/>
          <w:szCs w:val="20"/>
          <w:color w:val="auto"/>
        </w:rPr>
      </w:pPr>
      <w:r>
        <w:rPr>
          <w:rFonts w:ascii="Arial" w:cs="Arial" w:eastAsia="Arial" w:hAnsi="Arial"/>
          <w:sz w:val="18"/>
          <w:szCs w:val="18"/>
          <w:color w:val="auto"/>
        </w:rPr>
        <w:t>We have a separately designated standing Audit Committee established in accordance with section 3(a)(58)(A) of the United States Securities Exchange Act of 1934, as amended (the “Exchange Act”).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ir.virtu.com/corporate-governance/default.aspx. The information on our website is not part of this proxy statement.</w:t>
      </w:r>
    </w:p>
    <w:p>
      <w:pPr>
        <w:spacing w:after="0" w:line="102" w:lineRule="exact"/>
        <w:rPr>
          <w:sz w:val="20"/>
          <w:szCs w:val="20"/>
          <w:color w:val="auto"/>
        </w:rPr>
      </w:pPr>
    </w:p>
    <w:p>
      <w:pPr>
        <w:ind w:right="860"/>
        <w:spacing w:after="0" w:line="251" w:lineRule="auto"/>
        <w:rPr>
          <w:sz w:val="20"/>
          <w:szCs w:val="20"/>
          <w:color w:val="auto"/>
        </w:rPr>
      </w:pPr>
      <w:r>
        <w:rPr>
          <w:rFonts w:ascii="Arial" w:cs="Arial" w:eastAsia="Arial" w:hAnsi="Arial"/>
          <w:sz w:val="18"/>
          <w:szCs w:val="18"/>
          <w:color w:val="auto"/>
        </w:rPr>
        <w:t>Messrs. Cruger, Quick, Grano and Ms. Gambale are the members of our Audit Committee. The board of directors has determined that Mr. Cruger qualifies as an “audit committee financial expert” as such term is defined in Item 407(d)(5)(ii) of Regulation S-K under the Securities Act of 1933, as amended (the “Securities Act”) and that each of Messrs. Cruger, Quick and Grano and Ms. Gambale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10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There were five regular meetings and four special meetings of the Audit Committee held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100330</wp:posOffset>
            </wp:positionV>
            <wp:extent cx="5829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40"/>
            <w:col w:w="780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15</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jc w:val="right"/>
        <w:ind w:right="674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p>
      <w:pPr>
        <w:spacing w:after="0" w:line="354" w:lineRule="exact"/>
        <w:rPr>
          <w:sz w:val="20"/>
          <w:szCs w:val="20"/>
          <w:color w:val="auto"/>
        </w:rPr>
      </w:pPr>
    </w:p>
    <w:p>
      <w:pPr>
        <w:ind w:left="760"/>
        <w:spacing w:after="0" w:line="236" w:lineRule="auto"/>
        <w:rPr>
          <w:sz w:val="20"/>
          <w:szCs w:val="20"/>
          <w:color w:val="auto"/>
        </w:rPr>
      </w:pPr>
      <w:r>
        <w:rPr>
          <w:rFonts w:ascii="Arial" w:cs="Arial" w:eastAsia="Arial" w:hAnsi="Arial"/>
          <w:sz w:val="21"/>
          <w:szCs w:val="21"/>
          <w:color w:val="00C389"/>
        </w:rPr>
        <w:t>COMPENSATION COMMITTEE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Robert Greifeld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w:t>
      </w:r>
    </w:p>
    <w:p>
      <w:pPr>
        <w:spacing w:after="0" w:line="163" w:lineRule="exact"/>
        <w:rPr>
          <w:sz w:val="20"/>
          <w:szCs w:val="20"/>
          <w:color w:val="auto"/>
        </w:rPr>
      </w:pPr>
    </w:p>
    <w:p>
      <w:pPr>
        <w:ind w:left="760" w:right="20"/>
        <w:spacing w:after="0" w:line="318" w:lineRule="auto"/>
        <w:rPr>
          <w:sz w:val="20"/>
          <w:szCs w:val="20"/>
          <w:color w:val="auto"/>
        </w:rPr>
      </w:pPr>
      <w:r>
        <w:rPr>
          <w:rFonts w:ascii="Arial" w:cs="Arial" w:eastAsia="Arial" w:hAnsi="Arial"/>
          <w:sz w:val="17"/>
          <w:szCs w:val="17"/>
          <w:b w:val="1"/>
          <w:bCs w:val="1"/>
          <w:color w:val="auto"/>
        </w:rPr>
        <w:t>Number of Meetings Held in 2020: 2</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Committee’s responsibilities include:</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2020 director and executive compensation arrangements based on the Compensation Committee’s recommendations, the recommendations of the Compensation Committee’s compensation consultant (described below) and the collective judgment of the board’s members. Our board of directors has adopted a written charter for the Compensation Committee, which is available on our corporate website at ir.virtu.com/corporate-governance/default.aspx. The information on our website is not part of this proxy statement.</w:t>
      </w:r>
    </w:p>
    <w:p>
      <w:pPr>
        <w:spacing w:after="0" w:line="10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w:t>
      </w:r>
    </w:p>
    <w:p>
      <w:pPr>
        <w:spacing w:after="0" w:line="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Compensation Committee also administers the issuance of awards under the Virtu Financial, Inc. Amended and Restated 2015 Management Incentive Plan (as amended from time to time, the “2015 Plan”).</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Messrs. Nixon and Greifeld are the members of our Compensation Committee. Because we are a “controlled company” under the rules of NASDAQ (see “Controlled Company Status” on page 24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to the extent necessary in order to comply with such rules.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There were two regular meetings of the Compensation Committee held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126365</wp:posOffset>
            </wp:positionV>
            <wp:extent cx="58293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420"/>
            <w:col w:w="7020"/>
          </w:cols>
          <w:pgMar w:left="580" w:top="132"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75438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354" w:lineRule="exact"/>
        <w:rPr>
          <w:sz w:val="20"/>
          <w:szCs w:val="20"/>
          <w:color w:val="auto"/>
        </w:rPr>
      </w:pPr>
    </w:p>
    <w:p>
      <w:pPr>
        <w:ind w:left="760"/>
        <w:spacing w:after="0" w:line="225" w:lineRule="auto"/>
        <w:rPr>
          <w:sz w:val="20"/>
          <w:szCs w:val="20"/>
          <w:color w:val="auto"/>
        </w:rPr>
      </w:pPr>
      <w:r>
        <w:rPr>
          <w:rFonts w:ascii="Arial" w:cs="Arial" w:eastAsia="Arial" w:hAnsi="Arial"/>
          <w:sz w:val="21"/>
          <w:szCs w:val="21"/>
          <w:color w:val="00C389"/>
        </w:rPr>
        <w:t>NOMINATING AND CORPORATE GOVERNANCE COMMITTEE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Robert Greifeld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Nixon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163" w:lineRule="exact"/>
        <w:rPr>
          <w:sz w:val="20"/>
          <w:szCs w:val="20"/>
          <w:color w:val="auto"/>
        </w:rPr>
      </w:pPr>
    </w:p>
    <w:p>
      <w:pPr>
        <w:ind w:left="760" w:right="160"/>
        <w:spacing w:after="0" w:line="318" w:lineRule="auto"/>
        <w:rPr>
          <w:sz w:val="20"/>
          <w:szCs w:val="20"/>
          <w:color w:val="auto"/>
        </w:rPr>
      </w:pPr>
      <w:r>
        <w:rPr>
          <w:rFonts w:ascii="Arial" w:cs="Arial" w:eastAsia="Arial" w:hAnsi="Arial"/>
          <w:sz w:val="17"/>
          <w:szCs w:val="17"/>
          <w:b w:val="1"/>
          <w:bCs w:val="1"/>
          <w:color w:val="auto"/>
        </w:rPr>
        <w:t>Number of Meetings Held in 2020: 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Committee’s responsibilities include:</w:t>
      </w:r>
    </w:p>
    <w:p>
      <w:pPr>
        <w:spacing w:after="0" w:line="153" w:lineRule="exact"/>
        <w:rPr>
          <w:sz w:val="20"/>
          <w:szCs w:val="20"/>
          <w:color w:val="auto"/>
        </w:rPr>
      </w:pPr>
    </w:p>
    <w:p>
      <w:pPr>
        <w:ind w:right="860"/>
        <w:spacing w:after="0" w:line="251" w:lineRule="auto"/>
        <w:rPr>
          <w:sz w:val="20"/>
          <w:szCs w:val="20"/>
          <w:color w:val="auto"/>
        </w:rPr>
      </w:pPr>
      <w:r>
        <w:rPr>
          <w:rFonts w:ascii="Arial" w:cs="Arial" w:eastAsia="Arial" w:hAnsi="Arial"/>
          <w:sz w:val="18"/>
          <w:szCs w:val="18"/>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 In addition, our Nominating and Corporate Governance Committee recommends to our board of directors for approval director nominees, consistent with our director qualifications criteria and any obligations under certain contractual arrangements. Our board of directors has adopted a written charter for the Nominating and Corporate Governance Committee, which is available on our corporate website at ir.virtu.com/ corporate-governance/default.aspx. The information on our website is not part of this proxy statement.</w:t>
      </w:r>
    </w:p>
    <w:p>
      <w:pPr>
        <w:spacing w:after="0" w:line="103" w:lineRule="exact"/>
        <w:rPr>
          <w:sz w:val="20"/>
          <w:szCs w:val="20"/>
          <w:color w:val="auto"/>
        </w:rPr>
      </w:pPr>
    </w:p>
    <w:p>
      <w:pPr>
        <w:ind w:right="820"/>
        <w:spacing w:after="0" w:line="252" w:lineRule="auto"/>
        <w:rPr>
          <w:sz w:val="20"/>
          <w:szCs w:val="20"/>
          <w:color w:val="auto"/>
        </w:rPr>
      </w:pPr>
      <w:r>
        <w:rPr>
          <w:rFonts w:ascii="Arial" w:cs="Arial" w:eastAsia="Arial" w:hAnsi="Arial"/>
          <w:sz w:val="18"/>
          <w:szCs w:val="18"/>
          <w:color w:val="auto"/>
        </w:rPr>
        <w:t>Messrs. Greifeld, Nixon and Michael Viola are the members of our Nominating and Corporate Governance Committee. Because we are a “controlled company” under the rules of NASDAQ (see “Controlled Company Status” on page 24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Mr. Michael Viola is not independent.</w:t>
      </w:r>
    </w:p>
    <w:p>
      <w:pPr>
        <w:spacing w:after="0" w:line="97" w:lineRule="exact"/>
        <w:rPr>
          <w:sz w:val="20"/>
          <w:szCs w:val="20"/>
          <w:color w:val="auto"/>
        </w:rPr>
      </w:pPr>
    </w:p>
    <w:p>
      <w:pPr>
        <w:ind w:right="1640"/>
        <w:spacing w:after="0" w:line="261" w:lineRule="auto"/>
        <w:rPr>
          <w:sz w:val="20"/>
          <w:szCs w:val="20"/>
          <w:color w:val="auto"/>
        </w:rPr>
      </w:pPr>
      <w:r>
        <w:rPr>
          <w:rFonts w:ascii="Arial" w:cs="Arial" w:eastAsia="Arial" w:hAnsi="Arial"/>
          <w:sz w:val="18"/>
          <w:szCs w:val="18"/>
          <w:color w:val="auto"/>
        </w:rPr>
        <w:t>There was one regular meeting of the Nominating and Corporate Governance Committee held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100330</wp:posOffset>
            </wp:positionV>
            <wp:extent cx="5829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280"/>
            <w:col w:w="7800"/>
          </w:cols>
          <w:pgMar w:left="580" w:top="131" w:right="599" w:bottom="1440" w:gutter="0" w:footer="0" w:header="0"/>
          <w:type w:val="continuous"/>
        </w:sectPr>
      </w:pPr>
    </w:p>
    <w:p>
      <w:pPr>
        <w:spacing w:after="0" w:line="24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Policy Regarding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780"/>
        <w:spacing w:after="0" w:line="251" w:lineRule="auto"/>
        <w:rPr>
          <w:sz w:val="20"/>
          <w:szCs w:val="20"/>
          <w:color w:val="auto"/>
        </w:rPr>
      </w:pPr>
      <w:r>
        <w:rPr>
          <w:rFonts w:ascii="Arial" w:cs="Arial" w:eastAsia="Arial" w:hAnsi="Arial"/>
          <w:sz w:val="18"/>
          <w:szCs w:val="18"/>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takes into account specific characteristics and expertise that it believes will enhance the diversity of knowledge, expertise, background and personal characteristics of our board of directors. Specifically, the Nominating and Corporate Governance Committee charter provides that, in performing its responsibilities for identifying, recruiting and recommending candidates to the board of directors, the Nominating and Corporate Governance Committee shall actively seek to include in each candidate search qualified candidates who reflect diverse backgrounds, including diversity of gender, race and ethnicity.</w:t>
      </w:r>
    </w:p>
    <w:p>
      <w:pPr>
        <w:spacing w:after="0" w:line="102" w:lineRule="exact"/>
        <w:rPr>
          <w:sz w:val="20"/>
          <w:szCs w:val="20"/>
          <w:color w:val="auto"/>
        </w:rPr>
      </w:pPr>
    </w:p>
    <w:p>
      <w:pPr>
        <w:ind w:left="760" w:right="860"/>
        <w:spacing w:after="0" w:line="252" w:lineRule="auto"/>
        <w:rPr>
          <w:sz w:val="20"/>
          <w:szCs w:val="20"/>
          <w:color w:val="auto"/>
        </w:rPr>
      </w:pPr>
      <w:r>
        <w:rPr>
          <w:rFonts w:ascii="Arial" w:cs="Arial" w:eastAsia="Arial" w:hAnsi="Arial"/>
          <w:sz w:val="18"/>
          <w:szCs w:val="18"/>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 (2) 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97" w:lineRule="exact"/>
        <w:rPr>
          <w:sz w:val="20"/>
          <w:szCs w:val="20"/>
          <w:color w:val="auto"/>
        </w:rPr>
      </w:pPr>
    </w:p>
    <w:p>
      <w:pPr>
        <w:ind w:left="760" w:right="1260"/>
        <w:spacing w:after="0" w:line="261" w:lineRule="auto"/>
        <w:rPr>
          <w:sz w:val="20"/>
          <w:szCs w:val="20"/>
          <w:color w:val="auto"/>
        </w:rPr>
      </w:pPr>
      <w:r>
        <w:rPr>
          <w:rFonts w:ascii="Arial" w:cs="Arial" w:eastAsia="Arial" w:hAnsi="Arial"/>
          <w:sz w:val="18"/>
          <w:szCs w:val="18"/>
          <w:color w:val="auto"/>
        </w:rPr>
        <w:t>In its discretion, the Nominating and Corporate Governance Committee will also consider recommendations of qualified nominees by stockholders by evaluating the same factors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160655</wp:posOffset>
            </wp:positionV>
            <wp:extent cx="75438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17</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84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87630</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22"/>
          <w:szCs w:val="22"/>
          <w:color w:val="00C389"/>
        </w:rPr>
        <w:t>RISK</w:t>
      </w:r>
    </w:p>
    <w:p>
      <w:pPr>
        <w:ind w:left="760"/>
        <w:spacing w:after="0"/>
        <w:rPr>
          <w:sz w:val="20"/>
          <w:szCs w:val="20"/>
          <w:color w:val="auto"/>
        </w:rPr>
      </w:pPr>
      <w:r>
        <w:rPr>
          <w:rFonts w:ascii="Arial" w:cs="Arial" w:eastAsia="Arial" w:hAnsi="Arial"/>
          <w:sz w:val="22"/>
          <w:szCs w:val="22"/>
          <w:color w:val="00C389"/>
        </w:rPr>
        <w:t>COMMITTEE</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Members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Christopher C. Quick</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Glenn Hutchins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David Urban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Michael T. Viola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Virginia Gambale</w:t>
      </w:r>
    </w:p>
    <w:p>
      <w:pPr>
        <w:spacing w:after="0" w:line="176" w:lineRule="exact"/>
        <w:rPr>
          <w:sz w:val="20"/>
          <w:szCs w:val="20"/>
          <w:color w:val="auto"/>
        </w:rPr>
      </w:pPr>
    </w:p>
    <w:p>
      <w:pPr>
        <w:ind w:left="760"/>
        <w:spacing w:after="0" w:line="318" w:lineRule="auto"/>
        <w:rPr>
          <w:sz w:val="20"/>
          <w:szCs w:val="20"/>
          <w:color w:val="auto"/>
        </w:rPr>
      </w:pPr>
      <w:r>
        <w:rPr>
          <w:rFonts w:ascii="Arial" w:cs="Arial" w:eastAsia="Arial" w:hAnsi="Arial"/>
          <w:sz w:val="17"/>
          <w:szCs w:val="17"/>
          <w:b w:val="1"/>
          <w:bCs w:val="1"/>
          <w:color w:val="auto"/>
        </w:rPr>
        <w:t>Number of Meetings Held in 2020: 5</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 Committee’s responsibilities include:</w:t>
      </w:r>
    </w:p>
    <w:p>
      <w:pPr>
        <w:spacing w:after="0" w:line="15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Our Risk Committee was established in 2017 and assists our board of directors in its oversight of the Company’s risk management activities, with particular focus on</w:t>
      </w:r>
    </w:p>
    <w:p>
      <w:pPr>
        <w:spacing w:after="0" w:line="1" w:lineRule="exact"/>
        <w:rPr>
          <w:sz w:val="20"/>
          <w:szCs w:val="20"/>
          <w:color w:val="auto"/>
        </w:rPr>
      </w:pPr>
    </w:p>
    <w:p>
      <w:pPr>
        <w:ind w:right="80" w:firstLine="2"/>
        <w:spacing w:after="0" w:line="252" w:lineRule="auto"/>
        <w:tabs>
          <w:tab w:leader="none" w:pos="208"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information security and information technology risk, (ii) trading, capital and liquidity risk, and (iii) enterprise risk. Our Risk Committee also oversees and receives reports from the Company’s Chief Risk Officer on the Company’s risk assessment and risk management activities and may conduct or oversee stress testing or scenario testing. Our board of directors has adopted a written charter for the Risk Committee, which is available on our corporate website at ir.virtu.com/corporate-governance/default.aspx. The information on our website is not part of this proxy statement.</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Messrs. Hutchins, Quick, Urban, Michael Viola and Ms. Gambale are the members of our Risk Committee. Our Risk Committee is not required to be fully independent, although if our Risk Committee becomes subject to any such independence requirement in the future, we will adjust the composition of the Risk Committee accordingly in order to comply with such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There were five meetings of the Risk Committee held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126365</wp:posOffset>
            </wp:positionV>
            <wp:extent cx="5829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40"/>
            <w:col w:w="7020"/>
          </w:cols>
          <w:pgMar w:left="580" w:top="131" w:right="1379" w:bottom="1440" w:gutter="0" w:footer="0" w:header="0"/>
          <w:type w:val="continuous"/>
        </w:sectPr>
      </w:pPr>
    </w:p>
    <w:p>
      <w:pPr>
        <w:spacing w:after="0" w:line="28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Communication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160"/>
        <w:spacing w:after="0" w:line="252" w:lineRule="auto"/>
        <w:rPr>
          <w:sz w:val="20"/>
          <w:szCs w:val="20"/>
          <w:color w:val="auto"/>
        </w:rPr>
      </w:pPr>
      <w:r>
        <w:rPr>
          <w:rFonts w:ascii="Arial" w:cs="Arial" w:eastAsia="Arial" w:hAnsi="Arial"/>
          <w:sz w:val="18"/>
          <w:szCs w:val="18"/>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One Liberty Plaza, 165 Broadway, New York, New York 10006.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28"/>
          <w:szCs w:val="28"/>
          <w:b w:val="1"/>
          <w:bCs w:val="1"/>
          <w:color w:val="002554"/>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69850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1"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During the year ended December 31, 2020, no member of the Compensation Committee was one of our officers or employees. None of our executive officers serves on the Compensation Committee or board of directors of any other company of which any of the members of our Compensation Committee or any of ours directors is an executive officer.</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jc w:val="both"/>
        <w:ind w:left="760" w:right="220"/>
        <w:spacing w:after="0" w:line="254" w:lineRule="auto"/>
        <w:rPr>
          <w:sz w:val="20"/>
          <w:szCs w:val="20"/>
          <w:color w:val="auto"/>
        </w:rPr>
      </w:pPr>
      <w:r>
        <w:rPr>
          <w:rFonts w:ascii="Arial" w:cs="Arial" w:eastAsia="Arial" w:hAnsi="Arial"/>
          <w:sz w:val="18"/>
          <w:szCs w:val="18"/>
          <w:color w:val="auto"/>
        </w:rPr>
        <w:t>We have adopted a code of conduct and ethics applicable to our employees, officers and directors. A copy of that code is available on our corporate website at ir.virtu.com/corporate-governance/default.aspx. We expect that any amendments to the code, or any waivers of its requirements, will be disclosed on our website. The information on our website is not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754380" cy="24003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right="1200"/>
        <w:spacing w:after="0" w:line="230" w:lineRule="auto"/>
        <w:rPr>
          <w:sz w:val="20"/>
          <w:szCs w:val="20"/>
          <w:color w:val="auto"/>
        </w:rPr>
      </w:pPr>
      <w:r>
        <w:rPr>
          <w:rFonts w:ascii="Arial" w:cs="Arial" w:eastAsia="Arial" w:hAnsi="Arial"/>
          <w:sz w:val="54"/>
          <w:szCs w:val="54"/>
          <w:color w:val="002554"/>
        </w:rPr>
        <w:t>Proposal 2 Advisory Vote to Approve Compensation of Named Executive Officers</w:t>
      </w:r>
    </w:p>
    <w:p>
      <w:pPr>
        <w:spacing w:after="0" w:line="82" w:lineRule="exact"/>
        <w:rPr>
          <w:sz w:val="20"/>
          <w:szCs w:val="20"/>
          <w:color w:val="auto"/>
        </w:rPr>
      </w:pPr>
    </w:p>
    <w:p>
      <w:pPr>
        <w:ind w:left="760" w:right="820"/>
        <w:spacing w:after="0" w:line="254" w:lineRule="auto"/>
        <w:rPr>
          <w:sz w:val="20"/>
          <w:szCs w:val="20"/>
          <w:color w:val="auto"/>
        </w:rPr>
      </w:pPr>
      <w:r>
        <w:rPr>
          <w:rFonts w:ascii="Arial" w:cs="Arial" w:eastAsia="Arial" w:hAnsi="Arial"/>
          <w:sz w:val="18"/>
          <w:szCs w:val="18"/>
          <w:color w:val="auto"/>
        </w:rPr>
        <w:t>In accordance with the requirements of Section 14A of the Exchange Act and Exchange Act Rule 14a-21(a), we are including in this proxy statement a separate resolution to approve, in a non-binding, stockholder advisory vote, the compensation paid to our named executive officers as disclosed in “Executive Compensation” below (the “say-on-pay” vote).</w:t>
      </w:r>
    </w:p>
    <w:p>
      <w:pPr>
        <w:spacing w:after="0" w:line="96" w:lineRule="exact"/>
        <w:rPr>
          <w:sz w:val="20"/>
          <w:szCs w:val="20"/>
          <w:color w:val="auto"/>
        </w:rPr>
      </w:pPr>
    </w:p>
    <w:p>
      <w:pPr>
        <w:ind w:left="760" w:right="1300"/>
        <w:spacing w:after="0" w:line="291" w:lineRule="auto"/>
        <w:rPr>
          <w:sz w:val="20"/>
          <w:szCs w:val="20"/>
          <w:color w:val="auto"/>
        </w:rPr>
      </w:pPr>
      <w:r>
        <w:rPr>
          <w:rFonts w:ascii="Arial" w:cs="Arial" w:eastAsia="Arial" w:hAnsi="Arial"/>
          <w:sz w:val="17"/>
          <w:szCs w:val="17"/>
          <w:color w:val="auto"/>
        </w:rPr>
        <w:t>While the results of the say-on-pay vote are non-binding and advisory in nature, our board of directors and Compensation Committee intend to consider the results of this vote in making future compensation decisions.</w:t>
      </w:r>
    </w:p>
    <w:p>
      <w:pPr>
        <w:spacing w:after="0" w:line="66" w:lineRule="exact"/>
        <w:rPr>
          <w:sz w:val="20"/>
          <w:szCs w:val="20"/>
          <w:color w:val="auto"/>
        </w:rPr>
      </w:pPr>
    </w:p>
    <w:p>
      <w:pPr>
        <w:ind w:left="760" w:right="1240"/>
        <w:spacing w:after="0" w:line="261" w:lineRule="auto"/>
        <w:rPr>
          <w:sz w:val="20"/>
          <w:szCs w:val="20"/>
          <w:color w:val="auto"/>
        </w:rPr>
      </w:pPr>
      <w:r>
        <w:rPr>
          <w:rFonts w:ascii="Arial" w:cs="Arial" w:eastAsia="Arial" w:hAnsi="Arial"/>
          <w:sz w:val="18"/>
          <w:szCs w:val="18"/>
          <w:color w:val="auto"/>
        </w:rPr>
        <w:t>Our board of directors currently intends to conduct advisory votes on executive compensation every year. As a result, our next advisory say-on-pay vote will take place at our annual meeting of stockholders in 2021.</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language of the resolution is as follows:</w:t>
      </w:r>
    </w:p>
    <w:p>
      <w:pPr>
        <w:spacing w:after="0" w:line="117" w:lineRule="exact"/>
        <w:rPr>
          <w:sz w:val="20"/>
          <w:szCs w:val="20"/>
          <w:color w:val="auto"/>
        </w:rPr>
      </w:pPr>
    </w:p>
    <w:p>
      <w:pPr>
        <w:ind w:left="760" w:right="900"/>
        <w:spacing w:after="0" w:line="254" w:lineRule="auto"/>
        <w:rPr>
          <w:sz w:val="20"/>
          <w:szCs w:val="20"/>
          <w:color w:val="auto"/>
        </w:rPr>
      </w:pPr>
      <w:r>
        <w:rPr>
          <w:rFonts w:ascii="Arial" w:cs="Arial" w:eastAsia="Arial" w:hAnsi="Arial"/>
          <w:sz w:val="18"/>
          <w:szCs w:val="18"/>
          <w:color w:val="auto"/>
        </w:rPr>
        <w:t>“RESOLVED, that the compensation paid to the Company’s named executive officers for the fiscal year ended December 31, 2020, as discussed pursuant to the compensation disclosure rules of the SEC, including the compensation discussion and analysis, the summary compensation table and the related compensation tables and narrative in this proxy statement, is hereby APPROVED, on an advisory basis.”</w:t>
      </w:r>
    </w:p>
    <w:p>
      <w:pPr>
        <w:spacing w:after="0" w:line="96" w:lineRule="exact"/>
        <w:rPr>
          <w:sz w:val="20"/>
          <w:szCs w:val="20"/>
          <w:color w:val="auto"/>
        </w:rPr>
      </w:pPr>
    </w:p>
    <w:p>
      <w:pPr>
        <w:ind w:left="760" w:right="1300"/>
        <w:spacing w:after="0" w:line="291" w:lineRule="auto"/>
        <w:rPr>
          <w:sz w:val="20"/>
          <w:szCs w:val="20"/>
          <w:color w:val="auto"/>
        </w:rPr>
      </w:pPr>
      <w:r>
        <w:rPr>
          <w:rFonts w:ascii="Arial" w:cs="Arial" w:eastAsia="Arial" w:hAnsi="Arial"/>
          <w:sz w:val="17"/>
          <w:szCs w:val="17"/>
          <w:color w:val="auto"/>
        </w:rPr>
        <w:t>In considering their vote, stockholders are encouraged to read the compensation discussion and analysis, the accompanying compensation tables, and the related narrative disclosure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273685</wp:posOffset>
            </wp:positionV>
            <wp:extent cx="5829300" cy="480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554"/>
        </w:rPr>
        <w:t>Our board of directors recommends that you vote “FOR” the approval, on an advisory basis, of the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2554"/>
        </w:rPr>
        <w:t>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3332480</wp:posOffset>
            </wp:positionV>
            <wp:extent cx="75438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19</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Executive Compensation</w:t>
      </w:r>
    </w:p>
    <w:p>
      <w:pPr>
        <w:spacing w:after="0" w:line="176" w:lineRule="exact"/>
        <w:rPr>
          <w:sz w:val="20"/>
          <w:szCs w:val="20"/>
          <w:color w:val="auto"/>
        </w:rPr>
      </w:pPr>
    </w:p>
    <w:p>
      <w:pPr>
        <w:ind w:left="2660"/>
        <w:spacing w:after="0"/>
        <w:rPr>
          <w:sz w:val="20"/>
          <w:szCs w:val="20"/>
          <w:color w:val="auto"/>
        </w:rPr>
      </w:pPr>
      <w:r>
        <w:rPr>
          <w:rFonts w:ascii="Arial" w:cs="Arial" w:eastAsia="Arial" w:hAnsi="Arial"/>
          <w:sz w:val="29"/>
          <w:szCs w:val="29"/>
          <w:color w:val="00C389"/>
        </w:rPr>
        <w:t>COMPENSATION COMMITTEE REPORT</w:t>
      </w:r>
    </w:p>
    <w:p>
      <w:pPr>
        <w:spacing w:after="0" w:line="102" w:lineRule="exact"/>
        <w:rPr>
          <w:sz w:val="20"/>
          <w:szCs w:val="20"/>
          <w:color w:val="auto"/>
        </w:rPr>
      </w:pPr>
    </w:p>
    <w:p>
      <w:pPr>
        <w:ind w:left="760" w:right="440"/>
        <w:spacing w:after="0" w:line="25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following “Compensation Discussion and Analysis.” Based on this review and discussion, the Compensation Committee recommended to the Board that the section entitled “Compensation Discussion and Analysis” be included in this proxy statement for the Annual Meeting.</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Members of the Compensation Committee: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D. Nixon (Chair)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Robert Greifeld</w:t>
      </w:r>
    </w:p>
    <w:p>
      <w:pPr>
        <w:spacing w:after="0" w:line="222" w:lineRule="exact"/>
        <w:rPr>
          <w:sz w:val="20"/>
          <w:szCs w:val="20"/>
          <w:color w:val="auto"/>
        </w:rPr>
      </w:pPr>
    </w:p>
    <w:p>
      <w:pPr>
        <w:ind w:left="2160"/>
        <w:spacing w:after="0"/>
        <w:rPr>
          <w:sz w:val="20"/>
          <w:szCs w:val="20"/>
          <w:color w:val="auto"/>
        </w:rPr>
      </w:pPr>
      <w:r>
        <w:rPr>
          <w:rFonts w:ascii="Arial" w:cs="Arial" w:eastAsia="Arial" w:hAnsi="Arial"/>
          <w:sz w:val="29"/>
          <w:szCs w:val="29"/>
          <w:color w:val="00C389"/>
        </w:rPr>
        <w:t>COMPENSATION DISCLOSURE AND ANALYSIS</w:t>
      </w:r>
    </w:p>
    <w:p>
      <w:pPr>
        <w:spacing w:after="0" w:line="102" w:lineRule="exact"/>
        <w:rPr>
          <w:sz w:val="20"/>
          <w:szCs w:val="20"/>
          <w:color w:val="auto"/>
        </w:rPr>
      </w:pPr>
    </w:p>
    <w:p>
      <w:pPr>
        <w:ind w:left="760" w:right="100"/>
        <w:spacing w:after="0" w:line="252" w:lineRule="auto"/>
        <w:rPr>
          <w:sz w:val="20"/>
          <w:szCs w:val="20"/>
          <w:color w:val="auto"/>
        </w:rPr>
      </w:pPr>
      <w:r>
        <w:rPr>
          <w:rFonts w:ascii="Arial" w:cs="Arial" w:eastAsia="Arial" w:hAnsi="Arial"/>
          <w:sz w:val="18"/>
          <w:szCs w:val="18"/>
          <w:color w:val="auto"/>
        </w:rPr>
        <w:t>This compensation discussion and analysis discusses our executive compensation programs for our named executive officers in respect of our fiscal year ended December 31, 2020, which we refer to herein as “fiscal year 2020,” and includes a discussion of our compensation objectives and philosophy and the material elements of compensation earned by, awarded, or paid, to our named executive officers in fiscal year 2020. This section also describes processes we use in reaching compensation decisions and is intended to amplify and provide context for understanding the amounts in the tabular disclosure that follows. In addition, we highlight certain attributes of our program, provide a summary of certain key compensation decisions during fiscal year 2020 and describe our intended compensation approach.</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officers for fiscal year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100330</wp:posOffset>
            </wp:positionV>
            <wp:extent cx="50063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192" w:lineRule="exact"/>
        <w:rPr>
          <w:sz w:val="20"/>
          <w:szCs w:val="20"/>
          <w:color w:val="auto"/>
        </w:rPr>
      </w:pPr>
    </w:p>
    <w:tbl>
      <w:tblPr>
        <w:tblLayout w:type="fixed"/>
        <w:tblInd w:w="1400" w:type="dxa"/>
        <w:tblCellMar>
          <w:top w:w="0" w:type="dxa"/>
          <w:left w:w="0" w:type="dxa"/>
          <w:bottom w:w="0" w:type="dxa"/>
          <w:right w:w="0" w:type="dxa"/>
        </w:tblCellMar>
      </w:tblPr>
      <w:tr>
        <w:trPr>
          <w:trHeight w:val="224"/>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Douglas A. Cifu</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rPr>
              <w:t>Chief Executive Officer</w:t>
            </w:r>
          </w:p>
        </w:tc>
      </w:tr>
      <w:tr>
        <w:trPr>
          <w:trHeight w:val="237"/>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Brett Fairclough</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rPr>
              <w:t>Co-President and Co-Chief Operating Officer(1)</w:t>
            </w:r>
          </w:p>
        </w:tc>
      </w:tr>
      <w:tr>
        <w:trPr>
          <w:trHeight w:val="237"/>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Joseph Molluso</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rPr>
              <w:t>Co-President and Co-Chief Operating Officer(2)</w:t>
            </w:r>
          </w:p>
        </w:tc>
      </w:tr>
      <w:tr>
        <w:trPr>
          <w:trHeight w:val="236"/>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Sean P. Galvin</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rPr>
              <w:t>Executive President and Chief Financial Officer(3)</w:t>
            </w:r>
          </w:p>
        </w:tc>
      </w:tr>
      <w:tr>
        <w:trPr>
          <w:trHeight w:val="237"/>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Stephen Cavoli</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rPr>
              <w:t>Executive Vice President, Markets</w:t>
            </w:r>
          </w:p>
        </w:tc>
      </w:tr>
      <w:tr>
        <w:trPr>
          <w:trHeight w:val="236"/>
        </w:trPr>
        <w:tc>
          <w:tcPr>
            <w:tcW w:w="216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Alexander M. Ioffe</w:t>
            </w:r>
          </w:p>
        </w:tc>
        <w:tc>
          <w:tcPr>
            <w:tcW w:w="5740" w:type="dxa"/>
            <w:vAlign w:val="bottom"/>
            <w:tcBorders>
              <w:bottom w:val="single" w:sz="8" w:color="00C389"/>
            </w:tcBorders>
          </w:tcPr>
          <w:p>
            <w:pPr>
              <w:ind w:left="720"/>
              <w:spacing w:after="0"/>
              <w:rPr>
                <w:sz w:val="20"/>
                <w:szCs w:val="20"/>
                <w:color w:val="auto"/>
              </w:rPr>
            </w:pPr>
            <w:r>
              <w:rPr>
                <w:rFonts w:ascii="Arial" w:cs="Arial" w:eastAsia="Arial" w:hAnsi="Arial"/>
                <w:sz w:val="18"/>
                <w:szCs w:val="18"/>
                <w:color w:val="auto"/>
                <w:w w:val="99"/>
              </w:rPr>
              <w:t>Former Executive Vice President and Chief Financial Officer(4)</w:t>
            </w:r>
          </w:p>
        </w:tc>
      </w:tr>
    </w:tbl>
    <w:p>
      <w:pPr>
        <w:spacing w:after="0" w:line="72" w:lineRule="exact"/>
        <w:rPr>
          <w:sz w:val="20"/>
          <w:szCs w:val="20"/>
          <w:color w:val="auto"/>
        </w:rPr>
      </w:pPr>
    </w:p>
    <w:p>
      <w:pPr>
        <w:ind w:left="1620" w:right="80" w:hanging="210"/>
        <w:spacing w:after="0" w:line="278"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Fairclough was appointed Co-President and Co-Chief Operating Officer on May 4, 2020, to be effective upon Joseph Molluso’s start date with the Company and previously served as Chief Operating Officer.</w:t>
      </w:r>
    </w:p>
    <w:p>
      <w:pPr>
        <w:spacing w:after="0" w:line="86" w:lineRule="exact"/>
        <w:rPr>
          <w:rFonts w:ascii="Arial" w:cs="Arial" w:eastAsia="Arial" w:hAnsi="Arial"/>
          <w:sz w:val="14"/>
          <w:szCs w:val="14"/>
          <w:color w:val="auto"/>
        </w:rPr>
      </w:pPr>
    </w:p>
    <w:p>
      <w:pPr>
        <w:ind w:left="1620" w:right="240" w:hanging="210"/>
        <w:spacing w:after="0" w:line="278"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Molluso was appointed Co-President and Co-Chief Operating Officer on May 4, 2020, to be effective upon his start date with the Company on June 22, 2020.</w:t>
      </w:r>
    </w:p>
    <w:p>
      <w:pPr>
        <w:spacing w:after="0" w:line="86" w:lineRule="exact"/>
        <w:rPr>
          <w:rFonts w:ascii="Arial" w:cs="Arial" w:eastAsia="Arial" w:hAnsi="Arial"/>
          <w:sz w:val="14"/>
          <w:szCs w:val="14"/>
          <w:color w:val="auto"/>
        </w:rPr>
      </w:pPr>
    </w:p>
    <w:p>
      <w:pPr>
        <w:ind w:left="1620" w:right="360" w:hanging="210"/>
        <w:spacing w:after="0" w:line="278"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Galvin was appointed Executive Vice President and Chief Financial Officer effective upon his start date with the Company, August 10, 2020.</w:t>
      </w:r>
    </w:p>
    <w:p>
      <w:pPr>
        <w:spacing w:after="0" w:line="86" w:lineRule="exact"/>
        <w:rPr>
          <w:rFonts w:ascii="Arial" w:cs="Arial" w:eastAsia="Arial" w:hAnsi="Arial"/>
          <w:sz w:val="14"/>
          <w:szCs w:val="14"/>
          <w:color w:val="auto"/>
        </w:rPr>
      </w:pPr>
    </w:p>
    <w:p>
      <w:pPr>
        <w:ind w:left="1620" w:hanging="210"/>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Ioffe’s employment with the Company terminated on August 7, 2020.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Compensation Program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Our primary objective with respect to executive compensation is to provide competitive compensation and benefits to attract, retain, motivate and reward the highest quality executive officers. Accordingly, we attempt to ensure that compensation provided to executive officers remains competitive relative to the compensation paid to similarly situated executives. A further objective of our compensation program is to provide variable pay opportunities through cash bonuses and restricted stock awards that reward our officers based on achievement of both individual and Company financial results. In addition, we aim to establish compensation plans that align the performance of our executive officers with the Company’s objectives and the creation of long-term stockholder value, such as the reward of equity compensation which ties a portion of our executive compensation to the performance of our common stock. We believe an appropriate mix of an executive officer’s pay should be variable and performance-based in order to promote achievement of our short-term and long-term strategic objectives.</w:t>
      </w:r>
    </w:p>
    <w:p>
      <w:pPr>
        <w:spacing w:after="0" w:line="33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754380"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0"/>
        <w:spacing w:after="0" w:line="252" w:lineRule="auto"/>
        <w:rPr>
          <w:sz w:val="20"/>
          <w:szCs w:val="20"/>
          <w:color w:val="auto"/>
        </w:rPr>
      </w:pPr>
      <w:r>
        <w:rPr>
          <w:rFonts w:ascii="Arial" w:cs="Arial" w:eastAsia="Arial" w:hAnsi="Arial"/>
          <w:sz w:val="18"/>
          <w:szCs w:val="18"/>
          <w:color w:val="auto"/>
        </w:rPr>
        <w:t>The overall level of total compensation for our named executive officers is intended to be reasonable in relation to, and competitive with, the compensation paid to executives in the industries in which we compete for talent, subject to variation for factors such as the individual’s experience, performance, duties and scope of responsibilities, prior contributions and future potential contributions to our business. Our compensation plans are designed to align with business strategies, taking into account external market conditions and internal equity issues. With these principles in mind, we structure our compensation program as competitive total pay packages that we believe enable us to attract, retain and motivate executives with the skill and knowledge that we require, and to ensure the stability of our management team, which is vital to the success of our business.</w:t>
      </w:r>
    </w:p>
    <w:p>
      <w:pPr>
        <w:spacing w:after="0" w:line="97" w:lineRule="exact"/>
        <w:rPr>
          <w:sz w:val="20"/>
          <w:szCs w:val="20"/>
          <w:color w:val="auto"/>
        </w:rPr>
      </w:pPr>
    </w:p>
    <w:p>
      <w:pPr>
        <w:ind w:left="760" w:right="1460"/>
        <w:spacing w:after="0" w:line="261" w:lineRule="auto"/>
        <w:rPr>
          <w:sz w:val="20"/>
          <w:szCs w:val="20"/>
          <w:color w:val="auto"/>
        </w:rPr>
      </w:pPr>
      <w:r>
        <w:rPr>
          <w:rFonts w:ascii="Arial" w:cs="Arial" w:eastAsia="Arial" w:hAnsi="Arial"/>
          <w:sz w:val="18"/>
          <w:szCs w:val="18"/>
          <w:color w:val="auto"/>
        </w:rPr>
        <w:t>Key features of our compensation policies and practices that aim to drive performance and align our named executive officers with stockholder interests are highlighted below:</w:t>
      </w:r>
    </w:p>
    <w:p>
      <w:pPr>
        <w:spacing w:after="0" w:line="99" w:lineRule="exact"/>
        <w:rPr>
          <w:sz w:val="20"/>
          <w:szCs w:val="20"/>
          <w:color w:val="auto"/>
        </w:rPr>
      </w:pPr>
    </w:p>
    <w:p>
      <w:pPr>
        <w:ind w:left="1340" w:right="900" w:hanging="218"/>
        <w:spacing w:after="0" w:line="266" w:lineRule="auto"/>
        <w:tabs>
          <w:tab w:leader="none" w:pos="1340" w:val="left"/>
        </w:tabs>
        <w:numPr>
          <w:ilvl w:val="0"/>
          <w:numId w:val="8"/>
        </w:numPr>
        <w:rPr>
          <w:rFonts w:ascii="Arial" w:cs="Arial" w:eastAsia="Arial" w:hAnsi="Arial"/>
          <w:sz w:val="18"/>
          <w:szCs w:val="18"/>
          <w:color w:val="002554"/>
        </w:rPr>
      </w:pPr>
      <w:r>
        <w:rPr>
          <w:rFonts w:ascii="Arial" w:cs="Arial" w:eastAsia="Arial" w:hAnsi="Arial"/>
          <w:sz w:val="18"/>
          <w:szCs w:val="18"/>
          <w:i w:val="1"/>
          <w:iCs w:val="1"/>
          <w:color w:val="auto"/>
        </w:rPr>
        <w:t xml:space="preserve">Pay-for-performance: </w:t>
      </w:r>
      <w:r>
        <w:rPr>
          <w:rFonts w:ascii="Arial" w:cs="Arial" w:eastAsia="Arial" w:hAnsi="Arial"/>
          <w:sz w:val="18"/>
          <w:szCs w:val="18"/>
          <w:color w:val="auto"/>
        </w:rPr>
        <w:t>A portion of the compensation program for named executive officers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our executives to remain focused on both our short-term and long-term operational success and to reward outstanding individual performance.</w:t>
      </w:r>
    </w:p>
    <w:p>
      <w:pPr>
        <w:spacing w:after="0" w:line="81" w:lineRule="exact"/>
        <w:rPr>
          <w:rFonts w:ascii="Arial" w:cs="Arial" w:eastAsia="Arial" w:hAnsi="Arial"/>
          <w:sz w:val="18"/>
          <w:szCs w:val="18"/>
          <w:color w:val="002554"/>
        </w:rPr>
      </w:pPr>
    </w:p>
    <w:p>
      <w:pPr>
        <w:ind w:left="1340" w:right="880" w:hanging="218"/>
        <w:spacing w:after="0" w:line="266" w:lineRule="auto"/>
        <w:tabs>
          <w:tab w:leader="none" w:pos="1340" w:val="left"/>
        </w:tabs>
        <w:numPr>
          <w:ilvl w:val="0"/>
          <w:numId w:val="8"/>
        </w:numPr>
        <w:rPr>
          <w:rFonts w:ascii="Arial" w:cs="Arial" w:eastAsia="Arial" w:hAnsi="Arial"/>
          <w:sz w:val="18"/>
          <w:szCs w:val="18"/>
          <w:color w:val="002554"/>
        </w:rPr>
      </w:pPr>
      <w:r>
        <w:rPr>
          <w:rFonts w:ascii="Arial" w:cs="Arial" w:eastAsia="Arial" w:hAnsi="Arial"/>
          <w:sz w:val="18"/>
          <w:szCs w:val="18"/>
          <w:i w:val="1"/>
          <w:iCs w:val="1"/>
          <w:color w:val="auto"/>
        </w:rPr>
        <w:t xml:space="preserve">Align incentives with stockholders: </w:t>
      </w:r>
      <w:r>
        <w:rPr>
          <w:rFonts w:ascii="Arial" w:cs="Arial" w:eastAsia="Arial" w:hAnsi="Arial"/>
          <w:sz w:val="18"/>
          <w:szCs w:val="18"/>
          <w:color w:val="auto"/>
        </w:rPr>
        <w:t>Our executive compensation program is designed to focus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on our key strategic, financial and operational goals that will translate into long-term value creation for our stockholders.</w:t>
      </w:r>
    </w:p>
    <w:p>
      <w:pPr>
        <w:spacing w:after="0" w:line="94" w:lineRule="exact"/>
        <w:rPr>
          <w:rFonts w:ascii="Arial" w:cs="Arial" w:eastAsia="Arial" w:hAnsi="Arial"/>
          <w:sz w:val="18"/>
          <w:szCs w:val="18"/>
          <w:color w:val="002554"/>
        </w:rPr>
      </w:pPr>
    </w:p>
    <w:p>
      <w:pPr>
        <w:ind w:left="1340" w:right="1340" w:hanging="218"/>
        <w:spacing w:after="0" w:line="282" w:lineRule="auto"/>
        <w:tabs>
          <w:tab w:leader="none" w:pos="1340" w:val="left"/>
        </w:tabs>
        <w:numPr>
          <w:ilvl w:val="0"/>
          <w:numId w:val="8"/>
        </w:numPr>
        <w:rPr>
          <w:rFonts w:ascii="Arial" w:cs="Arial" w:eastAsia="Arial" w:hAnsi="Arial"/>
          <w:sz w:val="18"/>
          <w:szCs w:val="18"/>
          <w:color w:val="002554"/>
        </w:rPr>
      </w:pPr>
      <w:r>
        <w:rPr>
          <w:rFonts w:ascii="Arial" w:cs="Arial" w:eastAsia="Arial" w:hAnsi="Arial"/>
          <w:sz w:val="18"/>
          <w:szCs w:val="18"/>
          <w:i w:val="1"/>
          <w:iCs w:val="1"/>
          <w:color w:val="auto"/>
        </w:rPr>
        <w:t xml:space="preserve">Limited perquisites: </w:t>
      </w:r>
      <w:r>
        <w:rPr>
          <w:rFonts w:ascii="Arial" w:cs="Arial" w:eastAsia="Arial" w:hAnsi="Arial"/>
          <w:sz w:val="18"/>
          <w:szCs w:val="18"/>
          <w:color w:val="auto"/>
        </w:rPr>
        <w:t>We provide limited, reasonable perquisites that we believe are consistent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compensation philosophy.</w:t>
      </w:r>
    </w:p>
    <w:p>
      <w:pPr>
        <w:spacing w:after="0" w:line="80" w:lineRule="exact"/>
        <w:rPr>
          <w:rFonts w:ascii="Arial" w:cs="Arial" w:eastAsia="Arial" w:hAnsi="Arial"/>
          <w:sz w:val="18"/>
          <w:szCs w:val="18"/>
          <w:color w:val="002554"/>
        </w:rPr>
      </w:pPr>
    </w:p>
    <w:p>
      <w:pPr>
        <w:ind w:left="1340" w:right="940" w:hanging="218"/>
        <w:spacing w:after="0" w:line="282" w:lineRule="auto"/>
        <w:tabs>
          <w:tab w:leader="none" w:pos="1340" w:val="left"/>
        </w:tabs>
        <w:numPr>
          <w:ilvl w:val="0"/>
          <w:numId w:val="8"/>
        </w:numPr>
        <w:rPr>
          <w:rFonts w:ascii="Arial" w:cs="Arial" w:eastAsia="Arial" w:hAnsi="Arial"/>
          <w:sz w:val="18"/>
          <w:szCs w:val="18"/>
          <w:color w:val="002554"/>
        </w:rPr>
      </w:pPr>
      <w:r>
        <w:rPr>
          <w:rFonts w:ascii="Arial" w:cs="Arial" w:eastAsia="Arial" w:hAnsi="Arial"/>
          <w:sz w:val="18"/>
          <w:szCs w:val="18"/>
          <w:i w:val="1"/>
          <w:iCs w:val="1"/>
          <w:color w:val="auto"/>
        </w:rPr>
        <w:t xml:space="preserve">No IRC Section 280G or 409A tax gross-ups: </w:t>
      </w:r>
      <w:r>
        <w:rPr>
          <w:rFonts w:ascii="Arial" w:cs="Arial" w:eastAsia="Arial" w:hAnsi="Arial"/>
          <w:sz w:val="18"/>
          <w:szCs w:val="18"/>
          <w:color w:val="auto"/>
        </w:rPr>
        <w:t>We do not provide tax gross-ups under our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deferred compensation programs.</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The Process of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8293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3"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The Compensation Committee participates in an annual evaluation of the performance of our CEO and subsequently determines and approves the CEO’s compensation level based on this evaluation. In determining the long-term incentive component of CEO compensation, the Compensation Committee will also consider, among such other factors, the Company’s performance, stockholder returns, the value of similar incentive awards to chief executive officers at comparable companies and the awards given to the CEO in past years. Our CEO reviews each named executive officer’s compensation package, other than his own, annually in light of the performance of each named executive officer. The conclusions reached and recommendations made based on these reviews, including those with respect to salary adjustments and annual award amounts, are then presented to the Compensation Committee and/or our board of directors for review and approval.</w:t>
      </w:r>
    </w:p>
    <w:p>
      <w:pPr>
        <w:spacing w:after="0" w:line="104" w:lineRule="exact"/>
        <w:rPr>
          <w:sz w:val="20"/>
          <w:szCs w:val="20"/>
          <w:color w:val="auto"/>
        </w:rPr>
      </w:pPr>
    </w:p>
    <w:p>
      <w:pPr>
        <w:ind w:left="760" w:right="940"/>
        <w:spacing w:after="0" w:line="254" w:lineRule="auto"/>
        <w:rPr>
          <w:sz w:val="20"/>
          <w:szCs w:val="20"/>
          <w:color w:val="auto"/>
        </w:rPr>
      </w:pPr>
      <w:r>
        <w:rPr>
          <w:rFonts w:ascii="Arial" w:cs="Arial" w:eastAsia="Arial" w:hAnsi="Arial"/>
          <w:sz w:val="18"/>
          <w:szCs w:val="18"/>
          <w:color w:val="auto"/>
        </w:rPr>
        <w:t>Specifically, the Compensation Committee determines and approves the compensation packages of the CEO and approves the compensation packages of each other named executive officer, giving significant deference to the views and recommendations of the CEO. The CEO is not present during voting or deliberations relating to his own compensation.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Committee’s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3" w:lineRule="exact"/>
        <w:rPr>
          <w:sz w:val="20"/>
          <w:szCs w:val="20"/>
          <w:color w:val="auto"/>
        </w:rPr>
      </w:pPr>
    </w:p>
    <w:p>
      <w:pPr>
        <w:ind w:left="760" w:right="840"/>
        <w:spacing w:after="0" w:line="251" w:lineRule="auto"/>
        <w:rPr>
          <w:sz w:val="20"/>
          <w:szCs w:val="20"/>
          <w:color w:val="auto"/>
        </w:rPr>
      </w:pPr>
      <w:r>
        <w:rPr>
          <w:rFonts w:ascii="Arial" w:cs="Arial" w:eastAsia="Arial" w:hAnsi="Arial"/>
          <w:sz w:val="18"/>
          <w:szCs w:val="18"/>
          <w:color w:val="auto"/>
        </w:rPr>
        <w:t>The Compensation Committee has previously engaged an independent compensation consultant, F.W. Cook (the “Committee’s consultant”), to assist it in carrying out its responsibilities. The Committee’s consultant has previously provided the Compensation Committee with guidance to consider when making the compensation decisions for the CEO and when considering the recommendations made with respect to the other named executive officers. The Compensation Committee has the sole authority to retain or terminate consultants to assist it in the evaluation of director, chief executive officer and other executive compensation. The Compensation Committee has the sole authority to determine the terms of engagement and the extent of funding necessary for payment of compensation to any consultant retained to advise the Compensation Committee. The Committee’s consultant did not provide any services to the Compensation Committee or management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409575</wp:posOffset>
            </wp:positionV>
            <wp:extent cx="75438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21</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172" w:lineRule="exact"/>
        <w:rPr>
          <w:sz w:val="20"/>
          <w:szCs w:val="20"/>
          <w:color w:val="auto"/>
        </w:rPr>
      </w:pPr>
    </w:p>
    <w:p>
      <w:pPr>
        <w:ind w:left="760" w:right="680"/>
        <w:spacing w:after="0" w:line="258" w:lineRule="auto"/>
        <w:rPr>
          <w:sz w:val="20"/>
          <w:szCs w:val="20"/>
          <w:color w:val="auto"/>
        </w:rPr>
      </w:pPr>
      <w:r>
        <w:rPr>
          <w:rFonts w:ascii="Arial" w:cs="Arial" w:eastAsia="Arial" w:hAnsi="Arial"/>
          <w:sz w:val="29"/>
          <w:szCs w:val="29"/>
          <w:b w:val="1"/>
          <w:bCs w:val="1"/>
          <w:color w:val="002554"/>
        </w:rPr>
        <w:t>Elements of Compensation for 2020 and Why We Chose to Pay Each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24765</wp:posOffset>
            </wp:positionV>
            <wp:extent cx="58293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7"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The primary elements of our executive compensation program are base salary, annual cash bonuses, equity-based compensation and certain employee benefits and perquisites. Brief descriptions of each principal element of our executive compensation program are summarized in the following table and described in more detail below.</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2180" w:type="dxa"/>
            <w:vAlign w:val="bottom"/>
            <w:tcBorders>
              <w:bottom w:val="single" w:sz="8" w:color="00C389"/>
            </w:tcBorders>
          </w:tcPr>
          <w:p>
            <w:pPr>
              <w:spacing w:after="0"/>
              <w:rPr>
                <w:sz w:val="20"/>
                <w:szCs w:val="20"/>
                <w:color w:val="auto"/>
              </w:rPr>
            </w:pPr>
            <w:r>
              <w:rPr>
                <w:rFonts w:ascii="Arial" w:cs="Arial" w:eastAsia="Arial" w:hAnsi="Arial"/>
                <w:sz w:val="14"/>
                <w:szCs w:val="14"/>
                <w:b w:val="1"/>
                <w:bCs w:val="1"/>
                <w:color w:val="002554"/>
              </w:rPr>
              <w:t>Compensation Element</w:t>
            </w:r>
          </w:p>
        </w:tc>
        <w:tc>
          <w:tcPr>
            <w:tcW w:w="3600" w:type="dxa"/>
            <w:vAlign w:val="bottom"/>
            <w:tcBorders>
              <w:bottom w:val="single" w:sz="8" w:color="00C389"/>
            </w:tcBorders>
          </w:tcPr>
          <w:p>
            <w:pPr>
              <w:ind w:left="1280"/>
              <w:spacing w:after="0"/>
              <w:rPr>
                <w:sz w:val="20"/>
                <w:szCs w:val="20"/>
                <w:color w:val="auto"/>
              </w:rPr>
            </w:pPr>
            <w:r>
              <w:rPr>
                <w:rFonts w:ascii="Arial" w:cs="Arial" w:eastAsia="Arial" w:hAnsi="Arial"/>
                <w:sz w:val="14"/>
                <w:szCs w:val="14"/>
                <w:b w:val="1"/>
                <w:bCs w:val="1"/>
                <w:color w:val="002554"/>
              </w:rPr>
              <w:t>Brief Description</w:t>
            </w:r>
          </w:p>
        </w:tc>
        <w:tc>
          <w:tcPr>
            <w:tcW w:w="3400" w:type="dxa"/>
            <w:vAlign w:val="bottom"/>
            <w:tcBorders>
              <w:bottom w:val="single" w:sz="8" w:color="00C389"/>
            </w:tcBorders>
          </w:tcPr>
          <w:p>
            <w:pPr>
              <w:ind w:left="1400"/>
              <w:spacing w:after="0"/>
              <w:rPr>
                <w:sz w:val="20"/>
                <w:szCs w:val="20"/>
                <w:color w:val="auto"/>
              </w:rPr>
            </w:pPr>
            <w:r>
              <w:rPr>
                <w:rFonts w:ascii="Arial" w:cs="Arial" w:eastAsia="Arial" w:hAnsi="Arial"/>
                <w:sz w:val="14"/>
                <w:szCs w:val="14"/>
                <w:b w:val="1"/>
                <w:bCs w:val="1"/>
                <w:color w:val="002554"/>
              </w:rPr>
              <w:t>Objectives</w:t>
            </w:r>
          </w:p>
        </w:tc>
      </w:tr>
      <w:tr>
        <w:trPr>
          <w:trHeight w:val="242"/>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Base Salary</w:t>
            </w:r>
          </w:p>
        </w:tc>
        <w:tc>
          <w:tcPr>
            <w:tcW w:w="3600" w:type="dxa"/>
            <w:vAlign w:val="bottom"/>
          </w:tcPr>
          <w:p>
            <w:pPr>
              <w:ind w:left="200"/>
              <w:spacing w:after="0"/>
              <w:rPr>
                <w:sz w:val="20"/>
                <w:szCs w:val="20"/>
                <w:color w:val="auto"/>
              </w:rPr>
            </w:pPr>
            <w:r>
              <w:rPr>
                <w:rFonts w:ascii="Arial" w:cs="Arial" w:eastAsia="Arial" w:hAnsi="Arial"/>
                <w:sz w:val="18"/>
                <w:szCs w:val="18"/>
                <w:color w:val="auto"/>
              </w:rPr>
              <w:t>Fixed compensation</w:t>
            </w:r>
          </w:p>
        </w:tc>
        <w:tc>
          <w:tcPr>
            <w:tcW w:w="3400" w:type="dxa"/>
            <w:vAlign w:val="bottom"/>
          </w:tcPr>
          <w:p>
            <w:pPr>
              <w:ind w:left="100"/>
              <w:spacing w:after="0"/>
              <w:rPr>
                <w:sz w:val="20"/>
                <w:szCs w:val="20"/>
                <w:color w:val="auto"/>
              </w:rPr>
            </w:pPr>
            <w:r>
              <w:rPr>
                <w:rFonts w:ascii="Arial" w:cs="Arial" w:eastAsia="Arial" w:hAnsi="Arial"/>
                <w:sz w:val="18"/>
                <w:szCs w:val="18"/>
                <w:color w:val="auto"/>
              </w:rPr>
              <w:t>Provide a competitive, fixed level of cash</w:t>
            </w:r>
          </w:p>
        </w:tc>
      </w:tr>
      <w:tr>
        <w:trPr>
          <w:trHeight w:val="216"/>
        </w:trPr>
        <w:tc>
          <w:tcPr>
            <w:tcW w:w="2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compensation to attract and retain</w:t>
            </w:r>
          </w:p>
        </w:tc>
      </w:tr>
      <w:tr>
        <w:trPr>
          <w:trHeight w:val="217"/>
        </w:trPr>
        <w:tc>
          <w:tcPr>
            <w:tcW w:w="2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talented and skilled executives</w:t>
            </w:r>
          </w:p>
        </w:tc>
      </w:tr>
      <w:tr>
        <w:trPr>
          <w:trHeight w:val="27"/>
        </w:trPr>
        <w:tc>
          <w:tcPr>
            <w:tcW w:w="2180" w:type="dxa"/>
            <w:vAlign w:val="bottom"/>
            <w:tcBorders>
              <w:bottom w:val="single" w:sz="8" w:color="00C389"/>
            </w:tcBorders>
          </w:tcPr>
          <w:p>
            <w:pPr>
              <w:spacing w:after="0"/>
              <w:rPr>
                <w:sz w:val="2"/>
                <w:szCs w:val="2"/>
                <w:color w:val="auto"/>
              </w:rPr>
            </w:pPr>
          </w:p>
        </w:tc>
        <w:tc>
          <w:tcPr>
            <w:tcW w:w="3600" w:type="dxa"/>
            <w:vAlign w:val="bottom"/>
            <w:tcBorders>
              <w:bottom w:val="single" w:sz="8" w:color="00C389"/>
            </w:tcBorders>
          </w:tcPr>
          <w:p>
            <w:pPr>
              <w:spacing w:after="0"/>
              <w:rPr>
                <w:sz w:val="2"/>
                <w:szCs w:val="2"/>
                <w:color w:val="auto"/>
              </w:rPr>
            </w:pPr>
          </w:p>
        </w:tc>
        <w:tc>
          <w:tcPr>
            <w:tcW w:w="3400" w:type="dxa"/>
            <w:vAlign w:val="bottom"/>
            <w:tcBorders>
              <w:bottom w:val="single" w:sz="8" w:color="00C389"/>
            </w:tcBorders>
          </w:tcPr>
          <w:p>
            <w:pPr>
              <w:spacing w:after="0"/>
              <w:rPr>
                <w:sz w:val="2"/>
                <w:szCs w:val="2"/>
                <w:color w:val="auto"/>
              </w:rPr>
            </w:pPr>
          </w:p>
        </w:tc>
      </w:tr>
      <w:tr>
        <w:trPr>
          <w:trHeight w:val="236"/>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Annual Cash Bonus</w:t>
            </w:r>
          </w:p>
        </w:tc>
        <w:tc>
          <w:tcPr>
            <w:tcW w:w="3600" w:type="dxa"/>
            <w:vAlign w:val="bottom"/>
          </w:tcPr>
          <w:p>
            <w:pPr>
              <w:ind w:left="200"/>
              <w:spacing w:after="0"/>
              <w:rPr>
                <w:sz w:val="20"/>
                <w:szCs w:val="20"/>
                <w:color w:val="auto"/>
              </w:rPr>
            </w:pPr>
            <w:r>
              <w:rPr>
                <w:rFonts w:ascii="Arial" w:cs="Arial" w:eastAsia="Arial" w:hAnsi="Arial"/>
                <w:sz w:val="18"/>
                <w:szCs w:val="18"/>
                <w:color w:val="auto"/>
              </w:rPr>
              <w:t>Variable, performance-based cash</w:t>
            </w:r>
          </w:p>
        </w:tc>
        <w:tc>
          <w:tcPr>
            <w:tcW w:w="3400" w:type="dxa"/>
            <w:vAlign w:val="bottom"/>
          </w:tcPr>
          <w:p>
            <w:pPr>
              <w:ind w:left="100"/>
              <w:spacing w:after="0"/>
              <w:rPr>
                <w:sz w:val="20"/>
                <w:szCs w:val="20"/>
                <w:color w:val="auto"/>
              </w:rPr>
            </w:pPr>
            <w:r>
              <w:rPr>
                <w:rFonts w:ascii="Arial" w:cs="Arial" w:eastAsia="Arial" w:hAnsi="Arial"/>
                <w:sz w:val="18"/>
                <w:szCs w:val="18"/>
                <w:color w:val="auto"/>
              </w:rPr>
              <w:t>Retain and motivate executives to</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compensation earned based on financial</w:t>
            </w:r>
          </w:p>
        </w:tc>
        <w:tc>
          <w:tcPr>
            <w:tcW w:w="3400" w:type="dxa"/>
            <w:vAlign w:val="bottom"/>
          </w:tcPr>
          <w:p>
            <w:pPr>
              <w:ind w:left="100"/>
              <w:spacing w:after="0"/>
              <w:rPr>
                <w:sz w:val="20"/>
                <w:szCs w:val="20"/>
                <w:color w:val="auto"/>
              </w:rPr>
            </w:pPr>
            <w:r>
              <w:rPr>
                <w:rFonts w:ascii="Arial" w:cs="Arial" w:eastAsia="Arial" w:hAnsi="Arial"/>
                <w:sz w:val="18"/>
                <w:szCs w:val="18"/>
                <w:color w:val="auto"/>
              </w:rPr>
              <w:t>achieve or exceed financial goals and</w:t>
            </w:r>
          </w:p>
        </w:tc>
      </w:tr>
      <w:tr>
        <w:trPr>
          <w:trHeight w:val="217"/>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and individual performance</w:t>
            </w:r>
          </w:p>
        </w:tc>
        <w:tc>
          <w:tcPr>
            <w:tcW w:w="3400" w:type="dxa"/>
            <w:vAlign w:val="bottom"/>
          </w:tcPr>
          <w:p>
            <w:pPr>
              <w:ind w:left="100"/>
              <w:spacing w:after="0"/>
              <w:rPr>
                <w:sz w:val="20"/>
                <w:szCs w:val="20"/>
                <w:color w:val="auto"/>
              </w:rPr>
            </w:pPr>
            <w:r>
              <w:rPr>
                <w:rFonts w:ascii="Arial" w:cs="Arial" w:eastAsia="Arial" w:hAnsi="Arial"/>
                <w:sz w:val="18"/>
                <w:szCs w:val="18"/>
                <w:color w:val="auto"/>
              </w:rPr>
              <w:t>company objectives</w:t>
            </w:r>
          </w:p>
        </w:tc>
      </w:tr>
      <w:tr>
        <w:trPr>
          <w:trHeight w:val="27"/>
        </w:trPr>
        <w:tc>
          <w:tcPr>
            <w:tcW w:w="2180" w:type="dxa"/>
            <w:vAlign w:val="bottom"/>
            <w:tcBorders>
              <w:bottom w:val="single" w:sz="8" w:color="00C389"/>
            </w:tcBorders>
          </w:tcPr>
          <w:p>
            <w:pPr>
              <w:spacing w:after="0"/>
              <w:rPr>
                <w:sz w:val="2"/>
                <w:szCs w:val="2"/>
                <w:color w:val="auto"/>
              </w:rPr>
            </w:pPr>
          </w:p>
        </w:tc>
        <w:tc>
          <w:tcPr>
            <w:tcW w:w="3600" w:type="dxa"/>
            <w:vAlign w:val="bottom"/>
            <w:tcBorders>
              <w:bottom w:val="single" w:sz="8" w:color="00C389"/>
            </w:tcBorders>
          </w:tcPr>
          <w:p>
            <w:pPr>
              <w:spacing w:after="0"/>
              <w:rPr>
                <w:sz w:val="2"/>
                <w:szCs w:val="2"/>
                <w:color w:val="auto"/>
              </w:rPr>
            </w:pPr>
          </w:p>
        </w:tc>
        <w:tc>
          <w:tcPr>
            <w:tcW w:w="3400" w:type="dxa"/>
            <w:vAlign w:val="bottom"/>
            <w:tcBorders>
              <w:bottom w:val="single" w:sz="8" w:color="00C389"/>
            </w:tcBorders>
          </w:tcPr>
          <w:p>
            <w:pPr>
              <w:spacing w:after="0"/>
              <w:rPr>
                <w:sz w:val="2"/>
                <w:szCs w:val="2"/>
                <w:color w:val="auto"/>
              </w:rPr>
            </w:pPr>
          </w:p>
        </w:tc>
      </w:tr>
      <w:tr>
        <w:trPr>
          <w:trHeight w:val="236"/>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Annual Equity Awards</w:t>
            </w:r>
          </w:p>
        </w:tc>
        <w:tc>
          <w:tcPr>
            <w:tcW w:w="3600" w:type="dxa"/>
            <w:vAlign w:val="bottom"/>
          </w:tcPr>
          <w:p>
            <w:pPr>
              <w:ind w:left="200"/>
              <w:spacing w:after="0"/>
              <w:rPr>
                <w:sz w:val="20"/>
                <w:szCs w:val="20"/>
                <w:color w:val="auto"/>
              </w:rPr>
            </w:pPr>
            <w:r>
              <w:rPr>
                <w:rFonts w:ascii="Arial" w:cs="Arial" w:eastAsia="Arial" w:hAnsi="Arial"/>
                <w:sz w:val="18"/>
                <w:szCs w:val="18"/>
                <w:color w:val="auto"/>
              </w:rPr>
              <w:t>Equity and equity-based compensation</w:t>
            </w:r>
          </w:p>
        </w:tc>
        <w:tc>
          <w:tcPr>
            <w:tcW w:w="3400" w:type="dxa"/>
            <w:vAlign w:val="bottom"/>
          </w:tcPr>
          <w:p>
            <w:pPr>
              <w:ind w:left="100"/>
              <w:spacing w:after="0"/>
              <w:rPr>
                <w:sz w:val="20"/>
                <w:szCs w:val="20"/>
                <w:color w:val="auto"/>
              </w:rPr>
            </w:pPr>
            <w:r>
              <w:rPr>
                <w:rFonts w:ascii="Arial" w:cs="Arial" w:eastAsia="Arial" w:hAnsi="Arial"/>
                <w:sz w:val="18"/>
                <w:szCs w:val="18"/>
                <w:color w:val="auto"/>
              </w:rPr>
              <w:t>The mix of equity and equity-based</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that is subject to vesting based on</w:t>
            </w:r>
          </w:p>
        </w:tc>
        <w:tc>
          <w:tcPr>
            <w:tcW w:w="3400" w:type="dxa"/>
            <w:vAlign w:val="bottom"/>
          </w:tcPr>
          <w:p>
            <w:pPr>
              <w:ind w:left="100"/>
              <w:spacing w:after="0"/>
              <w:rPr>
                <w:sz w:val="20"/>
                <w:szCs w:val="20"/>
                <w:color w:val="auto"/>
              </w:rPr>
            </w:pPr>
            <w:r>
              <w:rPr>
                <w:rFonts w:ascii="Arial" w:cs="Arial" w:eastAsia="Arial" w:hAnsi="Arial"/>
                <w:sz w:val="18"/>
                <w:szCs w:val="18"/>
                <w:color w:val="auto"/>
                <w:w w:val="99"/>
              </w:rPr>
              <w:t>awards with time-based vesting assists in</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 continued employment and (ii) for</w:t>
            </w:r>
          </w:p>
        </w:tc>
        <w:tc>
          <w:tcPr>
            <w:tcW w:w="3400" w:type="dxa"/>
            <w:vAlign w:val="bottom"/>
          </w:tcPr>
          <w:p>
            <w:pPr>
              <w:ind w:left="100"/>
              <w:spacing w:after="0"/>
              <w:rPr>
                <w:sz w:val="20"/>
                <w:szCs w:val="20"/>
                <w:color w:val="auto"/>
              </w:rPr>
            </w:pPr>
            <w:r>
              <w:rPr>
                <w:rFonts w:ascii="Arial" w:cs="Arial" w:eastAsia="Arial" w:hAnsi="Arial"/>
                <w:sz w:val="18"/>
                <w:szCs w:val="18"/>
                <w:color w:val="auto"/>
              </w:rPr>
              <w:t>retention of key talent while also</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certain named executive officers,</w:t>
            </w:r>
          </w:p>
        </w:tc>
        <w:tc>
          <w:tcPr>
            <w:tcW w:w="3400" w:type="dxa"/>
            <w:vAlign w:val="bottom"/>
          </w:tcPr>
          <w:p>
            <w:pPr>
              <w:ind w:left="100"/>
              <w:spacing w:after="0"/>
              <w:rPr>
                <w:sz w:val="20"/>
                <w:szCs w:val="20"/>
                <w:color w:val="auto"/>
              </w:rPr>
            </w:pPr>
            <w:r>
              <w:rPr>
                <w:rFonts w:ascii="Arial" w:cs="Arial" w:eastAsia="Arial" w:hAnsi="Arial"/>
                <w:sz w:val="18"/>
                <w:szCs w:val="18"/>
                <w:color w:val="auto"/>
              </w:rPr>
              <w:t>rewarding executives for exceptional</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achievement of pre-established financial</w:t>
            </w:r>
          </w:p>
        </w:tc>
        <w:tc>
          <w:tcPr>
            <w:tcW w:w="3400" w:type="dxa"/>
            <w:vAlign w:val="bottom"/>
          </w:tcPr>
          <w:p>
            <w:pPr>
              <w:ind w:left="100"/>
              <w:spacing w:after="0"/>
              <w:rPr>
                <w:sz w:val="20"/>
                <w:szCs w:val="20"/>
                <w:color w:val="auto"/>
              </w:rPr>
            </w:pPr>
            <w:r>
              <w:rPr>
                <w:rFonts w:ascii="Arial" w:cs="Arial" w:eastAsia="Arial" w:hAnsi="Arial"/>
                <w:sz w:val="18"/>
                <w:szCs w:val="18"/>
                <w:color w:val="auto"/>
              </w:rPr>
              <w:t>performance</w:t>
            </w:r>
          </w:p>
        </w:tc>
      </w:tr>
      <w:tr>
        <w:trPr>
          <w:trHeight w:val="217"/>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and operational goals</w:t>
            </w:r>
          </w:p>
        </w:tc>
        <w:tc>
          <w:tcPr>
            <w:tcW w:w="3400" w:type="dxa"/>
            <w:vAlign w:val="bottom"/>
          </w:tcPr>
          <w:p>
            <w:pPr>
              <w:spacing w:after="0"/>
              <w:rPr>
                <w:sz w:val="18"/>
                <w:szCs w:val="18"/>
                <w:color w:val="auto"/>
              </w:rPr>
            </w:pPr>
          </w:p>
        </w:tc>
      </w:tr>
      <w:tr>
        <w:trPr>
          <w:trHeight w:val="27"/>
        </w:trPr>
        <w:tc>
          <w:tcPr>
            <w:tcW w:w="2180" w:type="dxa"/>
            <w:vAlign w:val="bottom"/>
            <w:tcBorders>
              <w:bottom w:val="single" w:sz="8" w:color="00C389"/>
            </w:tcBorders>
          </w:tcPr>
          <w:p>
            <w:pPr>
              <w:spacing w:after="0"/>
              <w:rPr>
                <w:sz w:val="2"/>
                <w:szCs w:val="2"/>
                <w:color w:val="auto"/>
              </w:rPr>
            </w:pPr>
          </w:p>
        </w:tc>
        <w:tc>
          <w:tcPr>
            <w:tcW w:w="3600" w:type="dxa"/>
            <w:vAlign w:val="bottom"/>
            <w:tcBorders>
              <w:bottom w:val="single" w:sz="8" w:color="00C389"/>
            </w:tcBorders>
          </w:tcPr>
          <w:p>
            <w:pPr>
              <w:spacing w:after="0"/>
              <w:rPr>
                <w:sz w:val="2"/>
                <w:szCs w:val="2"/>
                <w:color w:val="auto"/>
              </w:rPr>
            </w:pPr>
          </w:p>
        </w:tc>
        <w:tc>
          <w:tcPr>
            <w:tcW w:w="3400" w:type="dxa"/>
            <w:vAlign w:val="bottom"/>
            <w:tcBorders>
              <w:bottom w:val="single" w:sz="8" w:color="00C389"/>
            </w:tcBorders>
          </w:tcPr>
          <w:p>
            <w:pPr>
              <w:spacing w:after="0"/>
              <w:rPr>
                <w:sz w:val="2"/>
                <w:szCs w:val="2"/>
                <w:color w:val="auto"/>
              </w:rPr>
            </w:pPr>
          </w:p>
        </w:tc>
      </w:tr>
      <w:tr>
        <w:trPr>
          <w:trHeight w:val="214"/>
        </w:trPr>
        <w:tc>
          <w:tcPr>
            <w:tcW w:w="2180" w:type="dxa"/>
            <w:vAlign w:val="bottom"/>
          </w:tcPr>
          <w:p>
            <w:pPr>
              <w:spacing w:after="0"/>
              <w:rPr>
                <w:sz w:val="20"/>
                <w:szCs w:val="20"/>
                <w:color w:val="auto"/>
              </w:rPr>
            </w:pPr>
            <w:r>
              <w:rPr>
                <w:rFonts w:ascii="Arial" w:cs="Arial" w:eastAsia="Arial" w:hAnsi="Arial"/>
                <w:sz w:val="18"/>
                <w:szCs w:val="18"/>
                <w:b w:val="1"/>
                <w:bCs w:val="1"/>
                <w:i w:val="1"/>
                <w:iCs w:val="1"/>
                <w:color w:val="auto"/>
              </w:rPr>
              <w:t>Employee Benefits and</w:t>
            </w:r>
          </w:p>
        </w:tc>
        <w:tc>
          <w:tcPr>
            <w:tcW w:w="3600" w:type="dxa"/>
            <w:vAlign w:val="bottom"/>
          </w:tcPr>
          <w:p>
            <w:pPr>
              <w:ind w:left="200"/>
              <w:spacing w:after="0"/>
              <w:rPr>
                <w:sz w:val="20"/>
                <w:szCs w:val="20"/>
                <w:color w:val="auto"/>
              </w:rPr>
            </w:pPr>
            <w:r>
              <w:rPr>
                <w:rFonts w:ascii="Arial" w:cs="Arial" w:eastAsia="Arial" w:hAnsi="Arial"/>
                <w:sz w:val="18"/>
                <w:szCs w:val="18"/>
                <w:color w:val="auto"/>
              </w:rPr>
              <w:t>Participation in all broad-based employee</w:t>
            </w:r>
          </w:p>
        </w:tc>
        <w:tc>
          <w:tcPr>
            <w:tcW w:w="3400" w:type="dxa"/>
            <w:vAlign w:val="bottom"/>
          </w:tcPr>
          <w:p>
            <w:pPr>
              <w:ind w:left="100"/>
              <w:spacing w:after="0"/>
              <w:rPr>
                <w:sz w:val="20"/>
                <w:szCs w:val="20"/>
                <w:color w:val="auto"/>
              </w:rPr>
            </w:pPr>
            <w:r>
              <w:rPr>
                <w:rFonts w:ascii="Arial" w:cs="Arial" w:eastAsia="Arial" w:hAnsi="Arial"/>
                <w:sz w:val="18"/>
                <w:szCs w:val="18"/>
                <w:color w:val="auto"/>
              </w:rPr>
              <w:t>Aid in retention of key executives in a</w:t>
            </w:r>
          </w:p>
        </w:tc>
      </w:tr>
      <w:tr>
        <w:trPr>
          <w:trHeight w:val="238"/>
        </w:trPr>
        <w:tc>
          <w:tcPr>
            <w:tcW w:w="21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Perquisites</w:t>
            </w:r>
          </w:p>
        </w:tc>
        <w:tc>
          <w:tcPr>
            <w:tcW w:w="3600" w:type="dxa"/>
            <w:vAlign w:val="bottom"/>
          </w:tcPr>
          <w:p>
            <w:pPr>
              <w:ind w:left="200"/>
              <w:spacing w:after="0"/>
              <w:rPr>
                <w:sz w:val="20"/>
                <w:szCs w:val="20"/>
                <w:color w:val="auto"/>
              </w:rPr>
            </w:pPr>
            <w:r>
              <w:rPr>
                <w:rFonts w:ascii="Arial" w:cs="Arial" w:eastAsia="Arial" w:hAnsi="Arial"/>
                <w:sz w:val="18"/>
                <w:szCs w:val="18"/>
                <w:color w:val="auto"/>
              </w:rPr>
              <w:t>health and welfare programs and</w:t>
            </w:r>
          </w:p>
        </w:tc>
        <w:tc>
          <w:tcPr>
            <w:tcW w:w="3400" w:type="dxa"/>
            <w:vAlign w:val="bottom"/>
          </w:tcPr>
          <w:p>
            <w:pPr>
              <w:ind w:left="100"/>
              <w:spacing w:after="0"/>
              <w:rPr>
                <w:sz w:val="20"/>
                <w:szCs w:val="20"/>
                <w:color w:val="auto"/>
              </w:rPr>
            </w:pPr>
            <w:r>
              <w:rPr>
                <w:rFonts w:ascii="Arial" w:cs="Arial" w:eastAsia="Arial" w:hAnsi="Arial"/>
                <w:sz w:val="18"/>
                <w:szCs w:val="18"/>
                <w:color w:val="auto"/>
              </w:rPr>
              <w:t>highly competitive market for talent by</w:t>
            </w:r>
          </w:p>
        </w:tc>
      </w:tr>
      <w:tr>
        <w:trPr>
          <w:trHeight w:val="216"/>
        </w:trPr>
        <w:tc>
          <w:tcPr>
            <w:tcW w:w="218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retirement plans</w:t>
            </w:r>
          </w:p>
        </w:tc>
        <w:tc>
          <w:tcPr>
            <w:tcW w:w="3400" w:type="dxa"/>
            <w:vAlign w:val="bottom"/>
          </w:tcPr>
          <w:p>
            <w:pPr>
              <w:ind w:left="100"/>
              <w:spacing w:after="0"/>
              <w:rPr>
                <w:sz w:val="20"/>
                <w:szCs w:val="20"/>
                <w:color w:val="auto"/>
              </w:rPr>
            </w:pPr>
            <w:r>
              <w:rPr>
                <w:rFonts w:ascii="Arial" w:cs="Arial" w:eastAsia="Arial" w:hAnsi="Arial"/>
                <w:sz w:val="18"/>
                <w:szCs w:val="18"/>
                <w:color w:val="auto"/>
              </w:rPr>
              <w:t>providing an overall competitive benefits</w:t>
            </w:r>
          </w:p>
        </w:tc>
      </w:tr>
      <w:tr>
        <w:trPr>
          <w:trHeight w:val="217"/>
        </w:trPr>
        <w:tc>
          <w:tcPr>
            <w:tcW w:w="2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package</w:t>
            </w:r>
          </w:p>
        </w:tc>
      </w:tr>
      <w:tr>
        <w:trPr>
          <w:trHeight w:val="27"/>
        </w:trPr>
        <w:tc>
          <w:tcPr>
            <w:tcW w:w="2180" w:type="dxa"/>
            <w:vAlign w:val="bottom"/>
            <w:tcBorders>
              <w:bottom w:val="single" w:sz="8" w:color="00C389"/>
            </w:tcBorders>
          </w:tcPr>
          <w:p>
            <w:pPr>
              <w:spacing w:after="0"/>
              <w:rPr>
                <w:sz w:val="2"/>
                <w:szCs w:val="2"/>
                <w:color w:val="auto"/>
              </w:rPr>
            </w:pPr>
          </w:p>
        </w:tc>
        <w:tc>
          <w:tcPr>
            <w:tcW w:w="3600" w:type="dxa"/>
            <w:vAlign w:val="bottom"/>
            <w:tcBorders>
              <w:bottom w:val="single" w:sz="8" w:color="00C389"/>
            </w:tcBorders>
          </w:tcPr>
          <w:p>
            <w:pPr>
              <w:spacing w:after="0"/>
              <w:rPr>
                <w:sz w:val="2"/>
                <w:szCs w:val="2"/>
                <w:color w:val="auto"/>
              </w:rPr>
            </w:pPr>
          </w:p>
        </w:tc>
        <w:tc>
          <w:tcPr>
            <w:tcW w:w="3400" w:type="dxa"/>
            <w:vAlign w:val="bottom"/>
            <w:tcBorders>
              <w:bottom w:val="single" w:sz="8" w:color="00C389"/>
            </w:tcBorders>
          </w:tcPr>
          <w:p>
            <w:pPr>
              <w:spacing w:after="0"/>
              <w:rPr>
                <w:sz w:val="2"/>
                <w:szCs w:val="2"/>
                <w:color w:val="auto"/>
              </w:rPr>
            </w:pPr>
          </w:p>
        </w:tc>
      </w:tr>
    </w:tbl>
    <w:p>
      <w:pPr>
        <w:spacing w:after="0" w:line="94" w:lineRule="exact"/>
        <w:rPr>
          <w:sz w:val="20"/>
          <w:szCs w:val="20"/>
          <w:color w:val="auto"/>
        </w:rPr>
      </w:pPr>
    </w:p>
    <w:p>
      <w:pPr>
        <w:ind w:left="760" w:right="20"/>
        <w:spacing w:after="0" w:line="237" w:lineRule="auto"/>
        <w:rPr>
          <w:sz w:val="20"/>
          <w:szCs w:val="20"/>
          <w:color w:val="auto"/>
        </w:rPr>
      </w:pPr>
      <w:r>
        <w:rPr>
          <w:rFonts w:ascii="Arial" w:cs="Arial" w:eastAsia="Arial" w:hAnsi="Arial"/>
          <w:sz w:val="18"/>
          <w:szCs w:val="18"/>
          <w:color w:val="auto"/>
        </w:rPr>
        <w:t>Consistent with and in promotion of the compensation program objectives detailed above, a significant percentage of total compensation is allocated to performance incentives in order to motivate the named executive officers to achieve the business goals set by the Company and reward the officers for achieving such goals. There is no pre-established policy or target for allocating compensation between long- or short-term compensation, between cash and non-cash compensation, among different forms of non-cash compensation, or among named executive officers. Rather, we look at an executive officer’s goals and responsibilities to determine the appropriate level and mix of incentive compensation.</w:t>
      </w:r>
    </w:p>
    <w:p>
      <w:pPr>
        <w:spacing w:after="0" w:line="73" w:lineRule="exact"/>
        <w:rPr>
          <w:sz w:val="20"/>
          <w:szCs w:val="20"/>
          <w:color w:val="auto"/>
        </w:rPr>
      </w:pPr>
    </w:p>
    <w:p>
      <w:pPr>
        <w:ind w:left="760" w:right="40"/>
        <w:spacing w:after="0" w:line="255"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We provide executive officers with a base salary to compensate them for services rendered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fiscal year. This process also enables us to attract and retain an appropriate caliber of talent for the position and to provide a base level of monthly income that is not subject to any performance risk. We conduct a review of base salaries annually, and during such review we generally consider each named executive officer’s past performance, the scope of the role and responsibilities of the executive officer within our organization and the performance of the organization as a whole. We also review the executive officer’s compensation relative to that of our other executive officers and to the market for executive officers of similar expertise and experience. Base salaries for each of Messrs. Cavoli and Fairclough were increased in fiscal year 2020 to $500,000 from $400,000 and $160,452, respectively. Base salaries for our other named executive officers were not increased during fiscal year 2020.</w:t>
      </w:r>
    </w:p>
    <w:p>
      <w:pPr>
        <w:spacing w:after="0" w:line="61"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b w:val="1"/>
          <w:bCs w:val="1"/>
          <w:i w:val="1"/>
          <w:iCs w:val="1"/>
          <w:color w:val="auto"/>
        </w:rPr>
        <w:t xml:space="preserve">Variable Incentive Compensation. </w:t>
      </w:r>
      <w:r>
        <w:rPr>
          <w:rFonts w:ascii="Arial" w:cs="Arial" w:eastAsia="Arial" w:hAnsi="Arial"/>
          <w:sz w:val="18"/>
          <w:szCs w:val="18"/>
          <w:color w:val="auto"/>
        </w:rPr>
        <w:t>We award variable incentive compensation to reward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achievements with a time horizon of one year or less. We provide this opportunity to attract and retain an appropriate caliber of talent for the position and to motivate executives to achieve our annual business goals. We review variable incentive compensation awards annually to determine award payments for the last completed fiscal year, as well as to establish award opportunities for the current fiscal year.</w:t>
      </w:r>
    </w:p>
    <w:p>
      <w:pPr>
        <w:spacing w:after="0" w:line="90" w:lineRule="exact"/>
        <w:rPr>
          <w:sz w:val="20"/>
          <w:szCs w:val="20"/>
          <w:color w:val="auto"/>
        </w:rPr>
      </w:pPr>
    </w:p>
    <w:p>
      <w:pPr>
        <w:ind w:left="760" w:right="100"/>
        <w:spacing w:after="0" w:line="253" w:lineRule="auto"/>
        <w:rPr>
          <w:sz w:val="20"/>
          <w:szCs w:val="20"/>
          <w:color w:val="auto"/>
        </w:rPr>
      </w:pPr>
      <w:r>
        <w:rPr>
          <w:rFonts w:ascii="Arial" w:cs="Arial" w:eastAsia="Arial" w:hAnsi="Arial"/>
          <w:sz w:val="17"/>
          <w:szCs w:val="17"/>
          <w:color w:val="auto"/>
        </w:rPr>
        <w:t>To determine the actual amount of variable incentive compensation for each named executive officer, the Compensation Committee reviews quantitative and qualitative criteria. With respect to both types of criteria, attainment of any specific level of performance or specific qualitative goal does not determine the amount of the bonus, except as discussed below regarding Messrs. Cifu’s, Cavoli’s and Fairclough’s annual bonus. Other than as set forth below with respect to Messrs. Cifu’s, Cavoli’s and Fairclough’s annual bonus, no pre-determined single performance metric is disproportionately weighted in making the determination of a named executive officer’s</w:t>
      </w:r>
    </w:p>
    <w:p>
      <w:pPr>
        <w:spacing w:after="0" w:line="265"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75438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12" w:lineRule="exact"/>
        <w:rPr>
          <w:sz w:val="20"/>
          <w:szCs w:val="20"/>
          <w:color w:val="auto"/>
        </w:rPr>
      </w:pPr>
    </w:p>
    <w:p>
      <w:pPr>
        <w:jc w:val="both"/>
        <w:ind w:left="760" w:right="1080"/>
        <w:spacing w:after="0" w:line="229" w:lineRule="auto"/>
        <w:rPr>
          <w:sz w:val="20"/>
          <w:szCs w:val="20"/>
          <w:color w:val="auto"/>
        </w:rPr>
      </w:pPr>
      <w:r>
        <w:rPr>
          <w:rFonts w:ascii="Arial" w:cs="Arial" w:eastAsia="Arial" w:hAnsi="Arial"/>
          <w:sz w:val="18"/>
          <w:szCs w:val="18"/>
          <w:color w:val="auto"/>
        </w:rPr>
        <w:t>variable incentive compensation payout, which provides discretion to our Compensation Committee to adjust the actual amount paid in respect of variable incentive compensation to reward financial performance and individual performance in the context of our growing and dynamic business.</w:t>
      </w:r>
    </w:p>
    <w:p>
      <w:pPr>
        <w:spacing w:after="0" w:line="96" w:lineRule="exact"/>
        <w:rPr>
          <w:sz w:val="20"/>
          <w:szCs w:val="20"/>
          <w:color w:val="auto"/>
        </w:rPr>
      </w:pPr>
    </w:p>
    <w:p>
      <w:pPr>
        <w:ind w:left="760" w:right="820"/>
        <w:spacing w:after="0" w:line="235" w:lineRule="auto"/>
        <w:rPr>
          <w:sz w:val="20"/>
          <w:szCs w:val="20"/>
          <w:color w:val="auto"/>
        </w:rPr>
      </w:pPr>
      <w:r>
        <w:rPr>
          <w:rFonts w:ascii="Arial" w:cs="Arial" w:eastAsia="Arial" w:hAnsi="Arial"/>
          <w:sz w:val="18"/>
          <w:szCs w:val="18"/>
          <w:color w:val="auto"/>
        </w:rPr>
        <w:t>The amount of the variable incentive compensation award can be paid in a mixture of cash and/or equity, as determined by the Compensation Committee each year. This provides the Compensation Committee with more flexibility, under differing market and financial conditions and depending upon the strategic direction of the firm, to easily vary the mix of compensation without the need to focus on the form (cash or stock) but rather the value being delivered coupled with the proper incentives for our named executive officers to create short- and long-term stockholder value. Generally, the mixture of cash and equity-based compensation is determined by the aggregate variable incentive compensation payable for the applicable year. For each of Messrs. Cifu, Fairclough, Molluso and Cavoli, the mixture of cash and equity for 2020 variable incentive compensation was approximately 50% paid in cash, 20% paid in fully vested common stock and the 30% paid in the form of restricted stock units that vest ratably over a three-year period. For Mr. Galvin, 100% of his 2020 variable incentive compensation was paid in cash. We use awards of fully vested common stock and restricted stock units as a long-term incentive vehicle because it aligns the interests of executives with those of stockholders, supports a pay-for-performance culture, fosters employee stock ownership, and focuses the management team on increasing value for the stockholders and on the organization’s long-term performance.</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year 2020, in accordance with the terms of his employment agreement, Mr. Cifu was eligible to earn an</w:t>
      </w:r>
    </w:p>
    <w:p>
      <w:pPr>
        <w:ind w:left="760"/>
        <w:spacing w:after="0" w:line="234" w:lineRule="auto"/>
        <w:rPr>
          <w:sz w:val="20"/>
          <w:szCs w:val="20"/>
          <w:color w:val="auto"/>
        </w:rPr>
      </w:pPr>
      <w:r>
        <w:rPr>
          <w:rFonts w:ascii="Arial" w:cs="Arial" w:eastAsia="Arial" w:hAnsi="Arial"/>
          <w:sz w:val="18"/>
          <w:szCs w:val="18"/>
          <w:color w:val="auto"/>
        </w:rPr>
        <w:t>annual bonus with a target bonus opportunity equal to $2,500,000 and a maximum bonus opportunity equal to</w:t>
      </w:r>
    </w:p>
    <w:p>
      <w:pPr>
        <w:ind w:left="760"/>
        <w:spacing w:after="0" w:line="235" w:lineRule="auto"/>
        <w:rPr>
          <w:sz w:val="20"/>
          <w:szCs w:val="20"/>
          <w:color w:val="auto"/>
        </w:rPr>
      </w:pPr>
      <w:r>
        <w:rPr>
          <w:rFonts w:ascii="Arial" w:cs="Arial" w:eastAsia="Arial" w:hAnsi="Arial"/>
          <w:sz w:val="18"/>
          <w:szCs w:val="18"/>
          <w:color w:val="auto"/>
        </w:rPr>
        <w:t>$5,000,000. Eighty percent (80%) of the annual bonus was based on the achievement of select quantitative goals</w:t>
      </w:r>
    </w:p>
    <w:p>
      <w:pPr>
        <w:ind w:left="760"/>
        <w:spacing w:after="0" w:line="235" w:lineRule="auto"/>
        <w:rPr>
          <w:sz w:val="20"/>
          <w:szCs w:val="20"/>
          <w:color w:val="auto"/>
        </w:rPr>
      </w:pPr>
      <w:r>
        <w:rPr>
          <w:rFonts w:ascii="Arial" w:cs="Arial" w:eastAsia="Arial" w:hAnsi="Arial"/>
          <w:sz w:val="18"/>
          <w:szCs w:val="18"/>
          <w:color w:val="auto"/>
        </w:rPr>
        <w:t>as determined by the board of directors and the Compensation Committee and 20% of the annual bonus was based</w:t>
      </w:r>
    </w:p>
    <w:p>
      <w:pPr>
        <w:ind w:left="760"/>
        <w:spacing w:after="0" w:line="235" w:lineRule="auto"/>
        <w:rPr>
          <w:sz w:val="20"/>
          <w:szCs w:val="20"/>
          <w:color w:val="auto"/>
        </w:rPr>
      </w:pPr>
      <w:r>
        <w:rPr>
          <w:rFonts w:ascii="Arial" w:cs="Arial" w:eastAsia="Arial" w:hAnsi="Arial"/>
          <w:sz w:val="18"/>
          <w:szCs w:val="18"/>
          <w:color w:val="auto"/>
        </w:rPr>
        <w:t>on the achievement of qualitative goals and metrics, including leadership through the COVID-19 pandemic and</w:t>
      </w:r>
    </w:p>
    <w:p>
      <w:pPr>
        <w:ind w:left="760"/>
        <w:spacing w:after="0" w:line="235" w:lineRule="auto"/>
        <w:rPr>
          <w:sz w:val="20"/>
          <w:szCs w:val="20"/>
          <w:color w:val="auto"/>
        </w:rPr>
      </w:pPr>
      <w:r>
        <w:rPr>
          <w:rFonts w:ascii="Arial" w:cs="Arial" w:eastAsia="Arial" w:hAnsi="Arial"/>
          <w:sz w:val="18"/>
          <w:szCs w:val="18"/>
          <w:color w:val="auto"/>
        </w:rPr>
        <w:t>successful deployment of a business continuity plan. For fiscal year 2020, the threshold to earn the target</w:t>
      </w:r>
    </w:p>
    <w:p>
      <w:pPr>
        <w:ind w:left="760"/>
        <w:spacing w:after="0" w:line="234" w:lineRule="auto"/>
        <w:rPr>
          <w:sz w:val="20"/>
          <w:szCs w:val="20"/>
          <w:color w:val="auto"/>
        </w:rPr>
      </w:pPr>
      <w:r>
        <w:rPr>
          <w:rFonts w:ascii="Arial" w:cs="Arial" w:eastAsia="Arial" w:hAnsi="Arial"/>
          <w:sz w:val="18"/>
          <w:szCs w:val="18"/>
          <w:color w:val="auto"/>
        </w:rPr>
        <w:t>performance-based portion of the annual bonus was achievement of budgeted adjusted net trading income of</w:t>
      </w:r>
    </w:p>
    <w:p>
      <w:pPr>
        <w:ind w:left="760"/>
        <w:spacing w:after="0" w:line="235" w:lineRule="auto"/>
        <w:rPr>
          <w:sz w:val="20"/>
          <w:szCs w:val="20"/>
          <w:color w:val="auto"/>
        </w:rPr>
      </w:pPr>
      <w:r>
        <w:rPr>
          <w:rFonts w:ascii="Arial" w:cs="Arial" w:eastAsia="Arial" w:hAnsi="Arial"/>
          <w:sz w:val="18"/>
          <w:szCs w:val="18"/>
          <w:color w:val="auto"/>
        </w:rPr>
        <w:t>$1,110 million and budgeted adjusted EBITDA of $574 million. Based on the Company’s actual performance of</w:t>
      </w:r>
    </w:p>
    <w:p>
      <w:pPr>
        <w:ind w:left="760"/>
        <w:spacing w:after="0" w:line="235" w:lineRule="auto"/>
        <w:rPr>
          <w:sz w:val="20"/>
          <w:szCs w:val="20"/>
          <w:color w:val="auto"/>
        </w:rPr>
      </w:pPr>
      <w:r>
        <w:rPr>
          <w:rFonts w:ascii="Arial" w:cs="Arial" w:eastAsia="Arial" w:hAnsi="Arial"/>
          <w:sz w:val="18"/>
          <w:szCs w:val="18"/>
          <w:color w:val="auto"/>
        </w:rPr>
        <w:t>$2,271 million of adjusted net trading income and $1,684 million of adjusted EBITDA, Mr. Cifu earned 100% (</w:t>
      </w:r>
      <w:r>
        <w:rPr>
          <w:rFonts w:ascii="Arial" w:cs="Arial" w:eastAsia="Arial" w:hAnsi="Arial"/>
          <w:sz w:val="18"/>
          <w:szCs w:val="18"/>
          <w:i w:val="1"/>
          <w:iCs w:val="1"/>
          <w:color w:val="auto"/>
        </w:rPr>
        <w:t>i.e.</w:t>
      </w:r>
      <w:r>
        <w:rPr>
          <w:rFonts w:ascii="Arial" w:cs="Arial" w:eastAsia="Arial" w:hAnsi="Arial"/>
          <w:sz w:val="18"/>
          <w:szCs w:val="18"/>
          <w:color w:val="auto"/>
        </w:rPr>
        <w:t>,</w:t>
      </w:r>
    </w:p>
    <w:p>
      <w:pPr>
        <w:ind w:left="760"/>
        <w:spacing w:after="0" w:line="235" w:lineRule="auto"/>
        <w:rPr>
          <w:sz w:val="20"/>
          <w:szCs w:val="20"/>
          <w:color w:val="auto"/>
        </w:rPr>
      </w:pPr>
      <w:r>
        <w:rPr>
          <w:rFonts w:ascii="Arial" w:cs="Arial" w:eastAsia="Arial" w:hAnsi="Arial"/>
          <w:sz w:val="18"/>
          <w:szCs w:val="18"/>
          <w:color w:val="auto"/>
        </w:rPr>
        <w:t>$4,000,000) of the performance-based portion of his annual bonus, and the Compensation Committee determined</w:t>
      </w:r>
    </w:p>
    <w:p>
      <w:pPr>
        <w:ind w:left="760"/>
        <w:spacing w:after="0"/>
        <w:rPr>
          <w:sz w:val="20"/>
          <w:szCs w:val="20"/>
          <w:color w:val="auto"/>
        </w:rPr>
      </w:pPr>
      <w:r>
        <w:rPr>
          <w:rFonts w:ascii="Arial" w:cs="Arial" w:eastAsia="Arial" w:hAnsi="Arial"/>
          <w:sz w:val="18"/>
          <w:szCs w:val="18"/>
          <w:color w:val="auto"/>
        </w:rPr>
        <w:t>that Mr. Cifu earned 100% (</w:t>
      </w:r>
      <w:r>
        <w:rPr>
          <w:rFonts w:ascii="Arial" w:cs="Arial" w:eastAsia="Arial" w:hAnsi="Arial"/>
          <w:sz w:val="18"/>
          <w:szCs w:val="18"/>
          <w:i w:val="1"/>
          <w:iCs w:val="1"/>
          <w:color w:val="auto"/>
        </w:rPr>
        <w:t>i.e.</w:t>
      </w:r>
      <w:r>
        <w:rPr>
          <w:rFonts w:ascii="Arial" w:cs="Arial" w:eastAsia="Arial" w:hAnsi="Arial"/>
          <w:sz w:val="18"/>
          <w:szCs w:val="18"/>
          <w:color w:val="auto"/>
        </w:rPr>
        <w:t>, $1,000,000) of the qualitative portion of his annual bonus.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amounts paid to Messrs. Cavoli and Fairclough were also determined in accordance with the terms of their</w:t>
      </w:r>
    </w:p>
    <w:p>
      <w:pPr>
        <w:ind w:left="760"/>
        <w:spacing w:after="0" w:line="234" w:lineRule="auto"/>
        <w:rPr>
          <w:sz w:val="20"/>
          <w:szCs w:val="20"/>
          <w:color w:val="auto"/>
        </w:rPr>
      </w:pPr>
      <w:r>
        <w:rPr>
          <w:rFonts w:ascii="Arial" w:cs="Arial" w:eastAsia="Arial" w:hAnsi="Arial"/>
          <w:sz w:val="18"/>
          <w:szCs w:val="18"/>
          <w:color w:val="auto"/>
        </w:rPr>
        <w:t>respective employment agreements, which provide for a target bonus opportunity equal to $1,500,000 and a</w:t>
      </w:r>
    </w:p>
    <w:p>
      <w:pPr>
        <w:ind w:left="760"/>
        <w:spacing w:after="0" w:line="235" w:lineRule="auto"/>
        <w:rPr>
          <w:sz w:val="20"/>
          <w:szCs w:val="20"/>
          <w:color w:val="auto"/>
        </w:rPr>
      </w:pPr>
      <w:r>
        <w:rPr>
          <w:rFonts w:ascii="Arial" w:cs="Arial" w:eastAsia="Arial" w:hAnsi="Arial"/>
          <w:sz w:val="18"/>
          <w:szCs w:val="18"/>
          <w:color w:val="auto"/>
        </w:rPr>
        <w:t>maximum bonus opportunity equal to $2,500,000. Eighty percent (80%) of the annual bonus was based on the</w:t>
      </w:r>
    </w:p>
    <w:p>
      <w:pPr>
        <w:ind w:left="760"/>
        <w:spacing w:after="0" w:line="235" w:lineRule="auto"/>
        <w:rPr>
          <w:sz w:val="20"/>
          <w:szCs w:val="20"/>
          <w:color w:val="auto"/>
        </w:rPr>
      </w:pPr>
      <w:r>
        <w:rPr>
          <w:rFonts w:ascii="Arial" w:cs="Arial" w:eastAsia="Arial" w:hAnsi="Arial"/>
          <w:sz w:val="18"/>
          <w:szCs w:val="18"/>
          <w:color w:val="auto"/>
        </w:rPr>
        <w:t>achievement of select quantitative goals based on the Company’s adjusted net trading income and adjusted</w:t>
      </w:r>
    </w:p>
    <w:p>
      <w:pPr>
        <w:ind w:left="760"/>
        <w:spacing w:after="0" w:line="235" w:lineRule="auto"/>
        <w:rPr>
          <w:sz w:val="20"/>
          <w:szCs w:val="20"/>
          <w:color w:val="auto"/>
        </w:rPr>
      </w:pPr>
      <w:r>
        <w:rPr>
          <w:rFonts w:ascii="Arial" w:cs="Arial" w:eastAsia="Arial" w:hAnsi="Arial"/>
          <w:sz w:val="18"/>
          <w:szCs w:val="18"/>
          <w:color w:val="auto"/>
        </w:rPr>
        <w:t>EBITDA as compared to budgeted amounts in fiscal year 2020 and 20% of the annual bonus was based on the</w:t>
      </w:r>
    </w:p>
    <w:p>
      <w:pPr>
        <w:ind w:left="760"/>
        <w:spacing w:after="0" w:line="235" w:lineRule="auto"/>
        <w:rPr>
          <w:sz w:val="20"/>
          <w:szCs w:val="20"/>
          <w:color w:val="auto"/>
        </w:rPr>
      </w:pPr>
      <w:r>
        <w:rPr>
          <w:rFonts w:ascii="Arial" w:cs="Arial" w:eastAsia="Arial" w:hAnsi="Arial"/>
          <w:sz w:val="18"/>
          <w:szCs w:val="18"/>
          <w:color w:val="auto"/>
        </w:rPr>
        <w:t>achievement of qualitative goals and metrics determined with the CEO. For fiscal year 2020, the threshold to earn</w:t>
      </w:r>
    </w:p>
    <w:p>
      <w:pPr>
        <w:ind w:left="760"/>
        <w:spacing w:after="0" w:line="234" w:lineRule="auto"/>
        <w:rPr>
          <w:sz w:val="20"/>
          <w:szCs w:val="20"/>
          <w:color w:val="auto"/>
        </w:rPr>
      </w:pPr>
      <w:r>
        <w:rPr>
          <w:rFonts w:ascii="Arial" w:cs="Arial" w:eastAsia="Arial" w:hAnsi="Arial"/>
          <w:sz w:val="18"/>
          <w:szCs w:val="18"/>
          <w:color w:val="auto"/>
        </w:rPr>
        <w:t>the target performance-based portion of the annual bonus was achievement of budgeted adjusted net trading</w:t>
      </w:r>
    </w:p>
    <w:p>
      <w:pPr>
        <w:ind w:left="760"/>
        <w:spacing w:after="0" w:line="235" w:lineRule="auto"/>
        <w:rPr>
          <w:sz w:val="20"/>
          <w:szCs w:val="20"/>
          <w:color w:val="auto"/>
        </w:rPr>
      </w:pPr>
      <w:r>
        <w:rPr>
          <w:rFonts w:ascii="Arial" w:cs="Arial" w:eastAsia="Arial" w:hAnsi="Arial"/>
          <w:sz w:val="18"/>
          <w:szCs w:val="18"/>
          <w:color w:val="auto"/>
        </w:rPr>
        <w:t>income of $1,110 million and adjusted EBITDA of $574 million. Based on the Company’s actual performance of</w:t>
      </w:r>
    </w:p>
    <w:p>
      <w:pPr>
        <w:ind w:left="760"/>
        <w:spacing w:after="0" w:line="235" w:lineRule="auto"/>
        <w:rPr>
          <w:sz w:val="20"/>
          <w:szCs w:val="20"/>
          <w:color w:val="auto"/>
        </w:rPr>
      </w:pPr>
      <w:r>
        <w:rPr>
          <w:rFonts w:ascii="Arial" w:cs="Arial" w:eastAsia="Arial" w:hAnsi="Arial"/>
          <w:sz w:val="18"/>
          <w:szCs w:val="18"/>
          <w:color w:val="auto"/>
        </w:rPr>
        <w:t>$2,271 million of adjusted net trading income and $1,684 million of adjusted EBITDA, Messrs. Cavoli and Fairclough</w:t>
      </w:r>
    </w:p>
    <w:p>
      <w:pPr>
        <w:ind w:left="760"/>
        <w:spacing w:after="0" w:line="235" w:lineRule="auto"/>
        <w:rPr>
          <w:sz w:val="20"/>
          <w:szCs w:val="20"/>
          <w:color w:val="auto"/>
        </w:rPr>
      </w:pPr>
      <w:r>
        <w:rPr>
          <w:rFonts w:ascii="Arial" w:cs="Arial" w:eastAsia="Arial" w:hAnsi="Arial"/>
          <w:sz w:val="18"/>
          <w:szCs w:val="18"/>
          <w:color w:val="auto"/>
        </w:rPr>
        <w:t>earned 100% (</w:t>
      </w:r>
      <w:r>
        <w:rPr>
          <w:rFonts w:ascii="Arial" w:cs="Arial" w:eastAsia="Arial" w:hAnsi="Arial"/>
          <w:sz w:val="18"/>
          <w:szCs w:val="18"/>
          <w:i w:val="1"/>
          <w:iCs w:val="1"/>
          <w:color w:val="auto"/>
        </w:rPr>
        <w:t>i.e.</w:t>
      </w:r>
      <w:r>
        <w:rPr>
          <w:rFonts w:ascii="Arial" w:cs="Arial" w:eastAsia="Arial" w:hAnsi="Arial"/>
          <w:sz w:val="18"/>
          <w:szCs w:val="18"/>
          <w:color w:val="auto"/>
        </w:rPr>
        <w:t>, $2,000,000) of the performance-based portion of his annual bonus, and the CEO together with</w:t>
      </w:r>
    </w:p>
    <w:p>
      <w:pPr>
        <w:ind w:left="760"/>
        <w:spacing w:after="0" w:line="235" w:lineRule="auto"/>
        <w:rPr>
          <w:sz w:val="20"/>
          <w:szCs w:val="20"/>
          <w:color w:val="auto"/>
        </w:rPr>
      </w:pPr>
      <w:r>
        <w:rPr>
          <w:rFonts w:ascii="Arial" w:cs="Arial" w:eastAsia="Arial" w:hAnsi="Arial"/>
          <w:sz w:val="18"/>
          <w:szCs w:val="18"/>
          <w:color w:val="auto"/>
        </w:rPr>
        <w:t>the Compensation Committee, determined that each executive earned 100% (</w:t>
      </w:r>
      <w:r>
        <w:rPr>
          <w:rFonts w:ascii="Arial" w:cs="Arial" w:eastAsia="Arial" w:hAnsi="Arial"/>
          <w:sz w:val="18"/>
          <w:szCs w:val="18"/>
          <w:i w:val="1"/>
          <w:iCs w:val="1"/>
          <w:color w:val="auto"/>
        </w:rPr>
        <w:t>i.e.</w:t>
      </w:r>
      <w:r>
        <w:rPr>
          <w:rFonts w:ascii="Arial" w:cs="Arial" w:eastAsia="Arial" w:hAnsi="Arial"/>
          <w:sz w:val="18"/>
          <w:szCs w:val="18"/>
          <w:color w:val="auto"/>
        </w:rPr>
        <w:t>, $500,000) of the qualitative</w:t>
      </w:r>
    </w:p>
    <w:p>
      <w:pPr>
        <w:ind w:left="760"/>
        <w:spacing w:after="0" w:line="234" w:lineRule="auto"/>
        <w:rPr>
          <w:sz w:val="20"/>
          <w:szCs w:val="20"/>
          <w:color w:val="auto"/>
        </w:rPr>
      </w:pPr>
      <w:r>
        <w:rPr>
          <w:rFonts w:ascii="Arial" w:cs="Arial" w:eastAsia="Arial" w:hAnsi="Arial"/>
          <w:sz w:val="18"/>
          <w:szCs w:val="18"/>
          <w:color w:val="auto"/>
        </w:rPr>
        <w:t>portion of his annual bonus. Mr. Galvin’s variable incentive compensation was determined by the CEO and the</w:t>
      </w:r>
    </w:p>
    <w:p>
      <w:pPr>
        <w:ind w:left="760"/>
        <w:spacing w:after="0" w:line="235" w:lineRule="auto"/>
        <w:rPr>
          <w:sz w:val="20"/>
          <w:szCs w:val="20"/>
          <w:color w:val="auto"/>
        </w:rPr>
      </w:pPr>
      <w:r>
        <w:rPr>
          <w:rFonts w:ascii="Arial" w:cs="Arial" w:eastAsia="Arial" w:hAnsi="Arial"/>
          <w:sz w:val="18"/>
          <w:szCs w:val="18"/>
          <w:color w:val="auto"/>
        </w:rPr>
        <w:t>Compensation Committee based on the Company’s financial performance as well as various other objectives and</w:t>
      </w:r>
    </w:p>
    <w:p>
      <w:pPr>
        <w:ind w:left="760"/>
        <w:spacing w:after="0" w:line="235" w:lineRule="auto"/>
        <w:rPr>
          <w:sz w:val="20"/>
          <w:szCs w:val="20"/>
          <w:color w:val="auto"/>
        </w:rPr>
      </w:pPr>
      <w:r>
        <w:rPr>
          <w:rFonts w:ascii="Arial" w:cs="Arial" w:eastAsia="Arial" w:hAnsi="Arial"/>
          <w:sz w:val="18"/>
          <w:szCs w:val="18"/>
          <w:color w:val="auto"/>
        </w:rPr>
        <w:t>metrics. Mr. Molluso’s incentive compensation for 2020 was contractually guaranteed. Accordingly, for fiscal year</w:t>
      </w:r>
    </w:p>
    <w:p>
      <w:pPr>
        <w:ind w:left="760"/>
        <w:spacing w:after="0" w:line="235" w:lineRule="auto"/>
        <w:rPr>
          <w:sz w:val="20"/>
          <w:szCs w:val="20"/>
          <w:color w:val="auto"/>
        </w:rPr>
      </w:pPr>
      <w:r>
        <w:rPr>
          <w:rFonts w:ascii="Arial" w:cs="Arial" w:eastAsia="Arial" w:hAnsi="Arial"/>
          <w:sz w:val="18"/>
          <w:szCs w:val="18"/>
          <w:color w:val="auto"/>
        </w:rPr>
        <w:t>2020, the amount of variable incentive compensation form of payments to our named executive officers is described</w:t>
      </w:r>
    </w:p>
    <w:p>
      <w:pPr>
        <w:ind w:left="760"/>
        <w:spacing w:after="0"/>
        <w:rPr>
          <w:sz w:val="20"/>
          <w:szCs w:val="20"/>
          <w:color w:val="auto"/>
        </w:rPr>
      </w:pPr>
      <w:r>
        <w:rPr>
          <w:rFonts w:ascii="Arial" w:cs="Arial" w:eastAsia="Arial" w:hAnsi="Arial"/>
          <w:sz w:val="18"/>
          <w:szCs w:val="18"/>
          <w:color w:val="auto"/>
        </w:rPr>
        <w:t>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002554"/>
                <w:w w:val="99"/>
              </w:rPr>
              <w:t>Total 2020</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002554"/>
              </w:rPr>
              <w:t>Restricted</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2"/>
          </w:tcPr>
          <w:p>
            <w:pPr>
              <w:jc w:val="center"/>
              <w:ind w:right="1640"/>
              <w:spacing w:after="0" w:line="135" w:lineRule="exact"/>
              <w:rPr>
                <w:sz w:val="20"/>
                <w:szCs w:val="20"/>
                <w:color w:val="auto"/>
              </w:rPr>
            </w:pPr>
            <w:r>
              <w:rPr>
                <w:rFonts w:ascii="Arial" w:cs="Arial" w:eastAsia="Arial" w:hAnsi="Arial"/>
                <w:sz w:val="14"/>
                <w:szCs w:val="14"/>
                <w:b w:val="1"/>
                <w:bCs w:val="1"/>
                <w:color w:val="002554"/>
              </w:rPr>
              <w:t>Variable</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002554"/>
              </w:rPr>
              <w:t>Name</w:t>
            </w:r>
          </w:p>
        </w:tc>
        <w:tc>
          <w:tcPr>
            <w:tcW w:w="520" w:type="dxa"/>
            <w:vAlign w:val="bottom"/>
          </w:tcPr>
          <w:p>
            <w:pPr>
              <w:spacing w:after="0"/>
              <w:rPr>
                <w:sz w:val="11"/>
                <w:szCs w:val="11"/>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002554"/>
              </w:rPr>
              <w:t>Cash</w:t>
            </w:r>
          </w:p>
        </w:tc>
        <w:tc>
          <w:tcPr>
            <w:tcW w:w="1160" w:type="dxa"/>
            <w:vAlign w:val="bottom"/>
            <w:gridSpan w:val="2"/>
            <w:vMerge w:val="continue"/>
          </w:tcPr>
          <w:p>
            <w:pPr>
              <w:spacing w:after="0"/>
              <w:rPr>
                <w:sz w:val="11"/>
                <w:szCs w:val="11"/>
                <w:color w:val="auto"/>
              </w:rPr>
            </w:pP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002554"/>
              </w:rPr>
              <w:t>Common Stock</w:t>
            </w:r>
          </w:p>
        </w:tc>
        <w:tc>
          <w:tcPr>
            <w:tcW w:w="280" w:type="dxa"/>
            <w:vAlign w:val="bottom"/>
          </w:tcPr>
          <w:p>
            <w:pPr>
              <w:spacing w:after="0"/>
              <w:rPr>
                <w:sz w:val="11"/>
                <w:szCs w:val="11"/>
                <w:color w:val="auto"/>
              </w:rPr>
            </w:pPr>
          </w:p>
        </w:tc>
        <w:tc>
          <w:tcPr>
            <w:tcW w:w="2280" w:type="dxa"/>
            <w:vAlign w:val="bottom"/>
            <w:gridSpan w:val="2"/>
          </w:tcPr>
          <w:p>
            <w:pPr>
              <w:jc w:val="center"/>
              <w:ind w:right="1620"/>
              <w:spacing w:after="0" w:line="135" w:lineRule="exact"/>
              <w:rPr>
                <w:sz w:val="20"/>
                <w:szCs w:val="20"/>
                <w:color w:val="auto"/>
              </w:rPr>
            </w:pPr>
            <w:r>
              <w:rPr>
                <w:rFonts w:ascii="Arial" w:cs="Arial" w:eastAsia="Arial" w:hAnsi="Arial"/>
                <w:sz w:val="14"/>
                <w:szCs w:val="14"/>
                <w:b w:val="1"/>
                <w:bCs w:val="1"/>
                <w:color w:val="002554"/>
              </w:rPr>
              <w:t>Incentive</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002554"/>
              </w:rPr>
              <w:t>Stock Units</w:t>
            </w:r>
          </w:p>
        </w:tc>
        <w:tc>
          <w:tcPr>
            <w:tcW w:w="1280" w:type="dxa"/>
            <w:vAlign w:val="bottom"/>
            <w:gridSpan w:val="2"/>
            <w:vMerge w:val="continue"/>
          </w:tcPr>
          <w:p>
            <w:pPr>
              <w:spacing w:after="0"/>
              <w:rPr>
                <w:sz w:val="16"/>
                <w:szCs w:val="16"/>
                <w:color w:val="auto"/>
              </w:rPr>
            </w:pPr>
          </w:p>
        </w:tc>
        <w:tc>
          <w:tcPr>
            <w:tcW w:w="25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002554"/>
              </w:rPr>
              <w:t>Compensation</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2880" w:type="dxa"/>
            <w:vAlign w:val="bottom"/>
            <w:tcBorders>
              <w:top w:val="single" w:sz="8" w:color="00C389"/>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Douglas A. Cifu</w:t>
            </w:r>
          </w:p>
        </w:tc>
        <w:tc>
          <w:tcPr>
            <w:tcW w:w="52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00C389"/>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2,500,000</w:t>
            </w:r>
          </w:p>
        </w:tc>
        <w:tc>
          <w:tcPr>
            <w:tcW w:w="24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00C389"/>
              <w:bottom w:val="single" w:sz="8" w:color="00C389"/>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1,500,000</w:t>
            </w:r>
          </w:p>
        </w:tc>
        <w:tc>
          <w:tcPr>
            <w:tcW w:w="28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389"/>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1,000,000</w:t>
            </w:r>
          </w:p>
        </w:tc>
        <w:tc>
          <w:tcPr>
            <w:tcW w:w="28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Joseph Molluso(1)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2880" w:type="dxa"/>
            <w:vAlign w:val="bottom"/>
            <w:tcBorders>
              <w:top w:val="single" w:sz="8" w:color="00C389"/>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Brett Fairclough</w:t>
            </w:r>
          </w:p>
        </w:tc>
        <w:tc>
          <w:tcPr>
            <w:tcW w:w="52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00C389"/>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1,325,000</w:t>
            </w:r>
          </w:p>
        </w:tc>
        <w:tc>
          <w:tcPr>
            <w:tcW w:w="24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00C389"/>
              <w:bottom w:val="single" w:sz="8" w:color="00C389"/>
            </w:tcBorders>
            <w:shd w:val="clear" w:color="auto" w:fill="CCEEFF"/>
          </w:tcPr>
          <w:p>
            <w:pPr>
              <w:jc w:val="right"/>
              <w:ind w:right="30"/>
              <w:spacing w:after="0"/>
              <w:rPr>
                <w:sz w:val="20"/>
                <w:szCs w:val="20"/>
                <w:color w:val="auto"/>
              </w:rPr>
            </w:pPr>
            <w:r>
              <w:rPr>
                <w:rFonts w:ascii="Arial" w:cs="Arial" w:eastAsia="Arial" w:hAnsi="Arial"/>
                <w:sz w:val="18"/>
                <w:szCs w:val="18"/>
                <w:color w:val="auto"/>
              </w:rPr>
              <w:t>705,000</w:t>
            </w:r>
          </w:p>
        </w:tc>
        <w:tc>
          <w:tcPr>
            <w:tcW w:w="28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00C389"/>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470,000</w:t>
            </w:r>
          </w:p>
        </w:tc>
        <w:tc>
          <w:tcPr>
            <w:tcW w:w="28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00C389"/>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w w:val="97"/>
              </w:rPr>
              <w:t>2,500,000</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288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Stephen Cavoli</w:t>
            </w:r>
          </w:p>
        </w:tc>
        <w:tc>
          <w:tcPr>
            <w:tcW w:w="5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w w:val="97"/>
              </w:rPr>
              <w:t>1,325,000</w:t>
            </w:r>
          </w:p>
        </w:tc>
        <w:tc>
          <w:tcPr>
            <w:tcW w:w="2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tcPr>
          <w:p>
            <w:pPr>
              <w:jc w:val="right"/>
              <w:ind w:right="30"/>
              <w:spacing w:after="0"/>
              <w:rPr>
                <w:sz w:val="20"/>
                <w:szCs w:val="20"/>
                <w:color w:val="auto"/>
              </w:rPr>
            </w:pPr>
            <w:r>
              <w:rPr>
                <w:rFonts w:ascii="Arial" w:cs="Arial" w:eastAsia="Arial" w:hAnsi="Arial"/>
                <w:sz w:val="18"/>
                <w:szCs w:val="18"/>
                <w:color w:val="auto"/>
              </w:rPr>
              <w:t>705,000</w:t>
            </w:r>
          </w:p>
        </w:tc>
        <w:tc>
          <w:tcPr>
            <w:tcW w:w="2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470,000</w:t>
            </w:r>
          </w:p>
        </w:tc>
        <w:tc>
          <w:tcPr>
            <w:tcW w:w="2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w w:val="97"/>
              </w:rPr>
              <w:t>2,500,000</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2880" w:type="dxa"/>
            <w:vAlign w:val="bottom"/>
            <w:tcBorders>
              <w:bottom w:val="single" w:sz="8" w:color="00C389"/>
            </w:tcBorders>
            <w:shd w:val="clear" w:color="auto" w:fill="CCEEFF"/>
          </w:tcPr>
          <w:p>
            <w:pPr>
              <w:ind w:left="20"/>
              <w:spacing w:after="0"/>
              <w:rPr>
                <w:sz w:val="20"/>
                <w:szCs w:val="20"/>
                <w:color w:val="auto"/>
              </w:rPr>
            </w:pPr>
            <w:r>
              <w:rPr>
                <w:rFonts w:ascii="Arial" w:cs="Arial" w:eastAsia="Arial" w:hAnsi="Arial"/>
                <w:sz w:val="18"/>
                <w:szCs w:val="18"/>
                <w:color w:val="auto"/>
              </w:rPr>
              <w:t>Sean Galvin</w:t>
            </w:r>
          </w:p>
        </w:tc>
        <w:tc>
          <w:tcPr>
            <w:tcW w:w="5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450,000</w:t>
            </w:r>
          </w:p>
        </w:tc>
        <w:tc>
          <w:tcPr>
            <w:tcW w:w="24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C389"/>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2880" w:type="dxa"/>
            <w:vAlign w:val="bottom"/>
            <w:tcBorders>
              <w:bottom w:val="single" w:sz="8" w:color="00C389"/>
            </w:tcBorders>
          </w:tcPr>
          <w:p>
            <w:pPr>
              <w:ind w:left="20"/>
              <w:spacing w:after="0"/>
              <w:rPr>
                <w:sz w:val="20"/>
                <w:szCs w:val="20"/>
                <w:color w:val="auto"/>
              </w:rPr>
            </w:pPr>
            <w:r>
              <w:rPr>
                <w:rFonts w:ascii="Arial" w:cs="Arial" w:eastAsia="Arial" w:hAnsi="Arial"/>
                <w:sz w:val="18"/>
                <w:szCs w:val="18"/>
                <w:color w:val="auto"/>
              </w:rPr>
              <w:t>Alexander M. Ioffe</w:t>
            </w:r>
          </w:p>
        </w:tc>
        <w:tc>
          <w:tcPr>
            <w:tcW w:w="5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0C389"/>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0C389"/>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4"/>
                <w:szCs w:val="24"/>
                <w:color w:val="auto"/>
              </w:rPr>
            </w:pPr>
          </w:p>
        </w:tc>
        <w:tc>
          <w:tcPr>
            <w:tcW w:w="2880" w:type="dxa"/>
            <w:vAlign w:val="bottom"/>
          </w:tcPr>
          <w:p>
            <w:pPr>
              <w:ind w:left="700"/>
              <w:spacing w:after="0"/>
              <w:rPr>
                <w:sz w:val="20"/>
                <w:szCs w:val="20"/>
                <w:color w:val="auto"/>
              </w:rPr>
            </w:pPr>
            <w:r>
              <w:rPr>
                <w:rFonts w:ascii="Arial" w:cs="Arial" w:eastAsia="Arial" w:hAnsi="Arial"/>
                <w:sz w:val="18"/>
                <w:szCs w:val="18"/>
                <w:color w:val="auto"/>
              </w:rPr>
              <w:t>2021 Proxy Statement</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2"/>
          </w:tcPr>
          <w:p>
            <w:pPr>
              <w:jc w:val="right"/>
              <w:ind w:right="7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561"/>
        </w:trPr>
        <w:tc>
          <w:tcPr>
            <w:tcW w:w="14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-608330</wp:posOffset>
            </wp:positionV>
            <wp:extent cx="75438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1620" w:right="140" w:hanging="210"/>
        <w:spacing w:after="0" w:line="270"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fiscal year 2020, pursuant to the terms of his employment agreement, Mr. Molluso received a guaranteed annual bonus in the amount of $2,500,000, 50% of which was paid in cash, 30% of which was paid in restricted stock units that vest in three equal annual installments and 20% of which was paid in fully vested common stock.</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Cifu Equity Award</w:t>
      </w:r>
    </w:p>
    <w:p>
      <w:pPr>
        <w:spacing w:after="0" w:line="139" w:lineRule="exact"/>
        <w:rPr>
          <w:sz w:val="20"/>
          <w:szCs w:val="20"/>
          <w:color w:val="auto"/>
        </w:rPr>
      </w:pPr>
    </w:p>
    <w:p>
      <w:pPr>
        <w:ind w:left="760"/>
        <w:spacing w:after="0" w:line="251" w:lineRule="auto"/>
        <w:rPr>
          <w:sz w:val="20"/>
          <w:szCs w:val="20"/>
          <w:color w:val="auto"/>
        </w:rPr>
      </w:pPr>
      <w:r>
        <w:rPr>
          <w:rFonts w:ascii="Arial" w:cs="Arial" w:eastAsia="Arial" w:hAnsi="Arial"/>
          <w:sz w:val="18"/>
          <w:szCs w:val="18"/>
          <w:color w:val="auto"/>
        </w:rPr>
        <w:t>In fiscal year 2020, in accordance with the terms of his employment agreement, Mr. Cifu received a grant of 150,000 restricted shares of Class A common stock that are earned based on the percentage of budgeted adjusted EBITDA achieved in fiscal year 2020: 50% of the shares are earned if 70% of budgeted adjusted EBITDA is achieved and 100% of the shares are earned if 75% of budgeted adjusted EBITDA is achieved. For fiscal year 2020, our budgeted adjusted EBITDA goal was $574 million and we achieved over 100% of such amount. Accordingly, all of the restricted shares granted to Mr. Cifu in fiscal year 2020 were earned, with half of the shares vesting as of December 31, 2020 and the remainder to vest as of December 31, 2021. Also in connection with fiscal year 2020, Mr. Cifu received a special grant of 125,000 shares of Class A common stock in recognition of the Company’s exceptional performance during fiscal year 2020 in a uniquely challenging global environment.</w:t>
      </w:r>
    </w:p>
    <w:p>
      <w:pPr>
        <w:spacing w:after="0" w:line="104" w:lineRule="exact"/>
        <w:rPr>
          <w:sz w:val="20"/>
          <w:szCs w:val="20"/>
          <w:color w:val="auto"/>
        </w:rPr>
      </w:pPr>
    </w:p>
    <w:p>
      <w:pPr>
        <w:ind w:left="760" w:right="500"/>
        <w:spacing w:after="0" w:line="261" w:lineRule="auto"/>
        <w:rPr>
          <w:sz w:val="20"/>
          <w:szCs w:val="20"/>
          <w:color w:val="auto"/>
        </w:rPr>
      </w:pPr>
      <w:r>
        <w:rPr>
          <w:rFonts w:ascii="Arial" w:cs="Arial" w:eastAsia="Arial" w:hAnsi="Arial"/>
          <w:sz w:val="18"/>
          <w:szCs w:val="18"/>
          <w:color w:val="auto"/>
        </w:rPr>
        <w:t>The Compensation Committee believes these awards incentivize Mr. Cifu to achieve key financial goals of the Company and aligns his long-term interests with those of our stockholders.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Molluso Equity Awards</w:t>
      </w:r>
    </w:p>
    <w:p>
      <w:pPr>
        <w:spacing w:after="0" w:line="139"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In fiscal year 2020, as a sign-on incentive and to compensate for forfeited equity interests from his prior employer, and in accordance with the terms of his employment agreement, Mr. Molluso received a grant of 200,000 RSUs vesting in three equal annual installments on January 24, 2021, January 24, 2022 and January 24, 2023. The Compensation Committee believes this award incentivized Mr. Molluso’s return to the Company and aligns Mr. Molluso’s long-term interests with those of our stockholders.</w:t>
      </w:r>
    </w:p>
    <w:p>
      <w:pPr>
        <w:spacing w:after="0" w:line="97" w:lineRule="exact"/>
        <w:rPr>
          <w:sz w:val="20"/>
          <w:szCs w:val="20"/>
          <w:color w:val="auto"/>
        </w:rPr>
      </w:pPr>
    </w:p>
    <w:p>
      <w:pPr>
        <w:ind w:left="760" w:right="20"/>
        <w:spacing w:after="0" w:line="268" w:lineRule="auto"/>
        <w:rPr>
          <w:sz w:val="20"/>
          <w:szCs w:val="20"/>
          <w:color w:val="auto"/>
        </w:rPr>
      </w:pPr>
      <w:r>
        <w:rPr>
          <w:rFonts w:ascii="Arial" w:cs="Arial" w:eastAsia="Arial" w:hAnsi="Arial"/>
          <w:sz w:val="17"/>
          <w:szCs w:val="17"/>
          <w:color w:val="auto"/>
        </w:rPr>
        <w:t>In fiscal year 2020, in accordance with the terms of his employment agreement, Mr. Molluso also received a grant of 150,000 restricted shares of Class A common stock that are earned in three installments based on the percentage of budgeted adjusted EBITDA achieved in fiscal years 2020, 2021 and 2022: 50% of the shares are earned if 70% of budgeted adjusted EBITDA is achieved for a given year and 100% of the shares are earned if 75% of budgeted adjusted EBITDA is achieved for such year. For fiscal year 2020, our budgeted adjusted EBITDA was $574 million and we achieved over 100% of such amount. Accordingly, 50,000 of the restricted shares granted to Mr. Molluso in fiscal year 2020 were earned and vested as of December 31, 2020. For each of fiscal years 2021 and 2022, up to 50,000 restricted shares may be earned and vested, subject to the Company’s budgeted adjusted EBITDA achievement as described above. The Compensation Committee believes this award incentivizes Mr. Molluso to achieve key financial goals of the Company and aligns his long-term interests with those of our stockholders.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Fairclough Equity Award</w:t>
      </w:r>
    </w:p>
    <w:p>
      <w:pPr>
        <w:spacing w:after="0" w:line="139" w:lineRule="exact"/>
        <w:rPr>
          <w:sz w:val="20"/>
          <w:szCs w:val="20"/>
          <w:color w:val="auto"/>
        </w:rPr>
      </w:pPr>
    </w:p>
    <w:p>
      <w:pPr>
        <w:jc w:val="both"/>
        <w:ind w:left="760" w:right="160"/>
        <w:spacing w:after="0" w:line="265" w:lineRule="auto"/>
        <w:rPr>
          <w:sz w:val="20"/>
          <w:szCs w:val="20"/>
          <w:color w:val="auto"/>
        </w:rPr>
      </w:pPr>
      <w:r>
        <w:rPr>
          <w:rFonts w:ascii="Arial" w:cs="Arial" w:eastAsia="Arial" w:hAnsi="Arial"/>
          <w:sz w:val="17"/>
          <w:szCs w:val="17"/>
          <w:color w:val="auto"/>
        </w:rPr>
        <w:t>In fiscal year 2020, in accordance with the terms of his employment agreement, Mr. Fairclough received a grant of 150,000 restricted shares of Class A common stock that are earned in three installments based on the percentage of budgeted adjusted EBITDA achieved in fiscal years 2020, 2021 and 2022: 50% of the shares are earned if 70% of budgeted adjusted EBITDA is achieved for a given year and 100% of the shares are earned if 75% of budgeted adjusted EBITDA is achieved for such year. For fiscal year 2020, our budgeted adjusted EBITDA was $574 million and we achieved greater than 100% of such amount. Accordingly, 50,000 of the restricted shares granted to</w:t>
      </w:r>
    </w:p>
    <w:p>
      <w:pPr>
        <w:spacing w:after="0" w:line="1" w:lineRule="exact"/>
        <w:rPr>
          <w:sz w:val="20"/>
          <w:szCs w:val="20"/>
          <w:color w:val="auto"/>
        </w:rPr>
      </w:pPr>
    </w:p>
    <w:p>
      <w:pPr>
        <w:jc w:val="both"/>
        <w:ind w:left="760" w:right="120"/>
        <w:spacing w:after="0" w:line="265" w:lineRule="auto"/>
        <w:rPr>
          <w:sz w:val="20"/>
          <w:szCs w:val="20"/>
          <w:color w:val="auto"/>
        </w:rPr>
      </w:pPr>
      <w:r>
        <w:rPr>
          <w:rFonts w:ascii="Arial" w:cs="Arial" w:eastAsia="Arial" w:hAnsi="Arial"/>
          <w:sz w:val="17"/>
          <w:szCs w:val="17"/>
          <w:color w:val="auto"/>
        </w:rPr>
        <w:t>Mr. Fairclough in fiscal year 2020 were earned and vested as of December 31, 2020. For each of fiscal years 2021 and 2022, up to 50,000 restricted shares may be earned and vested, subject to the Company’s budgeted adjusted EBITDA achievement as described above. The Compensation Committee believes this award incentivizes</w:t>
      </w:r>
    </w:p>
    <w:p>
      <w:pPr>
        <w:ind w:left="760" w:right="320"/>
        <w:spacing w:after="0" w:line="261" w:lineRule="auto"/>
        <w:rPr>
          <w:sz w:val="20"/>
          <w:szCs w:val="20"/>
          <w:color w:val="auto"/>
        </w:rPr>
      </w:pPr>
      <w:r>
        <w:rPr>
          <w:rFonts w:ascii="Arial" w:cs="Arial" w:eastAsia="Arial" w:hAnsi="Arial"/>
          <w:sz w:val="18"/>
          <w:szCs w:val="18"/>
          <w:color w:val="auto"/>
        </w:rPr>
        <w:t>Mr. Fairclough to achieve key financial goals of the Company and aligns his long-term interests with those of our stockholders.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Galvin Equity Award</w:t>
      </w:r>
    </w:p>
    <w:p>
      <w:pPr>
        <w:spacing w:after="0" w:line="139" w:lineRule="exact"/>
        <w:rPr>
          <w:sz w:val="20"/>
          <w:szCs w:val="20"/>
          <w:color w:val="auto"/>
        </w:rPr>
      </w:pPr>
    </w:p>
    <w:p>
      <w:pPr>
        <w:ind w:left="760" w:right="120"/>
        <w:spacing w:after="0" w:line="254" w:lineRule="auto"/>
        <w:rPr>
          <w:sz w:val="20"/>
          <w:szCs w:val="20"/>
          <w:color w:val="auto"/>
        </w:rPr>
      </w:pPr>
      <w:r>
        <w:rPr>
          <w:rFonts w:ascii="Arial" w:cs="Arial" w:eastAsia="Arial" w:hAnsi="Arial"/>
          <w:sz w:val="18"/>
          <w:szCs w:val="18"/>
          <w:color w:val="auto"/>
        </w:rPr>
        <w:t>In fiscal year 2020, as a sign-on incentive and in accordance with the terms of his employment agreement, Mr. Galvin received a grant of 13,236 RSUs vesting in three equal annual installments on August 12, 2021, August 12, 2022, and August 12, 2023. The compensation Committee believes this award aligns Mr. Galvin’s long-term interests with those of our stockholders.</w:t>
      </w:r>
    </w:p>
    <w:p>
      <w:pPr>
        <w:spacing w:after="0" w:line="288"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754380"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Cavoli Equity Award</w:t>
      </w:r>
    </w:p>
    <w:p>
      <w:pPr>
        <w:spacing w:after="0" w:line="139" w:lineRule="exact"/>
        <w:rPr>
          <w:sz w:val="20"/>
          <w:szCs w:val="20"/>
          <w:color w:val="auto"/>
        </w:rPr>
      </w:pPr>
    </w:p>
    <w:p>
      <w:pPr>
        <w:ind w:left="760" w:right="940"/>
        <w:spacing w:after="0" w:line="248" w:lineRule="auto"/>
        <w:rPr>
          <w:sz w:val="20"/>
          <w:szCs w:val="20"/>
          <w:color w:val="auto"/>
        </w:rPr>
      </w:pPr>
      <w:r>
        <w:rPr>
          <w:rFonts w:ascii="Arial" w:cs="Arial" w:eastAsia="Arial" w:hAnsi="Arial"/>
          <w:sz w:val="17"/>
          <w:szCs w:val="17"/>
          <w:color w:val="auto"/>
        </w:rPr>
        <w:t>In fiscal year 2020, in accordance with the terms of his employment agreement, Mr. Cavoli received a grant of 150,000 restricted shares of Class A common stock that are earned in three installments based on the percentage of budgeted adjusted EBITDA achieved in fiscal years 2020, 2021 and 2022: 50% of the shares are earned if 70% of budgeted adjusted EBITDA is achieved for a given year and 100% of the shares are earned if 75% of budgeted adjusted EBITDA is achieved for such year. For fiscal year 2020, our budgeted adjusted EBITDA was $574 million and we achieved greater than 100% of such amount. Accordingly, 50,000 of the restricted shares granted to</w:t>
      </w:r>
    </w:p>
    <w:p>
      <w:pPr>
        <w:spacing w:after="0" w:line="3" w:lineRule="exact"/>
        <w:rPr>
          <w:sz w:val="20"/>
          <w:szCs w:val="20"/>
          <w:color w:val="auto"/>
        </w:rPr>
      </w:pPr>
    </w:p>
    <w:p>
      <w:pPr>
        <w:ind w:left="760" w:right="900"/>
        <w:spacing w:after="0" w:line="248" w:lineRule="auto"/>
        <w:rPr>
          <w:sz w:val="20"/>
          <w:szCs w:val="20"/>
          <w:color w:val="auto"/>
        </w:rPr>
      </w:pPr>
      <w:r>
        <w:rPr>
          <w:rFonts w:ascii="Arial" w:cs="Arial" w:eastAsia="Arial" w:hAnsi="Arial"/>
          <w:sz w:val="17"/>
          <w:szCs w:val="17"/>
          <w:color w:val="auto"/>
        </w:rPr>
        <w:t>Mr. Cavoli in fiscal year 2020 were earned and vested as of December 31, 2020. For each of fiscal years 2021 and 2022, up to 50,000 restricted shares may be earned and vested, subject to the Company’s budgeted adjusted EBITDA achievement as described above. The Compensation Committee believes this award incentivizes</w:t>
      </w:r>
    </w:p>
    <w:p>
      <w:pPr>
        <w:spacing w:after="0" w:line="2" w:lineRule="exact"/>
        <w:rPr>
          <w:sz w:val="20"/>
          <w:szCs w:val="20"/>
          <w:color w:val="auto"/>
        </w:rPr>
      </w:pPr>
    </w:p>
    <w:p>
      <w:pPr>
        <w:ind w:left="760" w:right="1440"/>
        <w:spacing w:after="0" w:line="246" w:lineRule="auto"/>
        <w:rPr>
          <w:sz w:val="20"/>
          <w:szCs w:val="20"/>
          <w:color w:val="auto"/>
        </w:rPr>
      </w:pPr>
      <w:r>
        <w:rPr>
          <w:rFonts w:ascii="Arial" w:cs="Arial" w:eastAsia="Arial" w:hAnsi="Arial"/>
          <w:sz w:val="18"/>
          <w:szCs w:val="18"/>
          <w:color w:val="auto"/>
        </w:rPr>
        <w:t>Mr. Cavoli to achieve key financial goals of the Company and aligns his long-term interests with those of our stockholders.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Employee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020"/>
        <w:spacing w:after="0"/>
        <w:rPr>
          <w:sz w:val="20"/>
          <w:szCs w:val="20"/>
          <w:color w:val="auto"/>
        </w:rPr>
      </w:pPr>
      <w:r>
        <w:rPr>
          <w:rFonts w:ascii="Arial" w:cs="Arial" w:eastAsia="Arial" w:hAnsi="Arial"/>
          <w:sz w:val="18"/>
          <w:szCs w:val="18"/>
          <w:color w:val="auto"/>
        </w:rPr>
        <w:t>We provide a number of benefit plans to all eligible employees, including our named executive officers. These benefits include medical, dental, life insurance, business travel accident insurance, short- and long-term disability coverage and a 401(k) defined contribution plan.</w:t>
      </w:r>
    </w:p>
    <w:p>
      <w:pPr>
        <w:spacing w:after="0" w:line="95" w:lineRule="exact"/>
        <w:rPr>
          <w:sz w:val="20"/>
          <w:szCs w:val="20"/>
          <w:color w:val="auto"/>
        </w:rPr>
      </w:pPr>
    </w:p>
    <w:p>
      <w:pPr>
        <w:ind w:left="760" w:right="840"/>
        <w:spacing w:after="0" w:line="238" w:lineRule="auto"/>
        <w:rPr>
          <w:sz w:val="20"/>
          <w:szCs w:val="20"/>
          <w:color w:val="auto"/>
        </w:rPr>
      </w:pPr>
      <w:r>
        <w:rPr>
          <w:rFonts w:ascii="Arial" w:cs="Arial" w:eastAsia="Arial" w:hAnsi="Arial"/>
          <w:sz w:val="18"/>
          <w:szCs w:val="18"/>
          <w:color w:val="auto"/>
        </w:rPr>
        <w:t>On November 13, 2020, the Company adopted the Virtu Financial, Inc. Deferred Compensation Plan (the “DCP”). The DCP permits eligible executive officers and other employees to defer cash or equity based compensation beginning in the calendar year ending December 31, 2021, subject to certain limitations and restrictions. Deferrals may also be directed to notional investments in certain of the employee investment opportunities. No amounts have been recognized as compensation cost under the DCP as of December 31, 2020.</w:t>
      </w:r>
    </w:p>
    <w:p>
      <w:pPr>
        <w:spacing w:after="0" w:line="94" w:lineRule="exact"/>
        <w:rPr>
          <w:sz w:val="20"/>
          <w:szCs w:val="20"/>
          <w:color w:val="auto"/>
        </w:rPr>
      </w:pPr>
    </w:p>
    <w:p>
      <w:pPr>
        <w:ind w:left="760" w:right="880"/>
        <w:spacing w:after="0" w:line="237" w:lineRule="auto"/>
        <w:rPr>
          <w:sz w:val="20"/>
          <w:szCs w:val="20"/>
          <w:color w:val="auto"/>
        </w:rPr>
      </w:pPr>
      <w:r>
        <w:rPr>
          <w:rFonts w:ascii="Arial" w:cs="Arial" w:eastAsia="Arial" w:hAnsi="Arial"/>
          <w:sz w:val="18"/>
          <w:szCs w:val="18"/>
          <w:color w:val="auto"/>
        </w:rPr>
        <w:t>While perquisites help to provide our named executive officers a benefit with a high perceived value at a relatively low cost, we do not generally view perquisites as a material component of our executive compensation program. In the future, we may provide additional or different perquisites or other personal benefits in limited circumstances, such as where we believe doing so is appropriate to assist an executive in the performance of his or her duties, to make our named executive officers more efficient and effective and for recruitment, motivation and/or retention purposes.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Severance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We have previously entered into employment agreements with Messrs. Cifu, Molluso, Fairclough, Cavoli and Ioffe that provide for certain severance payments and benefits in the event that such named executive officer’s employment is terminated under specified conditions. In addition, the vesting of a portion of each of these named executive officer’s equity award or awards accelerates in connection with qualifying terminations of employment. We believe that these severance benefits are appropriate to remain competitive in our executive retention efforts, recognizing that such benefits are commonly offered by employers competing for similar executive talent. See “Potential Payments upon Termination of Employment or Change in Control” for additional information</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Taxation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980"/>
        <w:spacing w:after="0" w:line="238" w:lineRule="auto"/>
        <w:rPr>
          <w:sz w:val="20"/>
          <w:szCs w:val="20"/>
          <w:color w:val="auto"/>
        </w:rPr>
      </w:pPr>
      <w:r>
        <w:rPr>
          <w:rFonts w:ascii="Arial" w:cs="Arial" w:eastAsia="Arial" w:hAnsi="Arial"/>
          <w:sz w:val="18"/>
          <w:szCs w:val="18"/>
          <w:color w:val="auto"/>
        </w:rPr>
        <w:t>For income tax purposes, public companies may not deduct any portion of compensation that is in excess of $1 million paid in a taxable year to certain “covered employees,” including our named executive officers, under Section 162(m) of the Internal Revenue Code of 1986, as amended (“Section 162(m)”), subject to certain limited exceptions. Following recent changes to Section 162(m) or related rules, deductibility for 2020 compensation may only be permitted in certain limited cases, if at all, and for future periods may not be permitted at all.</w:t>
      </w:r>
    </w:p>
    <w:p>
      <w:pPr>
        <w:spacing w:after="0" w:line="94" w:lineRule="exact"/>
        <w:rPr>
          <w:sz w:val="20"/>
          <w:szCs w:val="20"/>
          <w:color w:val="auto"/>
        </w:rPr>
      </w:pPr>
    </w:p>
    <w:p>
      <w:pPr>
        <w:ind w:left="760" w:right="820"/>
        <w:spacing w:after="0" w:line="237" w:lineRule="auto"/>
        <w:rPr>
          <w:sz w:val="20"/>
          <w:szCs w:val="20"/>
          <w:color w:val="auto"/>
        </w:rPr>
      </w:pPr>
      <w:r>
        <w:rPr>
          <w:rFonts w:ascii="Arial" w:cs="Arial" w:eastAsia="Arial" w:hAnsi="Arial"/>
          <w:sz w:val="18"/>
          <w:szCs w:val="18"/>
          <w:color w:val="auto"/>
        </w:rPr>
        <w:t>Nevertheless, even if Section 162(m) were to apply to compensation paid to our named executive officers, our board of directors believes that it should not be constrained by the requirements of Section 162(m) of the Internal Revenue Code of 1986, as amended (the “Code”) if those requirements would impair flexibility in compensating our named executive officers in a manner that can best promote our corporate objectives. We intend to continue to compensate our executive officers in a manner consistent with the best interests of our stockholders and reserve the right to award compensation that may not be deductible under Section 162(m) where the Company believes it is appropriate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198120</wp:posOffset>
            </wp:positionV>
            <wp:extent cx="75438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25</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37"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w:t>
      </w:r>
    </w:p>
    <w:p>
      <w:pPr>
        <w:spacing w:after="0" w:line="199" w:lineRule="exact"/>
        <w:rPr>
          <w:sz w:val="20"/>
          <w:szCs w:val="20"/>
          <w:color w:val="auto"/>
        </w:rPr>
      </w:pPr>
    </w:p>
    <w:p>
      <w:pPr>
        <w:ind w:left="2940"/>
        <w:spacing w:after="0"/>
        <w:rPr>
          <w:sz w:val="20"/>
          <w:szCs w:val="20"/>
          <w:color w:val="auto"/>
        </w:rPr>
      </w:pPr>
      <w:r>
        <w:rPr>
          <w:rFonts w:ascii="Arial" w:cs="Arial" w:eastAsia="Arial" w:hAnsi="Arial"/>
          <w:sz w:val="29"/>
          <w:szCs w:val="29"/>
          <w:color w:val="00C389"/>
        </w:rPr>
        <w:t>SUMMARY COMPENSATION TABLE</w:t>
      </w:r>
    </w:p>
    <w:p>
      <w:pPr>
        <w:spacing w:after="0" w:line="102" w:lineRule="exact"/>
        <w:rPr>
          <w:sz w:val="20"/>
          <w:szCs w:val="20"/>
          <w:color w:val="auto"/>
        </w:rPr>
      </w:pPr>
    </w:p>
    <w:p>
      <w:pPr>
        <w:ind w:left="760" w:right="260"/>
        <w:spacing w:after="0" w:line="246" w:lineRule="auto"/>
        <w:rPr>
          <w:sz w:val="20"/>
          <w:szCs w:val="20"/>
          <w:color w:val="auto"/>
        </w:rPr>
      </w:pPr>
      <w:r>
        <w:rPr>
          <w:rFonts w:ascii="Arial" w:cs="Arial" w:eastAsia="Arial" w:hAnsi="Arial"/>
          <w:sz w:val="18"/>
          <w:szCs w:val="18"/>
          <w:color w:val="auto"/>
        </w:rPr>
        <w:t>The following table sets forth the cash and non-cash compensation paid by the Company during the years ended December 31, 2018, December 31, 2019 and December 31, 2020 to its named executive officers.</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002554"/>
                <w:w w:val="99"/>
              </w:rPr>
              <w:t>Stock</w:t>
            </w: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002554"/>
              </w:rPr>
              <w:t>Non-Equity</w:t>
            </w:r>
          </w:p>
        </w:tc>
        <w:tc>
          <w:tcPr>
            <w:tcW w:w="124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002554"/>
              </w:rPr>
              <w:t>All Other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002554"/>
                <w:w w:val="99"/>
              </w:rPr>
              <w:t>Salary</w:t>
            </w:r>
          </w:p>
        </w:tc>
        <w:tc>
          <w:tcPr>
            <w:tcW w:w="120" w:type="dxa"/>
            <w:vAlign w:val="bottom"/>
          </w:tcPr>
          <w:p>
            <w:pPr>
              <w:spacing w:after="0"/>
              <w:rPr>
                <w:sz w:val="11"/>
                <w:szCs w:val="11"/>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002554"/>
              </w:rPr>
              <w:t>Bonus</w:t>
            </w: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002554"/>
              </w:rPr>
              <w:t>Incentive Plan</w:t>
            </w: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002554"/>
              </w:rPr>
              <w:t>Total</w:t>
            </w:r>
          </w:p>
        </w:tc>
        <w:tc>
          <w:tcPr>
            <w:tcW w:w="0" w:type="dxa"/>
            <w:vAlign w:val="bottom"/>
          </w:tcPr>
          <w:p>
            <w:pPr>
              <w:spacing w:after="0"/>
              <w:rPr>
                <w:sz w:val="1"/>
                <w:szCs w:val="1"/>
                <w:color w:val="auto"/>
              </w:rPr>
            </w:pPr>
          </w:p>
        </w:tc>
      </w:tr>
      <w:tr>
        <w:trPr>
          <w:trHeight w:val="135"/>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002554"/>
              </w:rPr>
              <w:t>Name and Principal Position</w:t>
            </w: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002554"/>
              </w:rPr>
              <w:t>Year</w:t>
            </w: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348"/>
              <w:spacing w:after="0" w:line="135" w:lineRule="exact"/>
              <w:rPr>
                <w:sz w:val="20"/>
                <w:szCs w:val="20"/>
                <w:color w:val="auto"/>
              </w:rPr>
            </w:pPr>
            <w:r>
              <w:rPr>
                <w:rFonts w:ascii="Arial" w:cs="Arial" w:eastAsia="Arial" w:hAnsi="Arial"/>
                <w:sz w:val="14"/>
                <w:szCs w:val="14"/>
                <w:b w:val="1"/>
                <w:bCs w:val="1"/>
                <w:color w:val="002554"/>
                <w:w w:val="98"/>
              </w:rPr>
              <w:t>Awards</w:t>
            </w:r>
          </w:p>
        </w:tc>
        <w:tc>
          <w:tcPr>
            <w:tcW w:w="11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002554"/>
              </w:rPr>
              <w:t>Compensation</w:t>
            </w:r>
          </w:p>
        </w:tc>
        <w:tc>
          <w:tcPr>
            <w:tcW w:w="1240" w:type="dxa"/>
            <w:vAlign w:val="bottom"/>
            <w:gridSpan w:val="2"/>
          </w:tcPr>
          <w:p>
            <w:pPr>
              <w:jc w:val="center"/>
              <w:ind w:right="168"/>
              <w:spacing w:after="0" w:line="135" w:lineRule="exact"/>
              <w:rPr>
                <w:sz w:val="20"/>
                <w:szCs w:val="20"/>
                <w:color w:val="auto"/>
              </w:rPr>
            </w:pPr>
            <w:r>
              <w:rPr>
                <w:rFonts w:ascii="Arial" w:cs="Arial" w:eastAsia="Arial" w:hAnsi="Arial"/>
                <w:sz w:val="14"/>
                <w:szCs w:val="14"/>
                <w:b w:val="1"/>
                <w:bCs w:val="1"/>
                <w:color w:val="002554"/>
              </w:rPr>
              <w:t>Compensation</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60" w:type="dxa"/>
            <w:vAlign w:val="bottom"/>
            <w:tcBorders>
              <w:bottom w:val="single" w:sz="8" w:color="00C389"/>
            </w:tcBorders>
            <w:vMerge w:val="continue"/>
          </w:tcPr>
          <w:p>
            <w:pPr>
              <w:spacing w:after="0"/>
              <w:rPr>
                <w:sz w:val="15"/>
                <w:szCs w:val="15"/>
                <w:color w:val="auto"/>
              </w:rPr>
            </w:pPr>
          </w:p>
        </w:tc>
        <w:tc>
          <w:tcPr>
            <w:tcW w:w="60" w:type="dxa"/>
            <w:vAlign w:val="bottom"/>
            <w:tcBorders>
              <w:bottom w:val="single" w:sz="8" w:color="00C389"/>
            </w:tcBorders>
          </w:tcPr>
          <w:p>
            <w:pPr>
              <w:spacing w:after="0"/>
              <w:rPr>
                <w:sz w:val="15"/>
                <w:szCs w:val="15"/>
                <w:color w:val="auto"/>
              </w:rPr>
            </w:pPr>
          </w:p>
        </w:tc>
        <w:tc>
          <w:tcPr>
            <w:tcW w:w="380" w:type="dxa"/>
            <w:vAlign w:val="bottom"/>
            <w:tcBorders>
              <w:bottom w:val="single" w:sz="8" w:color="00C389"/>
            </w:tcBorders>
            <w:vMerge w:val="continue"/>
          </w:tcPr>
          <w:p>
            <w:pPr>
              <w:spacing w:after="0"/>
              <w:rPr>
                <w:sz w:val="15"/>
                <w:szCs w:val="15"/>
                <w:color w:val="auto"/>
              </w:rPr>
            </w:pPr>
          </w:p>
        </w:tc>
        <w:tc>
          <w:tcPr>
            <w:tcW w:w="180" w:type="dxa"/>
            <w:vAlign w:val="bottom"/>
            <w:tcBorders>
              <w:bottom w:val="single" w:sz="8" w:color="00C389"/>
            </w:tcBorders>
          </w:tcPr>
          <w:p>
            <w:pPr>
              <w:spacing w:after="0"/>
              <w:rPr>
                <w:sz w:val="15"/>
                <w:szCs w:val="15"/>
                <w:color w:val="auto"/>
              </w:rPr>
            </w:pPr>
          </w:p>
        </w:tc>
        <w:tc>
          <w:tcPr>
            <w:tcW w:w="900" w:type="dxa"/>
            <w:vAlign w:val="bottom"/>
            <w:tcBorders>
              <w:bottom w:val="single" w:sz="8" w:color="00C389"/>
            </w:tcBorders>
          </w:tcPr>
          <w:p>
            <w:pPr>
              <w:jc w:val="right"/>
              <w:ind w:right="488"/>
              <w:spacing w:after="0"/>
              <w:rPr>
                <w:sz w:val="20"/>
                <w:szCs w:val="20"/>
                <w:color w:val="auto"/>
              </w:rPr>
            </w:pPr>
            <w:r>
              <w:rPr>
                <w:rFonts w:ascii="Arial" w:cs="Arial" w:eastAsia="Arial" w:hAnsi="Arial"/>
                <w:sz w:val="14"/>
                <w:szCs w:val="14"/>
                <w:b w:val="1"/>
                <w:bCs w:val="1"/>
                <w:color w:val="002554"/>
              </w:rPr>
              <w:t>($)</w:t>
            </w:r>
          </w:p>
        </w:tc>
        <w:tc>
          <w:tcPr>
            <w:tcW w:w="120" w:type="dxa"/>
            <w:vAlign w:val="bottom"/>
            <w:tcBorders>
              <w:bottom w:val="single" w:sz="8" w:color="00C389"/>
            </w:tcBorders>
          </w:tcPr>
          <w:p>
            <w:pPr>
              <w:spacing w:after="0"/>
              <w:rPr>
                <w:sz w:val="15"/>
                <w:szCs w:val="15"/>
                <w:color w:val="auto"/>
              </w:rPr>
            </w:pPr>
          </w:p>
        </w:tc>
        <w:tc>
          <w:tcPr>
            <w:tcW w:w="880" w:type="dxa"/>
            <w:vAlign w:val="bottom"/>
            <w:tcBorders>
              <w:bottom w:val="single" w:sz="8" w:color="00C389"/>
            </w:tcBorders>
          </w:tcPr>
          <w:p>
            <w:pPr>
              <w:jc w:val="right"/>
              <w:ind w:right="448"/>
              <w:spacing w:after="0"/>
              <w:rPr>
                <w:sz w:val="20"/>
                <w:szCs w:val="20"/>
                <w:color w:val="auto"/>
              </w:rPr>
            </w:pPr>
            <w:r>
              <w:rPr>
                <w:rFonts w:ascii="Arial" w:cs="Arial" w:eastAsia="Arial" w:hAnsi="Arial"/>
                <w:sz w:val="14"/>
                <w:szCs w:val="14"/>
                <w:b w:val="1"/>
                <w:bCs w:val="1"/>
                <w:color w:val="002554"/>
              </w:rPr>
              <w:t>($)</w:t>
            </w:r>
          </w:p>
        </w:tc>
        <w:tc>
          <w:tcPr>
            <w:tcW w:w="160" w:type="dxa"/>
            <w:vAlign w:val="bottom"/>
            <w:tcBorders>
              <w:bottom w:val="single" w:sz="8" w:color="00C389"/>
            </w:tcBorders>
          </w:tcPr>
          <w:p>
            <w:pPr>
              <w:spacing w:after="0"/>
              <w:rPr>
                <w:sz w:val="15"/>
                <w:szCs w:val="15"/>
                <w:color w:val="auto"/>
              </w:rPr>
            </w:pPr>
          </w:p>
        </w:tc>
        <w:tc>
          <w:tcPr>
            <w:tcW w:w="920" w:type="dxa"/>
            <w:vAlign w:val="bottom"/>
            <w:tcBorders>
              <w:bottom w:val="single" w:sz="8" w:color="00C389"/>
            </w:tcBorders>
          </w:tcPr>
          <w:p>
            <w:pPr>
              <w:jc w:val="center"/>
              <w:ind w:right="308"/>
              <w:spacing w:after="0"/>
              <w:rPr>
                <w:sz w:val="20"/>
                <w:szCs w:val="20"/>
                <w:color w:val="auto"/>
              </w:rPr>
            </w:pPr>
            <w:r>
              <w:rPr>
                <w:rFonts w:ascii="Arial" w:cs="Arial" w:eastAsia="Arial" w:hAnsi="Arial"/>
                <w:sz w:val="14"/>
                <w:szCs w:val="14"/>
                <w:b w:val="1"/>
                <w:bCs w:val="1"/>
                <w:color w:val="002554"/>
              </w:rPr>
              <w:t>($)</w:t>
            </w:r>
          </w:p>
        </w:tc>
        <w:tc>
          <w:tcPr>
            <w:tcW w:w="1160" w:type="dxa"/>
            <w:vAlign w:val="bottom"/>
            <w:tcBorders>
              <w:bottom w:val="single" w:sz="8" w:color="00C389"/>
            </w:tcBorders>
          </w:tcPr>
          <w:p>
            <w:pPr>
              <w:jc w:val="center"/>
              <w:ind w:right="28"/>
              <w:spacing w:after="0"/>
              <w:rPr>
                <w:sz w:val="20"/>
                <w:szCs w:val="20"/>
                <w:color w:val="auto"/>
              </w:rPr>
            </w:pPr>
            <w:r>
              <w:rPr>
                <w:rFonts w:ascii="Arial" w:cs="Arial" w:eastAsia="Arial" w:hAnsi="Arial"/>
                <w:sz w:val="14"/>
                <w:szCs w:val="14"/>
                <w:b w:val="1"/>
                <w:bCs w:val="1"/>
                <w:color w:val="002554"/>
              </w:rPr>
              <w:t>($)</w:t>
            </w:r>
          </w:p>
        </w:tc>
        <w:tc>
          <w:tcPr>
            <w:tcW w:w="300" w:type="dxa"/>
            <w:vAlign w:val="bottom"/>
            <w:tcBorders>
              <w:bottom w:val="single" w:sz="8" w:color="00C389"/>
            </w:tcBorders>
          </w:tcPr>
          <w:p>
            <w:pPr>
              <w:spacing w:after="0"/>
              <w:rPr>
                <w:sz w:val="15"/>
                <w:szCs w:val="15"/>
                <w:color w:val="auto"/>
              </w:rPr>
            </w:pPr>
          </w:p>
        </w:tc>
        <w:tc>
          <w:tcPr>
            <w:tcW w:w="940" w:type="dxa"/>
            <w:vAlign w:val="bottom"/>
            <w:tcBorders>
              <w:bottom w:val="single" w:sz="8" w:color="00C389"/>
            </w:tcBorders>
          </w:tcPr>
          <w:p>
            <w:pPr>
              <w:jc w:val="center"/>
              <w:ind w:right="428"/>
              <w:spacing w:after="0"/>
              <w:rPr>
                <w:sz w:val="20"/>
                <w:szCs w:val="20"/>
                <w:color w:val="auto"/>
              </w:rPr>
            </w:pPr>
            <w:r>
              <w:rPr>
                <w:rFonts w:ascii="Arial" w:cs="Arial" w:eastAsia="Arial" w:hAnsi="Arial"/>
                <w:sz w:val="14"/>
                <w:szCs w:val="14"/>
                <w:b w:val="1"/>
                <w:bCs w:val="1"/>
                <w:color w:val="002554"/>
                <w:w w:val="93"/>
              </w:rPr>
              <w:t>($)</w:t>
            </w:r>
          </w:p>
        </w:tc>
        <w:tc>
          <w:tcPr>
            <w:tcW w:w="200" w:type="dxa"/>
            <w:vAlign w:val="bottom"/>
            <w:tcBorders>
              <w:bottom w:val="single" w:sz="8" w:color="00C389"/>
            </w:tcBorders>
          </w:tcPr>
          <w:p>
            <w:pPr>
              <w:spacing w:after="0"/>
              <w:rPr>
                <w:sz w:val="15"/>
                <w:szCs w:val="15"/>
                <w:color w:val="auto"/>
              </w:rPr>
            </w:pPr>
          </w:p>
        </w:tc>
        <w:tc>
          <w:tcPr>
            <w:tcW w:w="720" w:type="dxa"/>
            <w:vAlign w:val="bottom"/>
            <w:tcBorders>
              <w:bottom w:val="single" w:sz="8" w:color="00C389"/>
            </w:tcBorders>
          </w:tcPr>
          <w:p>
            <w:pPr>
              <w:jc w:val="right"/>
              <w:ind w:right="248"/>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187"/>
        </w:trPr>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Douglas A. Cifu</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0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8,759,525(2)</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$2,000,000(3)</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4,270(4)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12,263,795</w:t>
            </w:r>
          </w:p>
        </w:tc>
        <w:tc>
          <w:tcPr>
            <w:tcW w:w="0" w:type="dxa"/>
            <w:vAlign w:val="bottom"/>
          </w:tcPr>
          <w:p>
            <w:pPr>
              <w:spacing w:after="0"/>
              <w:rPr>
                <w:sz w:val="1"/>
                <w:szCs w:val="1"/>
                <w:color w:val="auto"/>
              </w:rPr>
            </w:pPr>
          </w:p>
        </w:tc>
      </w:tr>
      <w:tr>
        <w:trPr>
          <w:trHeight w:val="227"/>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0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2,100,000(2)</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$1,040,000(3)</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98,172(4)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4,598,172</w:t>
            </w:r>
          </w:p>
        </w:tc>
        <w:tc>
          <w:tcPr>
            <w:tcW w:w="0" w:type="dxa"/>
            <w:vAlign w:val="bottom"/>
          </w:tcPr>
          <w:p>
            <w:pPr>
              <w:spacing w:after="0"/>
              <w:rPr>
                <w:sz w:val="1"/>
                <w:szCs w:val="1"/>
                <w:color w:val="auto"/>
              </w:rPr>
            </w:pPr>
          </w:p>
        </w:tc>
      </w:tr>
      <w:tr>
        <w:trPr>
          <w:trHeight w:val="208"/>
        </w:trPr>
        <w:tc>
          <w:tcPr>
            <w:tcW w:w="2260" w:type="dxa"/>
            <w:vAlign w:val="bottom"/>
            <w:tcBorders>
              <w:bottom w:val="single" w:sz="8" w:color="00C389"/>
            </w:tcBorders>
            <w:shd w:val="clear" w:color="auto" w:fill="CCEEFF"/>
          </w:tcPr>
          <w:p>
            <w:pPr>
              <w:spacing w:after="0"/>
              <w:rPr>
                <w:sz w:val="18"/>
                <w:szCs w:val="18"/>
                <w:color w:val="auto"/>
              </w:rPr>
            </w:pPr>
          </w:p>
        </w:tc>
        <w:tc>
          <w:tcPr>
            <w:tcW w:w="60" w:type="dxa"/>
            <w:vAlign w:val="bottom"/>
            <w:tcBorders>
              <w:bottom w:val="single" w:sz="8" w:color="00C389"/>
            </w:tcBorders>
            <w:shd w:val="clear" w:color="auto" w:fill="CCEEFF"/>
          </w:tcPr>
          <w:p>
            <w:pPr>
              <w:spacing w:after="0"/>
              <w:rPr>
                <w:sz w:val="18"/>
                <w:szCs w:val="18"/>
                <w:color w:val="auto"/>
              </w:rPr>
            </w:pPr>
          </w:p>
        </w:tc>
        <w:tc>
          <w:tcPr>
            <w:tcW w:w="38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00C389"/>
            </w:tcBorders>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400,000(1)</w:t>
            </w:r>
          </w:p>
        </w:tc>
        <w:tc>
          <w:tcPr>
            <w:tcW w:w="1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C389"/>
            </w:tcBorders>
            <w:shd w:val="clear" w:color="auto" w:fill="CCEEFF"/>
          </w:tcPr>
          <w:p>
            <w:pPr>
              <w:jc w:val="right"/>
              <w:ind w:right="28"/>
              <w:spacing w:after="0"/>
              <w:rPr>
                <w:sz w:val="20"/>
                <w:szCs w:val="20"/>
                <w:color w:val="auto"/>
              </w:rPr>
            </w:pPr>
            <w:r>
              <w:rPr>
                <w:rFonts w:ascii="Arial" w:cs="Arial" w:eastAsia="Arial" w:hAnsi="Arial"/>
                <w:sz w:val="14"/>
                <w:szCs w:val="14"/>
                <w:color w:val="auto"/>
              </w:rPr>
              <w:t>5,298,240(2)</w:t>
            </w:r>
          </w:p>
        </w:tc>
        <w:tc>
          <w:tcPr>
            <w:tcW w:w="1160" w:type="dxa"/>
            <w:vAlign w:val="bottom"/>
            <w:tcBorders>
              <w:bottom w:val="single" w:sz="8" w:color="00C389"/>
            </w:tcBorders>
            <w:shd w:val="clear" w:color="auto" w:fill="CCEEFF"/>
          </w:tcPr>
          <w:p>
            <w:pPr>
              <w:jc w:val="right"/>
              <w:ind w:right="28"/>
              <w:spacing w:after="0"/>
              <w:rPr>
                <w:sz w:val="20"/>
                <w:szCs w:val="20"/>
                <w:color w:val="auto"/>
              </w:rPr>
            </w:pPr>
            <w:r>
              <w:rPr>
                <w:rFonts w:ascii="Arial" w:cs="Arial" w:eastAsia="Arial" w:hAnsi="Arial"/>
                <w:sz w:val="14"/>
                <w:szCs w:val="14"/>
                <w:color w:val="auto"/>
              </w:rPr>
              <w:t>$2,000,000(3)</w:t>
            </w:r>
          </w:p>
        </w:tc>
        <w:tc>
          <w:tcPr>
            <w:tcW w:w="3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C389"/>
            </w:tcBorders>
            <w:shd w:val="clear" w:color="auto" w:fill="CCEEFF"/>
          </w:tcPr>
          <w:p>
            <w:pPr>
              <w:jc w:val="right"/>
              <w:ind w:right="108"/>
              <w:spacing w:after="0"/>
              <w:rPr>
                <w:sz w:val="20"/>
                <w:szCs w:val="20"/>
                <w:color w:val="auto"/>
              </w:rPr>
            </w:pPr>
            <w:r>
              <w:rPr>
                <w:rFonts w:ascii="Arial" w:cs="Arial" w:eastAsia="Arial" w:hAnsi="Arial"/>
                <w:sz w:val="14"/>
                <w:szCs w:val="14"/>
                <w:color w:val="auto"/>
              </w:rPr>
              <w:t>71,367(4)</w:t>
            </w:r>
          </w:p>
        </w:tc>
        <w:tc>
          <w:tcPr>
            <w:tcW w:w="2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8,769,607</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Arial" w:cs="Arial" w:eastAsia="Arial" w:hAnsi="Arial"/>
                <w:sz w:val="14"/>
                <w:szCs w:val="14"/>
                <w:b w:val="1"/>
                <w:bCs w:val="1"/>
                <w:color w:val="auto"/>
              </w:rPr>
              <w:t>Joseph Molluso</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273,973(5)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3,750,000(1)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7,138,500(6)</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11,162,473</w:t>
            </w:r>
          </w:p>
        </w:tc>
        <w:tc>
          <w:tcPr>
            <w:tcW w:w="0" w:type="dxa"/>
            <w:vAlign w:val="bottom"/>
          </w:tcPr>
          <w:p>
            <w:pPr>
              <w:spacing w:after="0"/>
              <w:rPr>
                <w:sz w:val="1"/>
                <w:szCs w:val="1"/>
                <w:color w:val="auto"/>
              </w:rPr>
            </w:pPr>
          </w:p>
        </w:tc>
      </w:tr>
      <w:tr>
        <w:trPr>
          <w:trHeight w:val="185"/>
        </w:trPr>
        <w:tc>
          <w:tcPr>
            <w:tcW w:w="2260" w:type="dxa"/>
            <w:vAlign w:val="bottom"/>
          </w:tcPr>
          <w:p>
            <w:pPr>
              <w:ind w:left="140"/>
              <w:spacing w:after="0"/>
              <w:rPr>
                <w:sz w:val="20"/>
                <w:szCs w:val="20"/>
                <w:color w:val="auto"/>
              </w:rPr>
            </w:pPr>
            <w:r>
              <w:rPr>
                <w:rFonts w:ascii="Arial" w:cs="Arial" w:eastAsia="Arial" w:hAnsi="Arial"/>
                <w:sz w:val="14"/>
                <w:szCs w:val="14"/>
                <w:i w:val="1"/>
                <w:iCs w:val="1"/>
                <w:color w:val="auto"/>
              </w:rPr>
              <w:t>Co-President and Co-Chief</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375,342</w:t>
            </w:r>
          </w:p>
        </w:tc>
        <w:tc>
          <w:tcPr>
            <w:tcW w:w="1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$1,250,000(7)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1,625,342</w:t>
            </w:r>
          </w:p>
        </w:tc>
        <w:tc>
          <w:tcPr>
            <w:tcW w:w="0" w:type="dxa"/>
            <w:vAlign w:val="bottom"/>
          </w:tcPr>
          <w:p>
            <w:pPr>
              <w:spacing w:after="0"/>
              <w:rPr>
                <w:sz w:val="1"/>
                <w:szCs w:val="1"/>
                <w:color w:val="auto"/>
              </w:rPr>
            </w:pPr>
          </w:p>
        </w:tc>
      </w:tr>
      <w:tr>
        <w:trPr>
          <w:trHeight w:val="186"/>
        </w:trPr>
        <w:tc>
          <w:tcPr>
            <w:tcW w:w="2260" w:type="dxa"/>
            <w:vAlign w:val="bottom"/>
          </w:tcPr>
          <w:p>
            <w:pPr>
              <w:ind w:left="140"/>
              <w:spacing w:after="0"/>
              <w:rPr>
                <w:sz w:val="20"/>
                <w:szCs w:val="20"/>
                <w:color w:val="auto"/>
              </w:rPr>
            </w:pPr>
            <w:r>
              <w:rPr>
                <w:rFonts w:ascii="Arial" w:cs="Arial" w:eastAsia="Arial" w:hAnsi="Arial"/>
                <w:sz w:val="14"/>
                <w:szCs w:val="14"/>
                <w:i w:val="1"/>
                <w:iCs w:val="1"/>
                <w:color w:val="auto"/>
              </w:rPr>
              <w:t>Operating Officer</w:t>
            </w:r>
          </w:p>
        </w:tc>
        <w:tc>
          <w:tcPr>
            <w:tcW w:w="440" w:type="dxa"/>
            <w:vAlign w:val="bottom"/>
            <w:gridSpan w:val="2"/>
            <w:vMerge w:val="restart"/>
          </w:tcPr>
          <w:p>
            <w:pPr>
              <w:ind w:left="60"/>
              <w:spacing w:after="0"/>
              <w:rPr>
                <w:sz w:val="20"/>
                <w:szCs w:val="20"/>
                <w:color w:val="auto"/>
              </w:rPr>
            </w:pPr>
            <w:r>
              <w:rPr>
                <w:rFonts w:ascii="Arial" w:cs="Arial" w:eastAsia="Arial" w:hAnsi="Arial"/>
                <w:sz w:val="14"/>
                <w:szCs w:val="14"/>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color w:val="auto"/>
              </w:rPr>
              <w:t>500,000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700,000(1)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4,993,812(6)</w:t>
            </w:r>
          </w:p>
        </w:tc>
        <w:tc>
          <w:tcPr>
            <w:tcW w:w="11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6,193,812</w:t>
            </w:r>
          </w:p>
        </w:tc>
        <w:tc>
          <w:tcPr>
            <w:tcW w:w="0" w:type="dxa"/>
            <w:vAlign w:val="bottom"/>
          </w:tcPr>
          <w:p>
            <w:pPr>
              <w:spacing w:after="0"/>
              <w:rPr>
                <w:sz w:val="1"/>
                <w:szCs w:val="1"/>
                <w:color w:val="auto"/>
              </w:rPr>
            </w:pPr>
          </w:p>
        </w:tc>
      </w:tr>
      <w:tr>
        <w:trPr>
          <w:trHeight w:val="64"/>
        </w:trPr>
        <w:tc>
          <w:tcPr>
            <w:tcW w:w="2260" w:type="dxa"/>
            <w:vAlign w:val="bottom"/>
            <w:tcBorders>
              <w:bottom w:val="single" w:sz="8" w:color="00C389"/>
            </w:tcBorders>
          </w:tcPr>
          <w:p>
            <w:pPr>
              <w:spacing w:after="0"/>
              <w:rPr>
                <w:sz w:val="5"/>
                <w:szCs w:val="5"/>
                <w:color w:val="auto"/>
              </w:rPr>
            </w:pPr>
          </w:p>
        </w:tc>
        <w:tc>
          <w:tcPr>
            <w:tcW w:w="440" w:type="dxa"/>
            <w:vAlign w:val="bottom"/>
            <w:tcBorders>
              <w:bottom w:val="single" w:sz="8" w:color="00C389"/>
            </w:tcBorders>
            <w:gridSpan w:val="2"/>
            <w:vMerge w:val="continue"/>
          </w:tcPr>
          <w:p>
            <w:pPr>
              <w:spacing w:after="0"/>
              <w:rPr>
                <w:sz w:val="5"/>
                <w:szCs w:val="5"/>
                <w:color w:val="auto"/>
              </w:rPr>
            </w:pPr>
          </w:p>
        </w:tc>
        <w:tc>
          <w:tcPr>
            <w:tcW w:w="180" w:type="dxa"/>
            <w:vAlign w:val="bottom"/>
            <w:tcBorders>
              <w:bottom w:val="single" w:sz="8" w:color="00C389"/>
            </w:tcBorders>
            <w:vMerge w:val="continue"/>
          </w:tcPr>
          <w:p>
            <w:pPr>
              <w:spacing w:after="0"/>
              <w:rPr>
                <w:sz w:val="5"/>
                <w:szCs w:val="5"/>
                <w:color w:val="auto"/>
              </w:rPr>
            </w:pPr>
          </w:p>
        </w:tc>
        <w:tc>
          <w:tcPr>
            <w:tcW w:w="900" w:type="dxa"/>
            <w:vAlign w:val="bottom"/>
            <w:tcBorders>
              <w:bottom w:val="single" w:sz="8" w:color="00C389"/>
            </w:tcBorders>
            <w:vMerge w:val="continue"/>
          </w:tcPr>
          <w:p>
            <w:pPr>
              <w:spacing w:after="0"/>
              <w:rPr>
                <w:sz w:val="5"/>
                <w:szCs w:val="5"/>
                <w:color w:val="auto"/>
              </w:rPr>
            </w:pPr>
          </w:p>
        </w:tc>
        <w:tc>
          <w:tcPr>
            <w:tcW w:w="120" w:type="dxa"/>
            <w:vAlign w:val="bottom"/>
            <w:tcBorders>
              <w:bottom w:val="single" w:sz="8" w:color="00C389"/>
            </w:tcBorders>
            <w:vMerge w:val="continue"/>
          </w:tcPr>
          <w:p>
            <w:pPr>
              <w:spacing w:after="0"/>
              <w:rPr>
                <w:sz w:val="5"/>
                <w:szCs w:val="5"/>
                <w:color w:val="auto"/>
              </w:rPr>
            </w:pPr>
          </w:p>
        </w:tc>
        <w:tc>
          <w:tcPr>
            <w:tcW w:w="880" w:type="dxa"/>
            <w:vAlign w:val="bottom"/>
            <w:tcBorders>
              <w:bottom w:val="single" w:sz="8" w:color="00C389"/>
            </w:tcBorders>
            <w:vMerge w:val="continue"/>
          </w:tcPr>
          <w:p>
            <w:pPr>
              <w:spacing w:after="0"/>
              <w:rPr>
                <w:sz w:val="5"/>
                <w:szCs w:val="5"/>
                <w:color w:val="auto"/>
              </w:rPr>
            </w:pPr>
          </w:p>
        </w:tc>
        <w:tc>
          <w:tcPr>
            <w:tcW w:w="160" w:type="dxa"/>
            <w:vAlign w:val="bottom"/>
            <w:tcBorders>
              <w:bottom w:val="single" w:sz="8" w:color="00C389"/>
            </w:tcBorders>
            <w:vMerge w:val="continue"/>
          </w:tcPr>
          <w:p>
            <w:pPr>
              <w:spacing w:after="0"/>
              <w:rPr>
                <w:sz w:val="5"/>
                <w:szCs w:val="5"/>
                <w:color w:val="auto"/>
              </w:rPr>
            </w:pPr>
          </w:p>
        </w:tc>
        <w:tc>
          <w:tcPr>
            <w:tcW w:w="920" w:type="dxa"/>
            <w:vAlign w:val="bottom"/>
            <w:tcBorders>
              <w:bottom w:val="single" w:sz="8" w:color="00C389"/>
            </w:tcBorders>
            <w:vMerge w:val="continue"/>
          </w:tcPr>
          <w:p>
            <w:pPr>
              <w:spacing w:after="0"/>
              <w:rPr>
                <w:sz w:val="5"/>
                <w:szCs w:val="5"/>
                <w:color w:val="auto"/>
              </w:rPr>
            </w:pPr>
          </w:p>
        </w:tc>
        <w:tc>
          <w:tcPr>
            <w:tcW w:w="1160" w:type="dxa"/>
            <w:vAlign w:val="bottom"/>
            <w:tcBorders>
              <w:bottom w:val="single" w:sz="8" w:color="00C389"/>
            </w:tcBorders>
            <w:vMerge w:val="continue"/>
          </w:tcPr>
          <w:p>
            <w:pPr>
              <w:spacing w:after="0"/>
              <w:rPr>
                <w:sz w:val="5"/>
                <w:szCs w:val="5"/>
                <w:color w:val="auto"/>
              </w:rPr>
            </w:pPr>
          </w:p>
        </w:tc>
        <w:tc>
          <w:tcPr>
            <w:tcW w:w="300" w:type="dxa"/>
            <w:vAlign w:val="bottom"/>
            <w:tcBorders>
              <w:bottom w:val="single" w:sz="8" w:color="00C389"/>
            </w:tcBorders>
          </w:tcPr>
          <w:p>
            <w:pPr>
              <w:spacing w:after="0"/>
              <w:rPr>
                <w:sz w:val="5"/>
                <w:szCs w:val="5"/>
                <w:color w:val="auto"/>
              </w:rPr>
            </w:pPr>
          </w:p>
        </w:tc>
        <w:tc>
          <w:tcPr>
            <w:tcW w:w="940" w:type="dxa"/>
            <w:vAlign w:val="bottom"/>
            <w:tcBorders>
              <w:bottom w:val="single" w:sz="8" w:color="00C389"/>
            </w:tcBorders>
            <w:vMerge w:val="continue"/>
          </w:tcPr>
          <w:p>
            <w:pPr>
              <w:spacing w:after="0"/>
              <w:rPr>
                <w:sz w:val="5"/>
                <w:szCs w:val="5"/>
                <w:color w:val="auto"/>
              </w:rPr>
            </w:pPr>
          </w:p>
        </w:tc>
        <w:tc>
          <w:tcPr>
            <w:tcW w:w="200" w:type="dxa"/>
            <w:vAlign w:val="bottom"/>
            <w:tcBorders>
              <w:bottom w:val="single" w:sz="8" w:color="00C389"/>
            </w:tcBorders>
            <w:vMerge w:val="continue"/>
          </w:tcPr>
          <w:p>
            <w:pPr>
              <w:spacing w:after="0"/>
              <w:rPr>
                <w:sz w:val="5"/>
                <w:szCs w:val="5"/>
                <w:color w:val="auto"/>
              </w:rPr>
            </w:pPr>
          </w:p>
        </w:tc>
        <w:tc>
          <w:tcPr>
            <w:tcW w:w="720" w:type="dxa"/>
            <w:vAlign w:val="bottom"/>
            <w:tcBorders>
              <w:bottom w:val="single" w:sz="8" w:color="00C38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Brett Fairclough</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2,109,500(8)</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1,075,000(9)</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3,934,500</w:t>
            </w:r>
          </w:p>
        </w:tc>
        <w:tc>
          <w:tcPr>
            <w:tcW w:w="0" w:type="dxa"/>
            <w:vAlign w:val="bottom"/>
          </w:tcPr>
          <w:p>
            <w:pPr>
              <w:spacing w:after="0"/>
              <w:rPr>
                <w:sz w:val="1"/>
                <w:szCs w:val="1"/>
                <w:color w:val="auto"/>
              </w:rPr>
            </w:pPr>
          </w:p>
        </w:tc>
      </w:tr>
      <w:tr>
        <w:trPr>
          <w:trHeight w:val="185"/>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Co-President and Co-Chief</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160,452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924,000(8)</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419,991(10)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2,120,443</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C389"/>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Officer</w:t>
            </w:r>
          </w:p>
        </w:tc>
        <w:tc>
          <w:tcPr>
            <w:tcW w:w="60" w:type="dxa"/>
            <w:vAlign w:val="bottom"/>
            <w:tcBorders>
              <w:bottom w:val="single" w:sz="8" w:color="00C389"/>
            </w:tcBorders>
            <w:shd w:val="clear" w:color="auto" w:fill="CCEEFF"/>
          </w:tcPr>
          <w:p>
            <w:pPr>
              <w:spacing w:after="0"/>
              <w:rPr>
                <w:sz w:val="17"/>
                <w:szCs w:val="17"/>
                <w:color w:val="auto"/>
              </w:rPr>
            </w:pPr>
          </w:p>
        </w:tc>
        <w:tc>
          <w:tcPr>
            <w:tcW w:w="380" w:type="dxa"/>
            <w:vAlign w:val="bottom"/>
            <w:tcBorders>
              <w:bottom w:val="single" w:sz="8" w:color="00C389"/>
            </w:tcBorders>
            <w:shd w:val="clear" w:color="auto" w:fill="CCEEFF"/>
          </w:tcPr>
          <w:p>
            <w:pPr>
              <w:spacing w:after="0"/>
              <w:rPr>
                <w:sz w:val="17"/>
                <w:szCs w:val="17"/>
                <w:color w:val="auto"/>
              </w:rPr>
            </w:pPr>
          </w:p>
        </w:tc>
        <w:tc>
          <w:tcPr>
            <w:tcW w:w="180" w:type="dxa"/>
            <w:vAlign w:val="bottom"/>
            <w:tcBorders>
              <w:bottom w:val="single" w:sz="8" w:color="00C389"/>
            </w:tcBorders>
            <w:shd w:val="clear" w:color="auto" w:fill="CCEEFF"/>
          </w:tcPr>
          <w:p>
            <w:pPr>
              <w:spacing w:after="0"/>
              <w:rPr>
                <w:sz w:val="17"/>
                <w:szCs w:val="17"/>
                <w:color w:val="auto"/>
              </w:rPr>
            </w:pPr>
          </w:p>
        </w:tc>
        <w:tc>
          <w:tcPr>
            <w:tcW w:w="900" w:type="dxa"/>
            <w:vAlign w:val="bottom"/>
            <w:tcBorders>
              <w:bottom w:val="single" w:sz="8" w:color="00C389"/>
            </w:tcBorders>
            <w:shd w:val="clear" w:color="auto" w:fill="CCEEFF"/>
          </w:tcPr>
          <w:p>
            <w:pPr>
              <w:spacing w:after="0"/>
              <w:rPr>
                <w:sz w:val="17"/>
                <w:szCs w:val="17"/>
                <w:color w:val="auto"/>
              </w:rPr>
            </w:pPr>
          </w:p>
        </w:tc>
        <w:tc>
          <w:tcPr>
            <w:tcW w:w="120" w:type="dxa"/>
            <w:vAlign w:val="bottom"/>
            <w:tcBorders>
              <w:bottom w:val="single" w:sz="8" w:color="00C389"/>
            </w:tcBorders>
            <w:shd w:val="clear" w:color="auto" w:fill="CCEEFF"/>
          </w:tcPr>
          <w:p>
            <w:pPr>
              <w:spacing w:after="0"/>
              <w:rPr>
                <w:sz w:val="17"/>
                <w:szCs w:val="17"/>
                <w:color w:val="auto"/>
              </w:rPr>
            </w:pPr>
          </w:p>
        </w:tc>
        <w:tc>
          <w:tcPr>
            <w:tcW w:w="880" w:type="dxa"/>
            <w:vAlign w:val="bottom"/>
            <w:tcBorders>
              <w:bottom w:val="single" w:sz="8" w:color="00C389"/>
            </w:tcBorders>
            <w:shd w:val="clear" w:color="auto" w:fill="CCEEFF"/>
          </w:tcPr>
          <w:p>
            <w:pPr>
              <w:spacing w:after="0"/>
              <w:rPr>
                <w:sz w:val="17"/>
                <w:szCs w:val="17"/>
                <w:color w:val="auto"/>
              </w:rPr>
            </w:pPr>
          </w:p>
        </w:tc>
        <w:tc>
          <w:tcPr>
            <w:tcW w:w="160" w:type="dxa"/>
            <w:vAlign w:val="bottom"/>
            <w:tcBorders>
              <w:bottom w:val="single" w:sz="8" w:color="00C389"/>
            </w:tcBorders>
            <w:shd w:val="clear" w:color="auto" w:fill="CCEEFF"/>
          </w:tcPr>
          <w:p>
            <w:pPr>
              <w:spacing w:after="0"/>
              <w:rPr>
                <w:sz w:val="17"/>
                <w:szCs w:val="17"/>
                <w:color w:val="auto"/>
              </w:rPr>
            </w:pPr>
          </w:p>
        </w:tc>
        <w:tc>
          <w:tcPr>
            <w:tcW w:w="920" w:type="dxa"/>
            <w:vAlign w:val="bottom"/>
            <w:tcBorders>
              <w:bottom w:val="single" w:sz="8" w:color="00C389"/>
            </w:tcBorders>
            <w:shd w:val="clear" w:color="auto" w:fill="CCEEFF"/>
          </w:tcPr>
          <w:p>
            <w:pPr>
              <w:spacing w:after="0"/>
              <w:rPr>
                <w:sz w:val="17"/>
                <w:szCs w:val="17"/>
                <w:color w:val="auto"/>
              </w:rPr>
            </w:pPr>
          </w:p>
        </w:tc>
        <w:tc>
          <w:tcPr>
            <w:tcW w:w="1160" w:type="dxa"/>
            <w:vAlign w:val="bottom"/>
            <w:tcBorders>
              <w:bottom w:val="single" w:sz="8" w:color="00C389"/>
            </w:tcBorders>
            <w:shd w:val="clear" w:color="auto" w:fill="CCEEFF"/>
          </w:tcPr>
          <w:p>
            <w:pPr>
              <w:spacing w:after="0"/>
              <w:rPr>
                <w:sz w:val="17"/>
                <w:szCs w:val="17"/>
                <w:color w:val="auto"/>
              </w:rPr>
            </w:pPr>
          </w:p>
        </w:tc>
        <w:tc>
          <w:tcPr>
            <w:tcW w:w="300" w:type="dxa"/>
            <w:vAlign w:val="bottom"/>
            <w:tcBorders>
              <w:bottom w:val="single" w:sz="8" w:color="00C389"/>
            </w:tcBorders>
            <w:shd w:val="clear" w:color="auto" w:fill="CCEEFF"/>
          </w:tcPr>
          <w:p>
            <w:pPr>
              <w:spacing w:after="0"/>
              <w:rPr>
                <w:sz w:val="17"/>
                <w:szCs w:val="17"/>
                <w:color w:val="auto"/>
              </w:rPr>
            </w:pPr>
          </w:p>
        </w:tc>
        <w:tc>
          <w:tcPr>
            <w:tcW w:w="940" w:type="dxa"/>
            <w:vAlign w:val="bottom"/>
            <w:tcBorders>
              <w:bottom w:val="single" w:sz="8" w:color="00C389"/>
            </w:tcBorders>
            <w:shd w:val="clear" w:color="auto" w:fill="CCEEFF"/>
          </w:tcPr>
          <w:p>
            <w:pPr>
              <w:spacing w:after="0"/>
              <w:rPr>
                <w:sz w:val="17"/>
                <w:szCs w:val="17"/>
                <w:color w:val="auto"/>
              </w:rPr>
            </w:pPr>
          </w:p>
        </w:tc>
        <w:tc>
          <w:tcPr>
            <w:tcW w:w="200" w:type="dxa"/>
            <w:vAlign w:val="bottom"/>
            <w:tcBorders>
              <w:bottom w:val="single" w:sz="8" w:color="00C389"/>
            </w:tcBorders>
            <w:shd w:val="clear" w:color="auto" w:fill="CCEEFF"/>
          </w:tcPr>
          <w:p>
            <w:pPr>
              <w:spacing w:after="0"/>
              <w:rPr>
                <w:sz w:val="17"/>
                <w:szCs w:val="17"/>
                <w:color w:val="auto"/>
              </w:rPr>
            </w:pPr>
          </w:p>
        </w:tc>
        <w:tc>
          <w:tcPr>
            <w:tcW w:w="720" w:type="dxa"/>
            <w:vAlign w:val="bottom"/>
            <w:tcBorders>
              <w:bottom w:val="single" w:sz="8" w:color="00C389"/>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60" w:type="dxa"/>
            <w:vAlign w:val="bottom"/>
          </w:tcPr>
          <w:p>
            <w:pPr>
              <w:spacing w:after="0"/>
              <w:rPr>
                <w:sz w:val="20"/>
                <w:szCs w:val="20"/>
                <w:color w:val="auto"/>
              </w:rPr>
            </w:pPr>
            <w:r>
              <w:rPr>
                <w:rFonts w:ascii="Arial" w:cs="Arial" w:eastAsia="Arial" w:hAnsi="Arial"/>
                <w:sz w:val="14"/>
                <w:szCs w:val="14"/>
                <w:b w:val="1"/>
                <w:bCs w:val="1"/>
                <w:color w:val="auto"/>
              </w:rPr>
              <w:t>Sean Galvin</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98,630(11) $</w:t>
            </w:r>
          </w:p>
        </w:tc>
        <w:tc>
          <w:tcPr>
            <w:tcW w:w="880" w:type="dxa"/>
            <w:vAlign w:val="bottom"/>
          </w:tcPr>
          <w:p>
            <w:pPr>
              <w:jc w:val="right"/>
              <w:spacing w:after="0"/>
              <w:rPr>
                <w:sz w:val="20"/>
                <w:szCs w:val="20"/>
                <w:color w:val="auto"/>
              </w:rPr>
            </w:pPr>
            <w:r>
              <w:rPr>
                <w:rFonts w:ascii="Arial" w:cs="Arial" w:eastAsia="Arial" w:hAnsi="Arial"/>
                <w:sz w:val="14"/>
                <w:szCs w:val="14"/>
                <w:color w:val="auto"/>
              </w:rPr>
              <w:t>450,000(1)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300,000(12)</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848,630</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00C389"/>
            </w:tcBorders>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60" w:type="dxa"/>
            <w:vAlign w:val="bottom"/>
            <w:tcBorders>
              <w:bottom w:val="single" w:sz="8" w:color="00C389"/>
            </w:tcBorders>
          </w:tcPr>
          <w:p>
            <w:pPr>
              <w:spacing w:after="0"/>
              <w:rPr>
                <w:sz w:val="16"/>
                <w:szCs w:val="16"/>
                <w:color w:val="auto"/>
              </w:rPr>
            </w:pPr>
          </w:p>
        </w:tc>
        <w:tc>
          <w:tcPr>
            <w:tcW w:w="380" w:type="dxa"/>
            <w:vAlign w:val="bottom"/>
            <w:tcBorders>
              <w:bottom w:val="single" w:sz="8" w:color="00C389"/>
            </w:tcBorders>
          </w:tcPr>
          <w:p>
            <w:pPr>
              <w:spacing w:after="0"/>
              <w:rPr>
                <w:sz w:val="16"/>
                <w:szCs w:val="16"/>
                <w:color w:val="auto"/>
              </w:rPr>
            </w:pPr>
          </w:p>
        </w:tc>
        <w:tc>
          <w:tcPr>
            <w:tcW w:w="180" w:type="dxa"/>
            <w:vAlign w:val="bottom"/>
            <w:tcBorders>
              <w:bottom w:val="single" w:sz="8" w:color="00C389"/>
            </w:tcBorders>
          </w:tcPr>
          <w:p>
            <w:pPr>
              <w:spacing w:after="0"/>
              <w:rPr>
                <w:sz w:val="16"/>
                <w:szCs w:val="16"/>
                <w:color w:val="auto"/>
              </w:rPr>
            </w:pPr>
          </w:p>
        </w:tc>
        <w:tc>
          <w:tcPr>
            <w:tcW w:w="900" w:type="dxa"/>
            <w:vAlign w:val="bottom"/>
            <w:tcBorders>
              <w:bottom w:val="single" w:sz="8" w:color="00C389"/>
            </w:tcBorders>
          </w:tcPr>
          <w:p>
            <w:pPr>
              <w:spacing w:after="0"/>
              <w:rPr>
                <w:sz w:val="16"/>
                <w:szCs w:val="16"/>
                <w:color w:val="auto"/>
              </w:rPr>
            </w:pPr>
          </w:p>
        </w:tc>
        <w:tc>
          <w:tcPr>
            <w:tcW w:w="120" w:type="dxa"/>
            <w:vAlign w:val="bottom"/>
            <w:tcBorders>
              <w:bottom w:val="single" w:sz="8" w:color="00C389"/>
            </w:tcBorders>
          </w:tcPr>
          <w:p>
            <w:pPr>
              <w:spacing w:after="0"/>
              <w:rPr>
                <w:sz w:val="16"/>
                <w:szCs w:val="16"/>
                <w:color w:val="auto"/>
              </w:rPr>
            </w:pPr>
          </w:p>
        </w:tc>
        <w:tc>
          <w:tcPr>
            <w:tcW w:w="880" w:type="dxa"/>
            <w:vAlign w:val="bottom"/>
            <w:tcBorders>
              <w:bottom w:val="single" w:sz="8" w:color="00C389"/>
            </w:tcBorders>
          </w:tcPr>
          <w:p>
            <w:pPr>
              <w:spacing w:after="0"/>
              <w:rPr>
                <w:sz w:val="16"/>
                <w:szCs w:val="16"/>
                <w:color w:val="auto"/>
              </w:rPr>
            </w:pPr>
          </w:p>
        </w:tc>
        <w:tc>
          <w:tcPr>
            <w:tcW w:w="160" w:type="dxa"/>
            <w:vAlign w:val="bottom"/>
            <w:tcBorders>
              <w:bottom w:val="single" w:sz="8" w:color="00C389"/>
            </w:tcBorders>
          </w:tcPr>
          <w:p>
            <w:pPr>
              <w:spacing w:after="0"/>
              <w:rPr>
                <w:sz w:val="16"/>
                <w:szCs w:val="16"/>
                <w:color w:val="auto"/>
              </w:rPr>
            </w:pPr>
          </w:p>
        </w:tc>
        <w:tc>
          <w:tcPr>
            <w:tcW w:w="920" w:type="dxa"/>
            <w:vAlign w:val="bottom"/>
            <w:tcBorders>
              <w:bottom w:val="single" w:sz="8" w:color="00C389"/>
            </w:tcBorders>
          </w:tcPr>
          <w:p>
            <w:pPr>
              <w:spacing w:after="0"/>
              <w:rPr>
                <w:sz w:val="16"/>
                <w:szCs w:val="16"/>
                <w:color w:val="auto"/>
              </w:rPr>
            </w:pPr>
          </w:p>
        </w:tc>
        <w:tc>
          <w:tcPr>
            <w:tcW w:w="1160" w:type="dxa"/>
            <w:vAlign w:val="bottom"/>
            <w:tcBorders>
              <w:bottom w:val="single" w:sz="8" w:color="00C389"/>
            </w:tcBorders>
          </w:tcPr>
          <w:p>
            <w:pPr>
              <w:spacing w:after="0"/>
              <w:rPr>
                <w:sz w:val="16"/>
                <w:szCs w:val="16"/>
                <w:color w:val="auto"/>
              </w:rPr>
            </w:pPr>
          </w:p>
        </w:tc>
        <w:tc>
          <w:tcPr>
            <w:tcW w:w="300" w:type="dxa"/>
            <w:vAlign w:val="bottom"/>
            <w:tcBorders>
              <w:bottom w:val="single" w:sz="8" w:color="00C389"/>
            </w:tcBorders>
          </w:tcPr>
          <w:p>
            <w:pPr>
              <w:spacing w:after="0"/>
              <w:rPr>
                <w:sz w:val="16"/>
                <w:szCs w:val="16"/>
                <w:color w:val="auto"/>
              </w:rPr>
            </w:pPr>
          </w:p>
        </w:tc>
        <w:tc>
          <w:tcPr>
            <w:tcW w:w="940" w:type="dxa"/>
            <w:vAlign w:val="bottom"/>
            <w:tcBorders>
              <w:bottom w:val="single" w:sz="8" w:color="00C389"/>
            </w:tcBorders>
          </w:tcPr>
          <w:p>
            <w:pPr>
              <w:spacing w:after="0"/>
              <w:rPr>
                <w:sz w:val="16"/>
                <w:szCs w:val="16"/>
                <w:color w:val="auto"/>
              </w:rPr>
            </w:pPr>
          </w:p>
        </w:tc>
        <w:tc>
          <w:tcPr>
            <w:tcW w:w="200" w:type="dxa"/>
            <w:vAlign w:val="bottom"/>
            <w:tcBorders>
              <w:bottom w:val="single" w:sz="8" w:color="00C389"/>
            </w:tcBorders>
          </w:tcPr>
          <w:p>
            <w:pPr>
              <w:spacing w:after="0"/>
              <w:rPr>
                <w:sz w:val="16"/>
                <w:szCs w:val="16"/>
                <w:color w:val="auto"/>
              </w:rPr>
            </w:pPr>
          </w:p>
        </w:tc>
        <w:tc>
          <w:tcPr>
            <w:tcW w:w="720" w:type="dxa"/>
            <w:vAlign w:val="bottom"/>
            <w:tcBorders>
              <w:bottom w:val="single" w:sz="8" w:color="00C389"/>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Stephen Cavoli</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2,109,500(13)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1,075,000(14)</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3,934,500</w:t>
            </w:r>
          </w:p>
        </w:tc>
        <w:tc>
          <w:tcPr>
            <w:tcW w:w="0" w:type="dxa"/>
            <w:vAlign w:val="bottom"/>
          </w:tcPr>
          <w:p>
            <w:pPr>
              <w:spacing w:after="0"/>
              <w:rPr>
                <w:sz w:val="1"/>
                <w:szCs w:val="1"/>
                <w:color w:val="auto"/>
              </w:rPr>
            </w:pPr>
          </w:p>
        </w:tc>
      </w:tr>
      <w:tr>
        <w:trPr>
          <w:trHeight w:val="185"/>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Vice President,</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780,000(13)</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1,700,000</w:t>
            </w: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Markets</w:t>
            </w:r>
          </w:p>
        </w:tc>
        <w:tc>
          <w:tcPr>
            <w:tcW w:w="6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2018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400,000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480,000(1)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320,000(13)</w:t>
            </w:r>
          </w:p>
        </w:tc>
        <w:tc>
          <w:tcPr>
            <w:tcW w:w="11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64"/>
        </w:trPr>
        <w:tc>
          <w:tcPr>
            <w:tcW w:w="2260" w:type="dxa"/>
            <w:vAlign w:val="bottom"/>
            <w:tcBorders>
              <w:bottom w:val="single" w:sz="8" w:color="00C389"/>
            </w:tcBorders>
            <w:shd w:val="clear" w:color="auto" w:fill="CCEEFF"/>
          </w:tcPr>
          <w:p>
            <w:pPr>
              <w:spacing w:after="0"/>
              <w:rPr>
                <w:sz w:val="5"/>
                <w:szCs w:val="5"/>
                <w:color w:val="auto"/>
              </w:rPr>
            </w:pPr>
          </w:p>
        </w:tc>
        <w:tc>
          <w:tcPr>
            <w:tcW w:w="60" w:type="dxa"/>
            <w:vAlign w:val="bottom"/>
            <w:tcBorders>
              <w:bottom w:val="single" w:sz="8" w:color="00C389"/>
            </w:tcBorders>
            <w:shd w:val="clear" w:color="auto" w:fill="CCEEFF"/>
          </w:tcPr>
          <w:p>
            <w:pPr>
              <w:spacing w:after="0"/>
              <w:rPr>
                <w:sz w:val="5"/>
                <w:szCs w:val="5"/>
                <w:color w:val="auto"/>
              </w:rPr>
            </w:pPr>
          </w:p>
        </w:tc>
        <w:tc>
          <w:tcPr>
            <w:tcW w:w="380" w:type="dxa"/>
            <w:vAlign w:val="bottom"/>
            <w:tcBorders>
              <w:bottom w:val="single" w:sz="8" w:color="00C389"/>
            </w:tcBorders>
            <w:vMerge w:val="continue"/>
            <w:shd w:val="clear" w:color="auto" w:fill="CCEEFF"/>
          </w:tcPr>
          <w:p>
            <w:pPr>
              <w:spacing w:after="0"/>
              <w:rPr>
                <w:sz w:val="5"/>
                <w:szCs w:val="5"/>
                <w:color w:val="auto"/>
              </w:rPr>
            </w:pPr>
          </w:p>
        </w:tc>
        <w:tc>
          <w:tcPr>
            <w:tcW w:w="180" w:type="dxa"/>
            <w:vAlign w:val="bottom"/>
            <w:tcBorders>
              <w:bottom w:val="single" w:sz="8" w:color="00C389"/>
            </w:tcBorders>
            <w:vMerge w:val="continue"/>
            <w:shd w:val="clear" w:color="auto" w:fill="CCEEFF"/>
          </w:tcPr>
          <w:p>
            <w:pPr>
              <w:spacing w:after="0"/>
              <w:rPr>
                <w:sz w:val="5"/>
                <w:szCs w:val="5"/>
                <w:color w:val="auto"/>
              </w:rPr>
            </w:pPr>
          </w:p>
        </w:tc>
        <w:tc>
          <w:tcPr>
            <w:tcW w:w="900" w:type="dxa"/>
            <w:vAlign w:val="bottom"/>
            <w:tcBorders>
              <w:bottom w:val="single" w:sz="8" w:color="00C389"/>
            </w:tcBorders>
            <w:vMerge w:val="continue"/>
            <w:shd w:val="clear" w:color="auto" w:fill="CCEEFF"/>
          </w:tcPr>
          <w:p>
            <w:pPr>
              <w:spacing w:after="0"/>
              <w:rPr>
                <w:sz w:val="5"/>
                <w:szCs w:val="5"/>
                <w:color w:val="auto"/>
              </w:rPr>
            </w:pPr>
          </w:p>
        </w:tc>
        <w:tc>
          <w:tcPr>
            <w:tcW w:w="120" w:type="dxa"/>
            <w:vAlign w:val="bottom"/>
            <w:tcBorders>
              <w:bottom w:val="single" w:sz="8" w:color="00C389"/>
            </w:tcBorders>
            <w:vMerge w:val="continue"/>
            <w:shd w:val="clear" w:color="auto" w:fill="CCEEFF"/>
          </w:tcPr>
          <w:p>
            <w:pPr>
              <w:spacing w:after="0"/>
              <w:rPr>
                <w:sz w:val="5"/>
                <w:szCs w:val="5"/>
                <w:color w:val="auto"/>
              </w:rPr>
            </w:pPr>
          </w:p>
        </w:tc>
        <w:tc>
          <w:tcPr>
            <w:tcW w:w="880" w:type="dxa"/>
            <w:vAlign w:val="bottom"/>
            <w:tcBorders>
              <w:bottom w:val="single" w:sz="8" w:color="00C389"/>
            </w:tcBorders>
            <w:vMerge w:val="continue"/>
            <w:shd w:val="clear" w:color="auto" w:fill="CCEEFF"/>
          </w:tcPr>
          <w:p>
            <w:pPr>
              <w:spacing w:after="0"/>
              <w:rPr>
                <w:sz w:val="5"/>
                <w:szCs w:val="5"/>
                <w:color w:val="auto"/>
              </w:rPr>
            </w:pPr>
          </w:p>
        </w:tc>
        <w:tc>
          <w:tcPr>
            <w:tcW w:w="160" w:type="dxa"/>
            <w:vAlign w:val="bottom"/>
            <w:tcBorders>
              <w:bottom w:val="single" w:sz="8" w:color="00C389"/>
            </w:tcBorders>
            <w:vMerge w:val="continue"/>
            <w:shd w:val="clear" w:color="auto" w:fill="CCEEFF"/>
          </w:tcPr>
          <w:p>
            <w:pPr>
              <w:spacing w:after="0"/>
              <w:rPr>
                <w:sz w:val="5"/>
                <w:szCs w:val="5"/>
                <w:color w:val="auto"/>
              </w:rPr>
            </w:pPr>
          </w:p>
        </w:tc>
        <w:tc>
          <w:tcPr>
            <w:tcW w:w="920" w:type="dxa"/>
            <w:vAlign w:val="bottom"/>
            <w:tcBorders>
              <w:bottom w:val="single" w:sz="8" w:color="00C389"/>
            </w:tcBorders>
            <w:vMerge w:val="continue"/>
            <w:shd w:val="clear" w:color="auto" w:fill="CCEEFF"/>
          </w:tcPr>
          <w:p>
            <w:pPr>
              <w:spacing w:after="0"/>
              <w:rPr>
                <w:sz w:val="5"/>
                <w:szCs w:val="5"/>
                <w:color w:val="auto"/>
              </w:rPr>
            </w:pPr>
          </w:p>
        </w:tc>
        <w:tc>
          <w:tcPr>
            <w:tcW w:w="1160" w:type="dxa"/>
            <w:vAlign w:val="bottom"/>
            <w:tcBorders>
              <w:bottom w:val="single" w:sz="8" w:color="00C389"/>
            </w:tcBorders>
            <w:vMerge w:val="continue"/>
            <w:shd w:val="clear" w:color="auto" w:fill="CCEEFF"/>
          </w:tcPr>
          <w:p>
            <w:pPr>
              <w:spacing w:after="0"/>
              <w:rPr>
                <w:sz w:val="5"/>
                <w:szCs w:val="5"/>
                <w:color w:val="auto"/>
              </w:rPr>
            </w:pPr>
          </w:p>
        </w:tc>
        <w:tc>
          <w:tcPr>
            <w:tcW w:w="300" w:type="dxa"/>
            <w:vAlign w:val="bottom"/>
            <w:tcBorders>
              <w:bottom w:val="single" w:sz="8" w:color="00C389"/>
            </w:tcBorders>
            <w:shd w:val="clear" w:color="auto" w:fill="CCEEFF"/>
          </w:tcPr>
          <w:p>
            <w:pPr>
              <w:spacing w:after="0"/>
              <w:rPr>
                <w:sz w:val="5"/>
                <w:szCs w:val="5"/>
                <w:color w:val="auto"/>
              </w:rPr>
            </w:pPr>
          </w:p>
        </w:tc>
        <w:tc>
          <w:tcPr>
            <w:tcW w:w="940" w:type="dxa"/>
            <w:vAlign w:val="bottom"/>
            <w:tcBorders>
              <w:bottom w:val="single" w:sz="8" w:color="00C389"/>
            </w:tcBorders>
            <w:vMerge w:val="continue"/>
            <w:shd w:val="clear" w:color="auto" w:fill="CCEEFF"/>
          </w:tcPr>
          <w:p>
            <w:pPr>
              <w:spacing w:after="0"/>
              <w:rPr>
                <w:sz w:val="5"/>
                <w:szCs w:val="5"/>
                <w:color w:val="auto"/>
              </w:rPr>
            </w:pPr>
          </w:p>
        </w:tc>
        <w:tc>
          <w:tcPr>
            <w:tcW w:w="200" w:type="dxa"/>
            <w:vAlign w:val="bottom"/>
            <w:tcBorders>
              <w:bottom w:val="single" w:sz="8" w:color="00C389"/>
            </w:tcBorders>
            <w:vMerge w:val="continue"/>
            <w:shd w:val="clear" w:color="auto" w:fill="CCEEFF"/>
          </w:tcPr>
          <w:p>
            <w:pPr>
              <w:spacing w:after="0"/>
              <w:rPr>
                <w:sz w:val="5"/>
                <w:szCs w:val="5"/>
                <w:color w:val="auto"/>
              </w:rPr>
            </w:pPr>
          </w:p>
        </w:tc>
        <w:tc>
          <w:tcPr>
            <w:tcW w:w="720" w:type="dxa"/>
            <w:vAlign w:val="bottom"/>
            <w:tcBorders>
              <w:bottom w:val="single" w:sz="8" w:color="00C389"/>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20"/>
                <w:szCs w:val="20"/>
                <w:color w:val="auto"/>
              </w:rPr>
            </w:pPr>
            <w:r>
              <w:rPr>
                <w:rFonts w:ascii="Arial" w:cs="Arial" w:eastAsia="Arial" w:hAnsi="Arial"/>
                <w:sz w:val="14"/>
                <w:szCs w:val="14"/>
                <w:b w:val="1"/>
                <w:bCs w:val="1"/>
                <w:color w:val="auto"/>
              </w:rPr>
              <w:t>Alexander M. Ioffe</w:t>
            </w: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301,370(15)</w:t>
            </w:r>
          </w:p>
        </w:tc>
        <w:tc>
          <w:tcPr>
            <w:tcW w:w="12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582,192(16)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883,562</w:t>
            </w:r>
          </w:p>
        </w:tc>
        <w:tc>
          <w:tcPr>
            <w:tcW w:w="0" w:type="dxa"/>
            <w:vAlign w:val="bottom"/>
          </w:tcPr>
          <w:p>
            <w:pPr>
              <w:spacing w:after="0"/>
              <w:rPr>
                <w:sz w:val="1"/>
                <w:szCs w:val="1"/>
                <w:color w:val="auto"/>
              </w:rPr>
            </w:pPr>
          </w:p>
        </w:tc>
      </w:tr>
      <w:tr>
        <w:trPr>
          <w:trHeight w:val="233"/>
        </w:trPr>
        <w:tc>
          <w:tcPr>
            <w:tcW w:w="2260" w:type="dxa"/>
            <w:vAlign w:val="bottom"/>
            <w:tcBorders>
              <w:bottom w:val="single" w:sz="8" w:color="00C389"/>
            </w:tcBorders>
          </w:tcPr>
          <w:p>
            <w:pPr>
              <w:ind w:left="140"/>
              <w:spacing w:after="0"/>
              <w:rPr>
                <w:sz w:val="20"/>
                <w:szCs w:val="20"/>
                <w:color w:val="auto"/>
              </w:rPr>
            </w:pPr>
            <w:r>
              <w:rPr>
                <w:rFonts w:ascii="Arial" w:cs="Arial" w:eastAsia="Arial" w:hAnsi="Arial"/>
                <w:sz w:val="14"/>
                <w:szCs w:val="14"/>
                <w:i w:val="1"/>
                <w:iCs w:val="1"/>
                <w:color w:val="auto"/>
              </w:rPr>
              <w:t>Former Chief Financial Officer</w:t>
            </w:r>
          </w:p>
        </w:tc>
        <w:tc>
          <w:tcPr>
            <w:tcW w:w="440" w:type="dxa"/>
            <w:vAlign w:val="bottom"/>
            <w:tcBorders>
              <w:bottom w:val="single" w:sz="8" w:color="00C389"/>
            </w:tcBorders>
            <w:gridSpan w:val="2"/>
          </w:tcPr>
          <w:p>
            <w:pPr>
              <w:ind w:left="60"/>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127,397(15)</w:t>
            </w:r>
          </w:p>
        </w:tc>
        <w:tc>
          <w:tcPr>
            <w:tcW w:w="1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750,000(1)</w:t>
            </w:r>
          </w:p>
        </w:tc>
        <w:tc>
          <w:tcPr>
            <w:tcW w:w="16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3,750,000(17)</w:t>
            </w:r>
          </w:p>
        </w:tc>
        <w:tc>
          <w:tcPr>
            <w:tcW w:w="1160" w:type="dxa"/>
            <w:vAlign w:val="bottom"/>
            <w:tcBorders>
              <w:bottom w:val="single" w:sz="8" w:color="00C389"/>
            </w:tcBorders>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C389"/>
            </w:tcBorders>
          </w:tcPr>
          <w:p>
            <w:pPr>
              <w:jc w:val="right"/>
              <w:ind w:right="28"/>
              <w:spacing w:after="0"/>
              <w:rPr>
                <w:sz w:val="20"/>
                <w:szCs w:val="20"/>
                <w:color w:val="auto"/>
              </w:rPr>
            </w:pPr>
            <w:r>
              <w:rPr>
                <w:rFonts w:ascii="Arial" w:cs="Arial" w:eastAsia="Arial" w:hAnsi="Arial"/>
                <w:sz w:val="14"/>
                <w:szCs w:val="14"/>
                <w:color w:val="auto"/>
              </w:rPr>
              <w:t>20,000(18)</w:t>
            </w:r>
          </w:p>
        </w:tc>
        <w:tc>
          <w:tcPr>
            <w:tcW w:w="20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4,647,397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right="60" w:hanging="318"/>
        <w:spacing w:after="0" w:line="263"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each named executive officer’s annual bonus that was based on the achievement of qualitative goals. For Mr. Cifu, this cash component was 50% for fiscal year 2020, 40% for fiscal year 2019 and 50% for fiscal year 2018, for Mr. Molluso this was 50% for fiscal years 2020 and 2018, for Mr. Fairclough this was 53% for fiscal year 2020 and 40% for fiscal year 2019, for Mr. Galvin this was 100% for fiscal year 2020 and for Mr. Cavoli, this was 53% for fiscal year 2020 and 40% for fiscal years 2019 and 2018. The remainder in each year was paid in the form of restricted stock units and fully vested shares of our Class A common stock which are reflected in the “Stock Awards” column in the table above. In addition, the amounts reported in this column includes (i) the 100% cash component of Mr. Molluso’s 2020 sign on bonus award in the amount of $2,500,000, described further below under “Employment Agreement with Mr. Molluso”. and (ii) the 50% cash component of Mr. Ioffe’s 2019 guaranteed sign on bonus award, described further below under “Employment Agreement with Mr. Ioffe.”</w:t>
      </w:r>
    </w:p>
    <w:p>
      <w:pPr>
        <w:spacing w:after="0" w:line="86" w:lineRule="exact"/>
        <w:rPr>
          <w:rFonts w:ascii="Arial" w:cs="Arial" w:eastAsia="Arial" w:hAnsi="Arial"/>
          <w:sz w:val="14"/>
          <w:szCs w:val="14"/>
          <w:color w:val="auto"/>
        </w:rPr>
      </w:pPr>
    </w:p>
    <w:p>
      <w:pPr>
        <w:ind w:left="1080" w:right="20" w:hanging="318"/>
        <w:spacing w:after="0" w:line="264"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2020 and December 31, 2019, included in our Annual Report on Form 10-K for the fiscal years ended December 31, 2020 and December 31, 2019, respectively, and in Note 17 of the Company’s audited financial statements for the fiscal year ended December 31, 2018, in our Annual Report on Form 10-K for the fiscal year ended December 31, 2018. The grant of restricted stock units and fully vested shares of our Class A common stock relate to the settlement of Mr. Cifu’s 2020 annual bonus, 2019 annual bonus and 2018 annual bonus, however, the awards were actually granted in fiscal years 2021, 2020 and 2019, respectively. The restricted shares granted to Mr. Cifu in fiscal year 2019 were not earned.</w:t>
      </w:r>
    </w:p>
    <w:p>
      <w:pPr>
        <w:spacing w:after="0" w:line="270" w:lineRule="exact"/>
        <w:rPr>
          <w:rFonts w:ascii="Arial" w:cs="Arial" w:eastAsia="Arial" w:hAnsi="Arial"/>
          <w:sz w:val="14"/>
          <w:szCs w:val="14"/>
          <w:color w:val="auto"/>
        </w:rPr>
      </w:pPr>
    </w:p>
    <w:p>
      <w:pPr>
        <w:ind w:left="1080" w:right="280" w:hanging="318"/>
        <w:spacing w:after="0" w:line="267"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Cifu’s annual bonus that was based on achievement of performance goals, which was 50% for fiscal years 2020 and 2018 and 40% for fiscal year 2019. The remainder in each year was paid in the form of restricted stock units and fully vested shares of our Class A common stock which are reflected in the “Stock Awards” column in the table above.</w:t>
      </w:r>
    </w:p>
    <w:p>
      <w:pPr>
        <w:spacing w:after="0" w:line="93" w:lineRule="exact"/>
        <w:rPr>
          <w:rFonts w:ascii="Arial" w:cs="Arial" w:eastAsia="Arial" w:hAnsi="Arial"/>
          <w:sz w:val="14"/>
          <w:szCs w:val="14"/>
          <w:color w:val="auto"/>
        </w:rPr>
      </w:pPr>
    </w:p>
    <w:p>
      <w:pPr>
        <w:ind w:left="1080" w:hanging="318"/>
        <w:spacing w:after="0"/>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cost of providing transportation services to Mr. Cifu.</w:t>
      </w:r>
    </w:p>
    <w:p>
      <w:pPr>
        <w:spacing w:after="0" w:line="122" w:lineRule="exact"/>
        <w:rPr>
          <w:rFonts w:ascii="Arial" w:cs="Arial" w:eastAsia="Arial" w:hAnsi="Arial"/>
          <w:sz w:val="14"/>
          <w:szCs w:val="14"/>
          <w:color w:val="auto"/>
        </w:rPr>
      </w:pPr>
    </w:p>
    <w:p>
      <w:pPr>
        <w:ind w:left="1080" w:right="20" w:hanging="318"/>
        <w:spacing w:after="0" w:line="278" w:lineRule="auto"/>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Molluso’s employment with the Company commenced on June 22, 2020, and as a result the amount reported is a prorated portion of his $500,000 base salary.</w:t>
      </w:r>
    </w:p>
    <w:p>
      <w:pPr>
        <w:spacing w:after="0" w:line="86" w:lineRule="exact"/>
        <w:rPr>
          <w:rFonts w:ascii="Arial" w:cs="Arial" w:eastAsia="Arial" w:hAnsi="Arial"/>
          <w:sz w:val="14"/>
          <w:szCs w:val="14"/>
          <w:color w:val="auto"/>
        </w:rPr>
      </w:pPr>
    </w:p>
    <w:p>
      <w:pPr>
        <w:ind w:left="1080" w:hanging="318"/>
        <w:spacing w:after="0"/>
        <w:tabs>
          <w:tab w:leader="none" w:pos="1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w:t>
      </w:r>
    </w:p>
    <w:p>
      <w:pPr>
        <w:spacing w:after="0" w:line="29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754380"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1080" w:right="800"/>
        <w:spacing w:after="0" w:line="264" w:lineRule="auto"/>
        <w:rPr>
          <w:sz w:val="20"/>
          <w:szCs w:val="20"/>
          <w:color w:val="auto"/>
        </w:rPr>
      </w:pPr>
      <w:r>
        <w:rPr>
          <w:rFonts w:ascii="Arial" w:cs="Arial" w:eastAsia="Arial" w:hAnsi="Arial"/>
          <w:sz w:val="14"/>
          <w:szCs w:val="14"/>
          <w:color w:val="auto"/>
        </w:rPr>
        <w:t>restricted stock units, (ii) fully vested shares of our Class A common stock and (iii) restricted shares. The amount includes Mr. Molluso’s sign-on equity award of 200,000 RSUs in fiscal year 2020 with a grant date fair value of $4,720,000, which was granted as compensation for the forfeiture of equity interests associated with his resignation from a prior employer. Assumptions used in calculating these amounts are described in Note 19 of the Company’s audited financial statements for the fiscal year ended December 31, 2020, included in our Annual Report on Form 10-K for the fiscal year ended December 31, 2020, in Note 17 of the Company’s audited financial statements for the fiscal year ended December 31, 2018 and are included in our Annual Report on Form 10-K for the fiscal year ended December 31, 2018. The grant of restricted stock units and fully vested shares of our Class A common stock relate to the settlement of Mr. Molluso’s 2020 annual bonus and 2018 annual bonus, however, the awards were actually granted in fiscal years 2021 and 2019, respectively.</w:t>
      </w:r>
    </w:p>
    <w:p>
      <w:pPr>
        <w:spacing w:after="0" w:line="95" w:lineRule="exact"/>
        <w:rPr>
          <w:sz w:val="20"/>
          <w:szCs w:val="20"/>
          <w:color w:val="auto"/>
        </w:rPr>
      </w:pPr>
    </w:p>
    <w:p>
      <w:pPr>
        <w:ind w:left="1080" w:right="1200" w:hanging="318"/>
        <w:spacing w:after="0" w:line="27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reflects the amount paid to Mr. Molluso in connection with his voluntary departure from the Company in 2019, prior to his rejoining the company in 2020.</w:t>
      </w:r>
    </w:p>
    <w:p>
      <w:pPr>
        <w:spacing w:after="0" w:line="86" w:lineRule="exact"/>
        <w:rPr>
          <w:rFonts w:ascii="Arial" w:cs="Arial" w:eastAsia="Arial" w:hAnsi="Arial"/>
          <w:sz w:val="14"/>
          <w:szCs w:val="14"/>
          <w:color w:val="auto"/>
        </w:rPr>
      </w:pPr>
    </w:p>
    <w:p>
      <w:pPr>
        <w:ind w:left="1080" w:right="860" w:hanging="318"/>
        <w:spacing w:after="0" w:line="261"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2020 and December 31, 2019, included in our Annual Report on Form 10-K for the fiscal years ended December 31, 2020 and December 31, 2019, respectively. The grant of restricted stock units and fully vested shares of our Class A common stock relate to the settlement of</w:t>
      </w:r>
    </w:p>
    <w:p>
      <w:pPr>
        <w:spacing w:after="0" w:line="2"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Mr. Fairclough’s 2020 and 2019 annual bonuses, however, the awards were actually granted in fiscal years 2021 and 2020, respectively.</w:t>
      </w:r>
    </w:p>
    <w:p>
      <w:pPr>
        <w:spacing w:after="0" w:line="122" w:lineRule="exact"/>
        <w:rPr>
          <w:rFonts w:ascii="Arial" w:cs="Arial" w:eastAsia="Arial" w:hAnsi="Arial"/>
          <w:sz w:val="14"/>
          <w:szCs w:val="14"/>
          <w:color w:val="auto"/>
        </w:rPr>
      </w:pPr>
    </w:p>
    <w:p>
      <w:pPr>
        <w:ind w:left="1080" w:right="800" w:hanging="318"/>
        <w:spacing w:after="0" w:line="270"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Fairclough’s annual bonus that was based on achievement of performance goals, which was 53% for fiscal year 2020. The remainder was paid in the form of restricted stock units and fully vested shares of our Class A common stock which are reflected in the “Stock Awards” column in the table above.</w:t>
      </w:r>
    </w:p>
    <w:p>
      <w:pPr>
        <w:spacing w:after="0" w:line="91" w:lineRule="exact"/>
        <w:rPr>
          <w:rFonts w:ascii="Arial" w:cs="Arial" w:eastAsia="Arial" w:hAnsi="Arial"/>
          <w:sz w:val="14"/>
          <w:szCs w:val="14"/>
          <w:color w:val="auto"/>
        </w:rPr>
      </w:pPr>
    </w:p>
    <w:p>
      <w:pPr>
        <w:ind w:left="1080" w:right="820" w:hanging="318"/>
        <w:spacing w:after="0" w:line="264"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$80,000 paid as a housing allowance to Mr. Fairclough following his repatriation to the United States in 2019, in addition to certain tax benefits to which Mr. Fairclough is entitled for the year ended 2019 based on the difference between the actual foreign taxes due during the period and the hypothetical U.S. taxes that would have been applicable prior to his relocation. The amount shown includes the tax repayment that Mr. Fairclough received in fiscal year 2019, however, the actual amount owed was not calculable as of December 31, 2020, therefore the Company may pay Mr. Fairclough additional amounts or certain amounts may be required to be repaid to the Company.</w:t>
      </w:r>
    </w:p>
    <w:p>
      <w:pPr>
        <w:spacing w:after="0" w:line="98" w:lineRule="exact"/>
        <w:rPr>
          <w:rFonts w:ascii="Arial" w:cs="Arial" w:eastAsia="Arial" w:hAnsi="Arial"/>
          <w:sz w:val="14"/>
          <w:szCs w:val="14"/>
          <w:color w:val="auto"/>
        </w:rPr>
      </w:pPr>
    </w:p>
    <w:p>
      <w:pPr>
        <w:ind w:left="1080" w:right="960" w:hanging="318"/>
        <w:spacing w:after="0" w:line="27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Galvin’s employment with the Company commenced on August 10, 2020, and as a result the amount reported is a prorated portion of his $250,000 base salary.</w:t>
      </w:r>
    </w:p>
    <w:p>
      <w:pPr>
        <w:spacing w:after="0" w:line="86" w:lineRule="exact"/>
        <w:rPr>
          <w:rFonts w:ascii="Arial" w:cs="Arial" w:eastAsia="Arial" w:hAnsi="Arial"/>
          <w:sz w:val="14"/>
          <w:szCs w:val="14"/>
          <w:color w:val="auto"/>
        </w:rPr>
      </w:pPr>
    </w:p>
    <w:p>
      <w:pPr>
        <w:ind w:left="1080" w:right="860" w:hanging="318"/>
        <w:spacing w:after="0" w:line="270"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the grant of restricted stock units. Assumptions used in calculating these amounts are described in Note 19 of the Company’s audited financial statements for the fiscal year ended December 31, 2020, included in our Annual Report on Form 10-K for the fiscal year ended December 31, 2020.</w:t>
      </w:r>
    </w:p>
    <w:p>
      <w:pPr>
        <w:spacing w:after="0" w:line="91" w:lineRule="exact"/>
        <w:rPr>
          <w:rFonts w:ascii="Arial" w:cs="Arial" w:eastAsia="Arial" w:hAnsi="Arial"/>
          <w:sz w:val="14"/>
          <w:szCs w:val="14"/>
          <w:color w:val="auto"/>
        </w:rPr>
      </w:pPr>
    </w:p>
    <w:p>
      <w:pPr>
        <w:ind w:left="1080" w:right="800" w:hanging="318"/>
        <w:spacing w:after="0" w:line="264"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(ii) fully vested shares of our Class A common stock and (iii) restricted shares. Assumptions used in calculating these amounts are described in Note 19 of the Company’s audited financial statements for the fiscal years ended December 31, 2020 and December 31, 2019, included in our Annual Report on Form 10-K for the fiscal years ended December 31, 2020 and December 31, 2019, respectively and in Note 17 of the Company’s audited financial statements for the fiscal year ended December 31, 2018, in our Annual Report on Form 10-K for the fiscal year ended December 31, 2018. The grant of restricted stock units and fully vested shares of our Class A common stock relate to the settlement of Mr. Cavoli’s 2020, 2019 and 2018 annual bonuses, however, the awards were actually granted in fiscal years 2021, 2020 and 2019, respectively.</w:t>
      </w:r>
    </w:p>
    <w:p>
      <w:pPr>
        <w:spacing w:after="0" w:line="95" w:lineRule="exact"/>
        <w:rPr>
          <w:rFonts w:ascii="Arial" w:cs="Arial" w:eastAsia="Arial" w:hAnsi="Arial"/>
          <w:sz w:val="14"/>
          <w:szCs w:val="14"/>
          <w:color w:val="auto"/>
        </w:rPr>
      </w:pPr>
    </w:p>
    <w:p>
      <w:pPr>
        <w:ind w:left="1080" w:right="1040" w:hanging="318"/>
        <w:spacing w:after="0" w:line="270"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cash component of the portion of Mr. Cavoli’s annual bonus that was based on achievement of performance goals, which was 53% for fiscal year 2020. The remainder was paid in the form of restricted stock units and fully vested shares of our Class A common stock which are reflected in the “Stock Awards” column in the table above.</w:t>
      </w:r>
    </w:p>
    <w:p>
      <w:pPr>
        <w:spacing w:after="0" w:line="91" w:lineRule="exact"/>
        <w:rPr>
          <w:rFonts w:ascii="Arial" w:cs="Arial" w:eastAsia="Arial" w:hAnsi="Arial"/>
          <w:sz w:val="14"/>
          <w:szCs w:val="14"/>
          <w:color w:val="auto"/>
        </w:rPr>
      </w:pPr>
    </w:p>
    <w:p>
      <w:pPr>
        <w:ind w:left="1080" w:right="900" w:hanging="318"/>
        <w:spacing w:after="0" w:line="270"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Ioffe’s employment with the Company commenced on September 30, 2019 and ended on August 7, 2020, and as a result the amounts reported reflected prorated portions of his $500,000 base salary for the years ended December 31, 2019 and December 31, 2020, respectively.</w:t>
      </w:r>
    </w:p>
    <w:p>
      <w:pPr>
        <w:spacing w:after="0" w:line="91" w:lineRule="exact"/>
        <w:rPr>
          <w:rFonts w:ascii="Arial" w:cs="Arial" w:eastAsia="Arial" w:hAnsi="Arial"/>
          <w:sz w:val="14"/>
          <w:szCs w:val="14"/>
          <w:color w:val="auto"/>
        </w:rPr>
      </w:pPr>
    </w:p>
    <w:p>
      <w:pPr>
        <w:ind w:left="1080" w:right="960" w:hanging="318"/>
        <w:spacing w:after="0" w:line="27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reflects the amount paid to Mr. Ioffe as severance pursuant to the terms of his employment agreement in connection with his departure from the Company.</w:t>
      </w:r>
    </w:p>
    <w:p>
      <w:pPr>
        <w:spacing w:after="0" w:line="86" w:lineRule="exact"/>
        <w:rPr>
          <w:rFonts w:ascii="Arial" w:cs="Arial" w:eastAsia="Arial" w:hAnsi="Arial"/>
          <w:sz w:val="14"/>
          <w:szCs w:val="14"/>
          <w:color w:val="auto"/>
        </w:rPr>
      </w:pPr>
    </w:p>
    <w:p>
      <w:pPr>
        <w:ind w:left="1080" w:right="1000" w:hanging="318"/>
        <w:spacing w:after="0" w:line="267"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19 of the Company’s audited financial statements for the fiscal year ended December 31, 2019 and are included in our Annual Report on Form 10-K for the fiscal year ended December 31, 2019.</w:t>
      </w:r>
    </w:p>
    <w:p>
      <w:pPr>
        <w:spacing w:after="0" w:line="93" w:lineRule="exact"/>
        <w:rPr>
          <w:rFonts w:ascii="Arial" w:cs="Arial" w:eastAsia="Arial" w:hAnsi="Arial"/>
          <w:sz w:val="14"/>
          <w:szCs w:val="14"/>
          <w:color w:val="auto"/>
        </w:rPr>
      </w:pPr>
    </w:p>
    <w:p>
      <w:pPr>
        <w:ind w:left="1080" w:right="920" w:hanging="318"/>
        <w:spacing w:after="0" w:line="278" w:lineRule="auto"/>
        <w:tabs>
          <w:tab w:leader="none" w:pos="10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reflects Mr. Ioffe’s legal expenses associated with the completion of his employment agreement that were paid directly by the Company pursuant to the terms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1011555</wp:posOffset>
            </wp:positionV>
            <wp:extent cx="75438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27</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2" w:lineRule="exact"/>
        <w:rPr>
          <w:sz w:val="20"/>
          <w:szCs w:val="20"/>
          <w:color w:val="auto"/>
        </w:rPr>
      </w:pPr>
    </w:p>
    <w:p>
      <w:pPr>
        <w:ind w:left="1400"/>
        <w:spacing w:after="0"/>
        <w:rPr>
          <w:sz w:val="20"/>
          <w:szCs w:val="20"/>
          <w:color w:val="auto"/>
        </w:rPr>
      </w:pPr>
      <w:r>
        <w:rPr>
          <w:rFonts w:ascii="Arial" w:cs="Arial" w:eastAsia="Arial" w:hAnsi="Arial"/>
          <w:sz w:val="29"/>
          <w:szCs w:val="29"/>
          <w:color w:val="00C389"/>
        </w:rPr>
        <w:t>GRANTS OF PLAN-BASED AWARDS IN 2020 FISCAL YEAR</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information with respect to each award made to our named executive officers in 2020.</w:t>
      </w:r>
    </w:p>
    <w:p>
      <w:pPr>
        <w:spacing w:after="0" w:line="15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2554"/>
              </w:rPr>
              <w:t>All 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002554"/>
              </w:rPr>
              <w:t>Estimated Possible Payouts</w:t>
            </w: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2554"/>
              </w:rPr>
              <w:t>Estimated Possible Payouts</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w w:val="99"/>
              </w:rPr>
              <w:t>Stock</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02554"/>
              </w:rPr>
              <w:t>Awards:</w:t>
            </w:r>
          </w:p>
        </w:tc>
        <w:tc>
          <w:tcPr>
            <w:tcW w:w="940" w:type="dxa"/>
            <w:vAlign w:val="bottom"/>
            <w:gridSpan w:val="3"/>
            <w:vMerge w:val="restart"/>
          </w:tcPr>
          <w:p>
            <w:pPr>
              <w:ind w:left="60"/>
              <w:spacing w:after="0" w:line="135" w:lineRule="exact"/>
              <w:rPr>
                <w:sz w:val="20"/>
                <w:szCs w:val="20"/>
                <w:color w:val="auto"/>
              </w:rPr>
            </w:pPr>
            <w:r>
              <w:rPr>
                <w:rFonts w:ascii="Arial" w:cs="Arial" w:eastAsia="Arial" w:hAnsi="Arial"/>
                <w:sz w:val="14"/>
                <w:szCs w:val="14"/>
                <w:b w:val="1"/>
                <w:bCs w:val="1"/>
                <w:color w:val="002554"/>
              </w:rPr>
              <w:t>Grant Date</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00" w:type="dxa"/>
            <w:vAlign w:val="bottom"/>
            <w:gridSpan w:val="4"/>
            <w:vMerge w:val="restart"/>
          </w:tcPr>
          <w:p>
            <w:pPr>
              <w:jc w:val="center"/>
              <w:ind w:right="60"/>
              <w:spacing w:after="0" w:line="135" w:lineRule="exact"/>
              <w:rPr>
                <w:sz w:val="20"/>
                <w:szCs w:val="20"/>
                <w:color w:val="auto"/>
              </w:rPr>
            </w:pPr>
            <w:r>
              <w:rPr>
                <w:rFonts w:ascii="Arial" w:cs="Arial" w:eastAsia="Arial" w:hAnsi="Arial"/>
                <w:sz w:val="14"/>
                <w:szCs w:val="14"/>
                <w:b w:val="1"/>
                <w:bCs w:val="1"/>
                <w:color w:val="002554"/>
              </w:rPr>
              <w:t>Under Non-Equity</w:t>
            </w:r>
          </w:p>
        </w:tc>
        <w:tc>
          <w:tcPr>
            <w:tcW w:w="2200" w:type="dxa"/>
            <w:vAlign w:val="bottom"/>
            <w:gridSpan w:val="3"/>
            <w:vMerge w:val="restart"/>
          </w:tcPr>
          <w:p>
            <w:pPr>
              <w:jc w:val="center"/>
              <w:spacing w:after="0" w:line="135" w:lineRule="exact"/>
              <w:rPr>
                <w:sz w:val="20"/>
                <w:szCs w:val="20"/>
                <w:color w:val="auto"/>
              </w:rPr>
            </w:pPr>
            <w:r>
              <w:rPr>
                <w:rFonts w:ascii="Arial" w:cs="Arial" w:eastAsia="Arial" w:hAnsi="Arial"/>
                <w:sz w:val="14"/>
                <w:szCs w:val="14"/>
                <w:b w:val="1"/>
                <w:bCs w:val="1"/>
                <w:color w:val="002554"/>
              </w:rPr>
              <w:t>Under Equity Incentive</w:t>
            </w:r>
          </w:p>
        </w:tc>
        <w:tc>
          <w:tcPr>
            <w:tcW w:w="90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02554"/>
              </w:rPr>
              <w:t>Number of</w:t>
            </w:r>
          </w:p>
        </w:tc>
        <w:tc>
          <w:tcPr>
            <w:tcW w:w="94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002554"/>
                <w:w w:val="98"/>
              </w:rPr>
              <w:t>Fair Value</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2554"/>
              </w:rPr>
              <w:t>Incentive Plan Awards</w:t>
            </w:r>
          </w:p>
        </w:tc>
        <w:tc>
          <w:tcPr>
            <w:tcW w:w="40" w:type="dxa"/>
            <w:vAlign w:val="bottom"/>
            <w:vMerge w:val="restart"/>
          </w:tcPr>
          <w:p>
            <w:pPr>
              <w:spacing w:after="0"/>
              <w:rPr>
                <w:sz w:val="7"/>
                <w:szCs w:val="7"/>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2554"/>
              </w:rPr>
              <w:t>Plan Awards</w:t>
            </w:r>
          </w:p>
        </w:tc>
        <w:tc>
          <w:tcPr>
            <w:tcW w:w="90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60" w:type="dxa"/>
            <w:vAlign w:val="bottom"/>
            <w:tcBorders>
              <w:bottom w:val="single" w:sz="8" w:color="00C389"/>
            </w:tcBorders>
            <w:gridSpan w:val="3"/>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200" w:type="dxa"/>
            <w:vAlign w:val="bottom"/>
            <w:tcBorders>
              <w:bottom w:val="single" w:sz="8" w:color="00C389"/>
            </w:tcBorders>
            <w:gridSpan w:val="3"/>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002554"/>
              </w:rPr>
              <w:t>Shares of</w:t>
            </w:r>
          </w:p>
        </w:tc>
        <w:tc>
          <w:tcPr>
            <w:tcW w:w="94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002554"/>
              </w:rPr>
              <w:t>of Stock</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920" w:type="dxa"/>
            <w:vAlign w:val="bottom"/>
            <w:vMerge w:val="restart"/>
          </w:tcPr>
          <w:p>
            <w:pPr>
              <w:jc w:val="right"/>
              <w:ind w:right="148"/>
              <w:spacing w:after="0" w:line="155" w:lineRule="exact"/>
              <w:rPr>
                <w:sz w:val="20"/>
                <w:szCs w:val="20"/>
                <w:color w:val="auto"/>
              </w:rPr>
            </w:pPr>
            <w:r>
              <w:rPr>
                <w:rFonts w:ascii="Arial" w:cs="Arial" w:eastAsia="Arial" w:hAnsi="Arial"/>
                <w:sz w:val="14"/>
                <w:szCs w:val="14"/>
                <w:b w:val="1"/>
                <w:bCs w:val="1"/>
                <w:color w:val="002554"/>
              </w:rPr>
              <w:t>Grant</w:t>
            </w:r>
          </w:p>
        </w:tc>
        <w:tc>
          <w:tcPr>
            <w:tcW w:w="78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002554"/>
              </w:rPr>
              <w:t>Threshold</w:t>
            </w:r>
          </w:p>
        </w:tc>
        <w:tc>
          <w:tcPr>
            <w:tcW w:w="74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002554"/>
                <w:w w:val="98"/>
              </w:rPr>
              <w:t>Target</w:t>
            </w:r>
          </w:p>
        </w:tc>
        <w:tc>
          <w:tcPr>
            <w:tcW w:w="780" w:type="dxa"/>
            <w:vAlign w:val="bottom"/>
            <w:gridSpan w:val="2"/>
            <w:vMerge w:val="restart"/>
          </w:tcPr>
          <w:p>
            <w:pPr>
              <w:ind w:left="40"/>
              <w:spacing w:after="0" w:line="155" w:lineRule="exact"/>
              <w:rPr>
                <w:sz w:val="20"/>
                <w:szCs w:val="20"/>
                <w:color w:val="auto"/>
              </w:rPr>
            </w:pPr>
            <w:r>
              <w:rPr>
                <w:rFonts w:ascii="Arial" w:cs="Arial" w:eastAsia="Arial" w:hAnsi="Arial"/>
                <w:sz w:val="14"/>
                <w:szCs w:val="14"/>
                <w:b w:val="1"/>
                <w:bCs w:val="1"/>
                <w:color w:val="002554"/>
              </w:rPr>
              <w:t>Maximum</w:t>
            </w:r>
          </w:p>
        </w:tc>
        <w:tc>
          <w:tcPr>
            <w:tcW w:w="820" w:type="dxa"/>
            <w:vAlign w:val="bottom"/>
            <w:vMerge w:val="restart"/>
          </w:tcPr>
          <w:p>
            <w:pPr>
              <w:jc w:val="right"/>
              <w:ind w:right="8"/>
              <w:spacing w:after="0" w:line="155" w:lineRule="exact"/>
              <w:rPr>
                <w:sz w:val="20"/>
                <w:szCs w:val="20"/>
                <w:color w:val="auto"/>
              </w:rPr>
            </w:pPr>
            <w:r>
              <w:rPr>
                <w:rFonts w:ascii="Arial" w:cs="Arial" w:eastAsia="Arial" w:hAnsi="Arial"/>
                <w:sz w:val="14"/>
                <w:szCs w:val="14"/>
                <w:b w:val="1"/>
                <w:bCs w:val="1"/>
                <w:color w:val="002554"/>
              </w:rPr>
              <w:t>Threshold</w:t>
            </w:r>
          </w:p>
        </w:tc>
        <w:tc>
          <w:tcPr>
            <w:tcW w:w="56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002554"/>
              </w:rPr>
              <w:t>Target</w:t>
            </w:r>
          </w:p>
        </w:tc>
        <w:tc>
          <w:tcPr>
            <w:tcW w:w="820" w:type="dxa"/>
            <w:vAlign w:val="bottom"/>
            <w:vMerge w:val="restart"/>
          </w:tcPr>
          <w:p>
            <w:pPr>
              <w:jc w:val="right"/>
              <w:ind w:right="8"/>
              <w:spacing w:after="0" w:line="155" w:lineRule="exact"/>
              <w:rPr>
                <w:sz w:val="20"/>
                <w:szCs w:val="20"/>
                <w:color w:val="auto"/>
              </w:rPr>
            </w:pPr>
            <w:r>
              <w:rPr>
                <w:rFonts w:ascii="Arial" w:cs="Arial" w:eastAsia="Arial" w:hAnsi="Arial"/>
                <w:sz w:val="14"/>
                <w:szCs w:val="14"/>
                <w:b w:val="1"/>
                <w:bCs w:val="1"/>
                <w:color w:val="002554"/>
              </w:rPr>
              <w:t>Maximum</w:t>
            </w:r>
          </w:p>
        </w:tc>
        <w:tc>
          <w:tcPr>
            <w:tcW w:w="900" w:type="dxa"/>
            <w:vAlign w:val="bottom"/>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002554"/>
              </w:rPr>
              <w:t>Name and Type of Award</w:t>
            </w:r>
          </w:p>
        </w:tc>
        <w:tc>
          <w:tcPr>
            <w:tcW w:w="9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Stock Units</w:t>
            </w:r>
          </w:p>
        </w:tc>
        <w:tc>
          <w:tcPr>
            <w:tcW w:w="1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002554"/>
                <w:w w:val="98"/>
              </w:rPr>
              <w:t>Awards</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00C389"/>
            </w:tcBorders>
            <w:vMerge w:val="continue"/>
          </w:tcPr>
          <w:p>
            <w:pPr>
              <w:spacing w:after="0"/>
              <w:rPr>
                <w:sz w:val="15"/>
                <w:szCs w:val="15"/>
                <w:color w:val="auto"/>
              </w:rPr>
            </w:pPr>
          </w:p>
        </w:tc>
        <w:tc>
          <w:tcPr>
            <w:tcW w:w="920" w:type="dxa"/>
            <w:vAlign w:val="bottom"/>
            <w:tcBorders>
              <w:bottom w:val="single" w:sz="8" w:color="00C389"/>
            </w:tcBorders>
          </w:tcPr>
          <w:p>
            <w:pPr>
              <w:jc w:val="right"/>
              <w:ind w:right="168"/>
              <w:spacing w:after="0"/>
              <w:rPr>
                <w:sz w:val="20"/>
                <w:szCs w:val="20"/>
                <w:color w:val="auto"/>
              </w:rPr>
            </w:pPr>
            <w:r>
              <w:rPr>
                <w:rFonts w:ascii="Arial" w:cs="Arial" w:eastAsia="Arial" w:hAnsi="Arial"/>
                <w:sz w:val="14"/>
                <w:szCs w:val="14"/>
                <w:b w:val="1"/>
                <w:bCs w:val="1"/>
                <w:color w:val="002554"/>
              </w:rPr>
              <w:t>Date</w:t>
            </w:r>
          </w:p>
        </w:tc>
        <w:tc>
          <w:tcPr>
            <w:tcW w:w="7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w:t>
            </w:r>
          </w:p>
        </w:tc>
        <w:tc>
          <w:tcPr>
            <w:tcW w:w="740" w:type="dxa"/>
            <w:vAlign w:val="bottom"/>
            <w:tcBorders>
              <w:bottom w:val="single" w:sz="8" w:color="00C389"/>
            </w:tcBorders>
          </w:tcPr>
          <w:p>
            <w:pPr>
              <w:jc w:val="right"/>
              <w:ind w:right="208"/>
              <w:spacing w:after="0"/>
              <w:rPr>
                <w:sz w:val="20"/>
                <w:szCs w:val="20"/>
                <w:color w:val="auto"/>
              </w:rPr>
            </w:pPr>
            <w:r>
              <w:rPr>
                <w:rFonts w:ascii="Arial" w:cs="Arial" w:eastAsia="Arial" w:hAnsi="Arial"/>
                <w:sz w:val="14"/>
                <w:szCs w:val="14"/>
                <w:b w:val="1"/>
                <w:bCs w:val="1"/>
                <w:color w:val="002554"/>
              </w:rPr>
              <w:t>($)</w:t>
            </w:r>
          </w:p>
        </w:tc>
        <w:tc>
          <w:tcPr>
            <w:tcW w:w="740" w:type="dxa"/>
            <w:vAlign w:val="bottom"/>
            <w:tcBorders>
              <w:bottom w:val="single" w:sz="8" w:color="00C389"/>
            </w:tcBorders>
          </w:tcPr>
          <w:p>
            <w:pPr>
              <w:jc w:val="right"/>
              <w:ind w:right="188"/>
              <w:spacing w:after="0"/>
              <w:rPr>
                <w:sz w:val="20"/>
                <w:szCs w:val="20"/>
                <w:color w:val="auto"/>
              </w:rPr>
            </w:pPr>
            <w:r>
              <w:rPr>
                <w:rFonts w:ascii="Arial" w:cs="Arial" w:eastAsia="Arial" w:hAnsi="Arial"/>
                <w:sz w:val="14"/>
                <w:szCs w:val="14"/>
                <w:b w:val="1"/>
                <w:bCs w:val="1"/>
                <w:color w:val="002554"/>
              </w:rPr>
              <w:t>($)</w:t>
            </w:r>
          </w:p>
        </w:tc>
        <w:tc>
          <w:tcPr>
            <w:tcW w:w="40" w:type="dxa"/>
            <w:vAlign w:val="bottom"/>
            <w:tcBorders>
              <w:bottom w:val="single" w:sz="8" w:color="00C389"/>
            </w:tcBorders>
          </w:tcPr>
          <w:p>
            <w:pPr>
              <w:spacing w:after="0"/>
              <w:rPr>
                <w:sz w:val="15"/>
                <w:szCs w:val="15"/>
                <w:color w:val="auto"/>
              </w:rPr>
            </w:pPr>
          </w:p>
        </w:tc>
        <w:tc>
          <w:tcPr>
            <w:tcW w:w="820" w:type="dxa"/>
            <w:vAlign w:val="bottom"/>
            <w:tcBorders>
              <w:bottom w:val="single" w:sz="8" w:color="00C389"/>
            </w:tcBorders>
          </w:tcPr>
          <w:p>
            <w:pPr>
              <w:jc w:val="right"/>
              <w:ind w:right="248"/>
              <w:spacing w:after="0"/>
              <w:rPr>
                <w:sz w:val="20"/>
                <w:szCs w:val="20"/>
                <w:color w:val="auto"/>
              </w:rPr>
            </w:pPr>
            <w:r>
              <w:rPr>
                <w:rFonts w:ascii="Arial" w:cs="Arial" w:eastAsia="Arial" w:hAnsi="Arial"/>
                <w:sz w:val="14"/>
                <w:szCs w:val="14"/>
                <w:b w:val="1"/>
                <w:bCs w:val="1"/>
                <w:color w:val="002554"/>
              </w:rPr>
              <w:t>(#)</w:t>
            </w:r>
          </w:p>
        </w:tc>
        <w:tc>
          <w:tcPr>
            <w:tcW w:w="5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3"/>
              </w:rPr>
              <w:t>(#)</w:t>
            </w:r>
          </w:p>
        </w:tc>
        <w:tc>
          <w:tcPr>
            <w:tcW w:w="820" w:type="dxa"/>
            <w:vAlign w:val="bottom"/>
            <w:tcBorders>
              <w:bottom w:val="single" w:sz="8" w:color="00C389"/>
            </w:tcBorders>
          </w:tcPr>
          <w:p>
            <w:pPr>
              <w:jc w:val="right"/>
              <w:ind w:right="228"/>
              <w:spacing w:after="0"/>
              <w:rPr>
                <w:sz w:val="20"/>
                <w:szCs w:val="20"/>
                <w:color w:val="auto"/>
              </w:rPr>
            </w:pPr>
            <w:r>
              <w:rPr>
                <w:rFonts w:ascii="Arial" w:cs="Arial" w:eastAsia="Arial" w:hAnsi="Arial"/>
                <w:sz w:val="14"/>
                <w:szCs w:val="14"/>
                <w:b w:val="1"/>
                <w:bCs w:val="1"/>
                <w:color w:val="002554"/>
              </w:rPr>
              <w:t>(#)</w:t>
            </w:r>
          </w:p>
        </w:tc>
        <w:tc>
          <w:tcPr>
            <w:tcW w:w="90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9"/>
              </w:rPr>
              <w:t>(#)(9)</w:t>
            </w:r>
          </w:p>
        </w:tc>
        <w:tc>
          <w:tcPr>
            <w:tcW w:w="160" w:type="dxa"/>
            <w:vAlign w:val="bottom"/>
            <w:tcBorders>
              <w:bottom w:val="single" w:sz="8" w:color="00C389"/>
            </w:tcBorders>
          </w:tcPr>
          <w:p>
            <w:pPr>
              <w:spacing w:after="0"/>
              <w:rPr>
                <w:sz w:val="15"/>
                <w:szCs w:val="15"/>
                <w:color w:val="auto"/>
              </w:rPr>
            </w:pPr>
          </w:p>
        </w:tc>
        <w:tc>
          <w:tcPr>
            <w:tcW w:w="720" w:type="dxa"/>
            <w:vAlign w:val="bottom"/>
            <w:tcBorders>
              <w:bottom w:val="single" w:sz="8" w:color="00C389"/>
            </w:tcBorders>
          </w:tcPr>
          <w:p>
            <w:pPr>
              <w:jc w:val="center"/>
              <w:ind w:right="68"/>
              <w:spacing w:after="0"/>
              <w:rPr>
                <w:sz w:val="20"/>
                <w:szCs w:val="20"/>
                <w:color w:val="auto"/>
              </w:rPr>
            </w:pPr>
            <w:r>
              <w:rPr>
                <w:rFonts w:ascii="Arial" w:cs="Arial" w:eastAsia="Arial" w:hAnsi="Arial"/>
                <w:sz w:val="14"/>
                <w:szCs w:val="14"/>
                <w:b w:val="1"/>
                <w:bCs w:val="1"/>
                <w:color w:val="002554"/>
                <w:w w:val="99"/>
              </w:rPr>
              <w:t>($)(10)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Douglas A. Cifu</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4"/>
                <w:szCs w:val="14"/>
                <w:i w:val="1"/>
                <w:iCs w:val="1"/>
                <w:color w:val="auto"/>
              </w:rPr>
              <w:t>Annual Bonus</w:t>
            </w:r>
            <w:r>
              <w:rPr>
                <w:rFonts w:ascii="Arial" w:cs="Arial" w:eastAsia="Arial" w:hAnsi="Arial"/>
                <w:sz w:val="14"/>
                <w:szCs w:val="14"/>
                <w:color w:val="auto"/>
              </w:rPr>
              <w:t>(1)</w:t>
            </w:r>
          </w:p>
        </w:tc>
        <w:tc>
          <w:tcPr>
            <w:tcW w:w="9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rPr>
                <w:sz w:val="20"/>
                <w:szCs w:val="20"/>
                <w:color w:val="auto"/>
              </w:rPr>
            </w:pPr>
            <w:r>
              <w:rPr>
                <w:rFonts w:ascii="Arial" w:cs="Arial" w:eastAsia="Arial" w:hAnsi="Arial"/>
                <w:sz w:val="14"/>
                <w:szCs w:val="14"/>
                <w:color w:val="auto"/>
              </w:rPr>
              <w:t>5,000,000</w:t>
            </w:r>
          </w:p>
        </w:tc>
        <w:tc>
          <w:tcPr>
            <w:tcW w:w="4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Restricted Shares</w:t>
            </w:r>
            <w:r>
              <w:rPr>
                <w:rFonts w:ascii="Arial" w:cs="Arial" w:eastAsia="Arial" w:hAnsi="Arial"/>
                <w:sz w:val="14"/>
                <w:szCs w:val="14"/>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2/27/2020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75,000</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150,000</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$2,803,500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00C389"/>
            </w:tcBorders>
          </w:tcPr>
          <w:p>
            <w:pPr>
              <w:spacing w:after="0"/>
              <w:rPr>
                <w:sz w:val="20"/>
                <w:szCs w:val="20"/>
                <w:color w:val="auto"/>
              </w:rPr>
            </w:pPr>
            <w:r>
              <w:rPr>
                <w:rFonts w:ascii="Arial" w:cs="Arial" w:eastAsia="Arial" w:hAnsi="Arial"/>
                <w:sz w:val="14"/>
                <w:szCs w:val="14"/>
                <w:i w:val="1"/>
                <w:iCs w:val="1"/>
                <w:color w:val="auto"/>
              </w:rPr>
              <w:t>Special Award</w:t>
            </w:r>
            <w:r>
              <w:rPr>
                <w:rFonts w:ascii="Arial" w:cs="Arial" w:eastAsia="Arial" w:hAnsi="Arial"/>
                <w:sz w:val="14"/>
                <w:szCs w:val="14"/>
                <w:color w:val="auto"/>
              </w:rPr>
              <w:t>(3)</w:t>
            </w:r>
          </w:p>
        </w:tc>
        <w:tc>
          <w:tcPr>
            <w:tcW w:w="9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2/1/2020</w:t>
            </w:r>
          </w:p>
        </w:tc>
        <w:tc>
          <w:tcPr>
            <w:tcW w:w="7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389"/>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389"/>
            </w:tcBorders>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00C389"/>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389"/>
            </w:tcBorders>
          </w:tcPr>
          <w:p>
            <w:pPr>
              <w:jc w:val="right"/>
              <w:ind w:right="88"/>
              <w:spacing w:after="0"/>
              <w:rPr>
                <w:sz w:val="20"/>
                <w:szCs w:val="20"/>
                <w:color w:val="auto"/>
              </w:rPr>
            </w:pPr>
            <w:r>
              <w:rPr>
                <w:rFonts w:ascii="Arial" w:cs="Arial" w:eastAsia="Arial" w:hAnsi="Arial"/>
                <w:sz w:val="14"/>
                <w:szCs w:val="14"/>
                <w:color w:val="auto"/>
              </w:rPr>
              <w:t>125,000</w:t>
            </w:r>
          </w:p>
        </w:tc>
        <w:tc>
          <w:tcPr>
            <w:tcW w:w="880" w:type="dxa"/>
            <w:vAlign w:val="bottom"/>
            <w:tcBorders>
              <w:bottom w:val="single" w:sz="8" w:color="00C389"/>
            </w:tcBorders>
            <w:gridSpan w:val="2"/>
          </w:tcPr>
          <w:p>
            <w:pPr>
              <w:jc w:val="right"/>
              <w:ind w:right="8"/>
              <w:spacing w:after="0"/>
              <w:rPr>
                <w:sz w:val="20"/>
                <w:szCs w:val="20"/>
                <w:color w:val="auto"/>
              </w:rPr>
            </w:pPr>
            <w:r>
              <w:rPr>
                <w:rFonts w:ascii="Arial" w:cs="Arial" w:eastAsia="Arial" w:hAnsi="Arial"/>
                <w:sz w:val="14"/>
                <w:szCs w:val="14"/>
                <w:color w:val="auto"/>
              </w:rPr>
              <w:t>$3,456,025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Joseph Molluso</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4"/>
                <w:szCs w:val="14"/>
                <w:i w:val="1"/>
                <w:iCs w:val="1"/>
                <w:color w:val="auto"/>
              </w:rPr>
              <w:t>Annual Bonus</w:t>
            </w:r>
            <w:r>
              <w:rPr>
                <w:rFonts w:ascii="Arial" w:cs="Arial" w:eastAsia="Arial" w:hAnsi="Arial"/>
                <w:sz w:val="14"/>
                <w:szCs w:val="14"/>
                <w:color w:val="auto"/>
              </w:rPr>
              <w:t>(1)</w:t>
            </w:r>
          </w:p>
        </w:tc>
        <w:tc>
          <w:tcPr>
            <w:tcW w:w="9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rPr>
                <w:sz w:val="20"/>
                <w:szCs w:val="20"/>
                <w:color w:val="auto"/>
              </w:rPr>
            </w:pPr>
            <w:r>
              <w:rPr>
                <w:rFonts w:ascii="Arial" w:cs="Arial" w:eastAsia="Arial" w:hAnsi="Arial"/>
                <w:sz w:val="14"/>
                <w:szCs w:val="14"/>
                <w:color w:val="auto"/>
              </w:rPr>
              <w:t>2,500,000</w:t>
            </w:r>
          </w:p>
        </w:tc>
        <w:tc>
          <w:tcPr>
            <w:tcW w:w="4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Restricted Shares</w:t>
            </w:r>
            <w:r>
              <w:rPr>
                <w:rFonts w:ascii="Arial" w:cs="Arial" w:eastAsia="Arial" w:hAnsi="Arial"/>
                <w:sz w:val="14"/>
                <w:szCs w:val="14"/>
                <w:color w:val="auto"/>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25,000</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$1,168,500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00C389"/>
            </w:tcBorders>
          </w:tcPr>
          <w:p>
            <w:pPr>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(5)</w:t>
            </w:r>
          </w:p>
        </w:tc>
        <w:tc>
          <w:tcPr>
            <w:tcW w:w="9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6/22/2020</w:t>
            </w:r>
          </w:p>
        </w:tc>
        <w:tc>
          <w:tcPr>
            <w:tcW w:w="7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389"/>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389"/>
            </w:tcBorders>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00C389"/>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389"/>
            </w:tcBorders>
          </w:tcPr>
          <w:p>
            <w:pPr>
              <w:jc w:val="right"/>
              <w:ind w:right="88"/>
              <w:spacing w:after="0"/>
              <w:rPr>
                <w:sz w:val="20"/>
                <w:szCs w:val="20"/>
                <w:color w:val="auto"/>
              </w:rPr>
            </w:pPr>
            <w:r>
              <w:rPr>
                <w:rFonts w:ascii="Arial" w:cs="Arial" w:eastAsia="Arial" w:hAnsi="Arial"/>
                <w:sz w:val="14"/>
                <w:szCs w:val="14"/>
                <w:color w:val="auto"/>
              </w:rPr>
              <w:t>200,000</w:t>
            </w:r>
          </w:p>
        </w:tc>
        <w:tc>
          <w:tcPr>
            <w:tcW w:w="880" w:type="dxa"/>
            <w:vAlign w:val="bottom"/>
            <w:tcBorders>
              <w:bottom w:val="single" w:sz="8" w:color="00C389"/>
            </w:tcBorders>
            <w:gridSpan w:val="2"/>
          </w:tcPr>
          <w:p>
            <w:pPr>
              <w:jc w:val="right"/>
              <w:ind w:right="8"/>
              <w:spacing w:after="0"/>
              <w:rPr>
                <w:sz w:val="20"/>
                <w:szCs w:val="20"/>
                <w:color w:val="auto"/>
              </w:rPr>
            </w:pPr>
            <w:r>
              <w:rPr>
                <w:rFonts w:ascii="Arial" w:cs="Arial" w:eastAsia="Arial" w:hAnsi="Arial"/>
                <w:sz w:val="14"/>
                <w:szCs w:val="14"/>
                <w:color w:val="auto"/>
              </w:rPr>
              <w:t>$4,720,000</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Brett Fairclough</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20"/>
                <w:szCs w:val="20"/>
                <w:color w:val="auto"/>
              </w:rPr>
            </w:pPr>
            <w:r>
              <w:rPr>
                <w:rFonts w:ascii="Arial" w:cs="Arial" w:eastAsia="Arial" w:hAnsi="Arial"/>
                <w:sz w:val="14"/>
                <w:szCs w:val="14"/>
                <w:i w:val="1"/>
                <w:iCs w:val="1"/>
                <w:color w:val="auto"/>
              </w:rPr>
              <w:t>Annual Bonus</w:t>
            </w:r>
            <w:r>
              <w:rPr>
                <w:rFonts w:ascii="Arial" w:cs="Arial" w:eastAsia="Arial" w:hAnsi="Arial"/>
                <w:sz w:val="14"/>
                <w:szCs w:val="14"/>
                <w:color w:val="auto"/>
              </w:rPr>
              <w:t>(1)</w:t>
            </w:r>
          </w:p>
        </w:tc>
        <w:tc>
          <w:tcPr>
            <w:tcW w:w="9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rPr>
                <w:sz w:val="20"/>
                <w:szCs w:val="20"/>
                <w:color w:val="auto"/>
              </w:rPr>
            </w:pPr>
            <w:r>
              <w:rPr>
                <w:rFonts w:ascii="Arial" w:cs="Arial" w:eastAsia="Arial" w:hAnsi="Arial"/>
                <w:sz w:val="14"/>
                <w:szCs w:val="14"/>
                <w:color w:val="auto"/>
              </w:rPr>
              <w:t>2,500,000</w:t>
            </w:r>
          </w:p>
        </w:tc>
        <w:tc>
          <w:tcPr>
            <w:tcW w:w="4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i w:val="1"/>
                <w:iCs w:val="1"/>
                <w:color w:val="auto"/>
              </w:rPr>
              <w:t>Restricted Shares</w:t>
            </w:r>
            <w:r>
              <w:rPr>
                <w:rFonts w:ascii="Arial" w:cs="Arial" w:eastAsia="Arial" w:hAnsi="Arial"/>
                <w:sz w:val="14"/>
                <w:szCs w:val="14"/>
                <w:color w:val="auto"/>
              </w:rPr>
              <w:t>(6)</w:t>
            </w:r>
          </w:p>
        </w:tc>
        <w:tc>
          <w:tcPr>
            <w:tcW w:w="9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2/27/2020</w:t>
            </w:r>
          </w:p>
        </w:tc>
        <w:tc>
          <w:tcPr>
            <w:tcW w:w="78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00C389"/>
            </w:tcBorders>
            <w:shd w:val="clear" w:color="auto" w:fill="CCEEFF"/>
          </w:tcPr>
          <w:p>
            <w:pPr>
              <w:spacing w:after="0"/>
              <w:rPr>
                <w:sz w:val="17"/>
                <w:szCs w:val="17"/>
                <w:color w:val="auto"/>
              </w:rPr>
            </w:pPr>
          </w:p>
        </w:tc>
        <w:tc>
          <w:tcPr>
            <w:tcW w:w="740" w:type="dxa"/>
            <w:vAlign w:val="bottom"/>
            <w:tcBorders>
              <w:bottom w:val="single" w:sz="8" w:color="00C389"/>
            </w:tcBorders>
            <w:shd w:val="clear" w:color="auto" w:fill="CCEEFF"/>
          </w:tcPr>
          <w:p>
            <w:pPr>
              <w:spacing w:after="0"/>
              <w:rPr>
                <w:sz w:val="17"/>
                <w:szCs w:val="17"/>
                <w:color w:val="auto"/>
              </w:rPr>
            </w:pPr>
          </w:p>
        </w:tc>
        <w:tc>
          <w:tcPr>
            <w:tcW w:w="40" w:type="dxa"/>
            <w:vAlign w:val="bottom"/>
            <w:tcBorders>
              <w:bottom w:val="single" w:sz="8" w:color="00C389"/>
            </w:tcBorders>
            <w:shd w:val="clear" w:color="auto" w:fill="CCEEFF"/>
          </w:tcPr>
          <w:p>
            <w:pPr>
              <w:spacing w:after="0"/>
              <w:rPr>
                <w:sz w:val="17"/>
                <w:szCs w:val="17"/>
                <w:color w:val="auto"/>
              </w:rPr>
            </w:pPr>
          </w:p>
        </w:tc>
        <w:tc>
          <w:tcPr>
            <w:tcW w:w="820" w:type="dxa"/>
            <w:vAlign w:val="bottom"/>
            <w:tcBorders>
              <w:bottom w:val="single" w:sz="8" w:color="00C389"/>
            </w:tcBorders>
            <w:shd w:val="clear" w:color="auto" w:fill="CCEEFF"/>
          </w:tcPr>
          <w:p>
            <w:pPr>
              <w:jc w:val="right"/>
              <w:ind w:right="128"/>
              <w:spacing w:after="0"/>
              <w:rPr>
                <w:sz w:val="20"/>
                <w:szCs w:val="20"/>
                <w:color w:val="auto"/>
              </w:rPr>
            </w:pPr>
            <w:r>
              <w:rPr>
                <w:rFonts w:ascii="Arial" w:cs="Arial" w:eastAsia="Arial" w:hAnsi="Arial"/>
                <w:sz w:val="14"/>
                <w:szCs w:val="14"/>
                <w:color w:val="auto"/>
              </w:rPr>
              <w:t>25,000</w:t>
            </w:r>
          </w:p>
        </w:tc>
        <w:tc>
          <w:tcPr>
            <w:tcW w:w="560" w:type="dxa"/>
            <w:vAlign w:val="bottom"/>
            <w:tcBorders>
              <w:bottom w:val="single" w:sz="8" w:color="00C389"/>
            </w:tcBorders>
            <w:shd w:val="clear" w:color="auto" w:fill="CCEEFF"/>
          </w:tcPr>
          <w:p>
            <w:pPr>
              <w:spacing w:after="0"/>
              <w:rPr>
                <w:sz w:val="17"/>
                <w:szCs w:val="17"/>
                <w:color w:val="auto"/>
              </w:rPr>
            </w:pPr>
          </w:p>
        </w:tc>
        <w:tc>
          <w:tcPr>
            <w:tcW w:w="820" w:type="dxa"/>
            <w:vAlign w:val="bottom"/>
            <w:tcBorders>
              <w:bottom w:val="single" w:sz="8" w:color="00C389"/>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w:t>
            </w:r>
          </w:p>
        </w:tc>
        <w:tc>
          <w:tcPr>
            <w:tcW w:w="900" w:type="dxa"/>
            <w:vAlign w:val="bottom"/>
            <w:tcBorders>
              <w:bottom w:val="single" w:sz="8" w:color="00C389"/>
            </w:tcBorders>
            <w:shd w:val="clear" w:color="auto" w:fill="CCEEFF"/>
          </w:tcPr>
          <w:p>
            <w:pPr>
              <w:spacing w:after="0"/>
              <w:rPr>
                <w:sz w:val="17"/>
                <w:szCs w:val="17"/>
                <w:color w:val="auto"/>
              </w:rPr>
            </w:pPr>
          </w:p>
        </w:tc>
        <w:tc>
          <w:tcPr>
            <w:tcW w:w="16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00C389"/>
            </w:tcBorders>
            <w:shd w:val="clear" w:color="auto" w:fill="CCEEFF"/>
          </w:tcPr>
          <w:p>
            <w:pPr>
              <w:jc w:val="right"/>
              <w:ind w:right="8"/>
              <w:spacing w:after="0"/>
              <w:rPr>
                <w:sz w:val="20"/>
                <w:szCs w:val="20"/>
                <w:color w:val="auto"/>
              </w:rPr>
            </w:pPr>
            <w:r>
              <w:rPr>
                <w:rFonts w:ascii="Arial" w:cs="Arial" w:eastAsia="Arial" w:hAnsi="Arial"/>
                <w:sz w:val="14"/>
                <w:szCs w:val="14"/>
                <w:color w:val="auto"/>
              </w:rPr>
              <w:t>934,500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Pr>
          <w:p>
            <w:pPr>
              <w:spacing w:after="0"/>
              <w:rPr>
                <w:sz w:val="20"/>
                <w:szCs w:val="20"/>
                <w:color w:val="auto"/>
              </w:rPr>
            </w:pPr>
            <w:r>
              <w:rPr>
                <w:rFonts w:ascii="Arial" w:cs="Arial" w:eastAsia="Arial" w:hAnsi="Arial"/>
                <w:sz w:val="14"/>
                <w:szCs w:val="14"/>
                <w:b w:val="1"/>
                <w:bCs w:val="1"/>
                <w:color w:val="auto"/>
              </w:rPr>
              <w:t>Sean Galvin</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(7)</w:t>
            </w:r>
          </w:p>
        </w:tc>
        <w:tc>
          <w:tcPr>
            <w:tcW w:w="9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8/12/2020</w:t>
            </w:r>
          </w:p>
        </w:tc>
        <w:tc>
          <w:tcPr>
            <w:tcW w:w="78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389"/>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389"/>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00C389"/>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C389"/>
            </w:tcBorders>
            <w:shd w:val="clear" w:color="auto" w:fill="CCEEFF"/>
          </w:tcPr>
          <w:p>
            <w:pPr>
              <w:jc w:val="right"/>
              <w:ind w:right="88"/>
              <w:spacing w:after="0"/>
              <w:rPr>
                <w:sz w:val="20"/>
                <w:szCs w:val="20"/>
                <w:color w:val="auto"/>
              </w:rPr>
            </w:pPr>
            <w:r>
              <w:rPr>
                <w:rFonts w:ascii="Arial" w:cs="Arial" w:eastAsia="Arial" w:hAnsi="Arial"/>
                <w:sz w:val="14"/>
                <w:szCs w:val="14"/>
                <w:color w:val="auto"/>
              </w:rPr>
              <w:t>13,236</w:t>
            </w:r>
          </w:p>
        </w:tc>
        <w:tc>
          <w:tcPr>
            <w:tcW w:w="160" w:type="dxa"/>
            <w:vAlign w:val="bottom"/>
            <w:tcBorders>
              <w:bottom w:val="single" w:sz="8" w:color="00C389"/>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00C389"/>
            </w:tcBorders>
            <w:shd w:val="clear" w:color="auto" w:fill="CCEEFF"/>
          </w:tcPr>
          <w:p>
            <w:pPr>
              <w:jc w:val="right"/>
              <w:ind w:right="8"/>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Pr>
          <w:p>
            <w:pPr>
              <w:spacing w:after="0"/>
              <w:rPr>
                <w:sz w:val="20"/>
                <w:szCs w:val="20"/>
                <w:color w:val="auto"/>
              </w:rPr>
            </w:pPr>
            <w:r>
              <w:rPr>
                <w:rFonts w:ascii="Arial" w:cs="Arial" w:eastAsia="Arial" w:hAnsi="Arial"/>
                <w:sz w:val="14"/>
                <w:szCs w:val="14"/>
                <w:b w:val="1"/>
                <w:bCs w:val="1"/>
                <w:color w:val="auto"/>
              </w:rPr>
              <w:t>Stephen Cavoli</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Annual Bonus</w:t>
            </w:r>
            <w:r>
              <w:rPr>
                <w:rFonts w:ascii="Arial" w:cs="Arial" w:eastAsia="Arial" w:hAnsi="Arial"/>
                <w:sz w:val="14"/>
                <w:szCs w:val="14"/>
                <w:color w:val="auto"/>
              </w:rPr>
              <w:t>(1)</w:t>
            </w: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00C389"/>
            </w:tcBorders>
          </w:tcPr>
          <w:p>
            <w:pPr>
              <w:spacing w:after="0"/>
              <w:rPr>
                <w:sz w:val="20"/>
                <w:szCs w:val="20"/>
                <w:color w:val="auto"/>
              </w:rPr>
            </w:pPr>
            <w:r>
              <w:rPr>
                <w:rFonts w:ascii="Arial" w:cs="Arial" w:eastAsia="Arial" w:hAnsi="Arial"/>
                <w:sz w:val="14"/>
                <w:szCs w:val="14"/>
                <w:i w:val="1"/>
                <w:iCs w:val="1"/>
                <w:color w:val="auto"/>
              </w:rPr>
              <w:t>Restricted Shares</w:t>
            </w:r>
            <w:r>
              <w:rPr>
                <w:rFonts w:ascii="Arial" w:cs="Arial" w:eastAsia="Arial" w:hAnsi="Arial"/>
                <w:sz w:val="14"/>
                <w:szCs w:val="14"/>
                <w:color w:val="auto"/>
              </w:rPr>
              <w:t>(8)</w:t>
            </w:r>
          </w:p>
        </w:tc>
        <w:tc>
          <w:tcPr>
            <w:tcW w:w="92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2/27/2020</w:t>
            </w:r>
          </w:p>
        </w:tc>
        <w:tc>
          <w:tcPr>
            <w:tcW w:w="7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00C389"/>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C389"/>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C389"/>
            </w:tcBorders>
          </w:tcPr>
          <w:p>
            <w:pPr>
              <w:jc w:val="right"/>
              <w:ind w:right="128"/>
              <w:spacing w:after="0"/>
              <w:rPr>
                <w:sz w:val="20"/>
                <w:szCs w:val="20"/>
                <w:color w:val="auto"/>
              </w:rPr>
            </w:pPr>
            <w:r>
              <w:rPr>
                <w:rFonts w:ascii="Arial" w:cs="Arial" w:eastAsia="Arial" w:hAnsi="Arial"/>
                <w:sz w:val="14"/>
                <w:szCs w:val="14"/>
                <w:color w:val="auto"/>
              </w:rPr>
              <w:t>25,000</w:t>
            </w:r>
          </w:p>
        </w:tc>
        <w:tc>
          <w:tcPr>
            <w:tcW w:w="5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00C389"/>
            </w:tcBorders>
          </w:tcPr>
          <w:p>
            <w:pPr>
              <w:jc w:val="right"/>
              <w:ind w:right="48"/>
              <w:spacing w:after="0"/>
              <w:rPr>
                <w:sz w:val="20"/>
                <w:szCs w:val="20"/>
                <w:color w:val="auto"/>
              </w:rPr>
            </w:pPr>
            <w:r>
              <w:rPr>
                <w:rFonts w:ascii="Arial" w:cs="Arial" w:eastAsia="Arial" w:hAnsi="Arial"/>
                <w:sz w:val="14"/>
                <w:szCs w:val="14"/>
                <w:color w:val="auto"/>
              </w:rPr>
              <w:t>50,000</w:t>
            </w:r>
          </w:p>
        </w:tc>
        <w:tc>
          <w:tcPr>
            <w:tcW w:w="900" w:type="dxa"/>
            <w:vAlign w:val="bottom"/>
            <w:tcBorders>
              <w:bottom w:val="single" w:sz="8" w:color="00C389"/>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C389"/>
            </w:tcBorders>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00C389"/>
            </w:tcBorders>
          </w:tcPr>
          <w:p>
            <w:pPr>
              <w:jc w:val="right"/>
              <w:ind w:right="8"/>
              <w:spacing w:after="0"/>
              <w:rPr>
                <w:sz w:val="20"/>
                <w:szCs w:val="20"/>
                <w:color w:val="auto"/>
              </w:rPr>
            </w:pPr>
            <w:r>
              <w:rPr>
                <w:rFonts w:ascii="Arial" w:cs="Arial" w:eastAsia="Arial" w:hAnsi="Arial"/>
                <w:sz w:val="14"/>
                <w:szCs w:val="14"/>
                <w:color w:val="auto"/>
              </w:rPr>
              <w:t>934,500</w:t>
            </w:r>
          </w:p>
        </w:tc>
        <w:tc>
          <w:tcPr>
            <w:tcW w:w="60" w:type="dxa"/>
            <w:vAlign w:val="bottom"/>
            <w:tcBorders>
              <w:bottom w:val="single" w:sz="8" w:color="00C389"/>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80" w:right="40" w:hanging="218"/>
        <w:spacing w:after="0" w:line="278"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bonus, to the extent earned, is settled 50% in cash, 30% in restricted shares that vest in three equal annual installments and 20% in fully vested common stock.</w:t>
      </w:r>
    </w:p>
    <w:p>
      <w:pPr>
        <w:spacing w:after="0" w:line="86"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“Cifu Equity Awards” above for further discussion on the performance and vesting conditions applicable to these shares.</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“Cifu Equity Awards” above for further discussion regarding these shares.</w:t>
      </w:r>
    </w:p>
    <w:p>
      <w:pPr>
        <w:spacing w:after="0" w:line="109"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“Molluso Equity Awards” above for further discussion on the performance and vesting conditions applicable to these shares.</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“Molluso Equity Awards” above for further discussion regarding these shares.</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“Fairclough Equity Award” above for further discussion on the performance and vesting conditions applicable to these shares.</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“Galvin Equity Award” above for further discussion regarding these shares.</w:t>
      </w:r>
    </w:p>
    <w:p>
      <w:pPr>
        <w:spacing w:after="0" w:line="122" w:lineRule="exact"/>
        <w:rPr>
          <w:rFonts w:ascii="Arial" w:cs="Arial" w:eastAsia="Arial" w:hAnsi="Arial"/>
          <w:sz w:val="14"/>
          <w:szCs w:val="14"/>
          <w:color w:val="auto"/>
        </w:rPr>
      </w:pPr>
    </w:p>
    <w:p>
      <w:pPr>
        <w:ind w:left="980" w:hanging="21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“Cavoli Equity Award” above for further discussion regarding these shares.</w:t>
      </w:r>
    </w:p>
    <w:p>
      <w:pPr>
        <w:spacing w:after="0" w:line="122" w:lineRule="exact"/>
        <w:rPr>
          <w:rFonts w:ascii="Arial" w:cs="Arial" w:eastAsia="Arial" w:hAnsi="Arial"/>
          <w:sz w:val="14"/>
          <w:szCs w:val="14"/>
          <w:color w:val="auto"/>
        </w:rPr>
      </w:pPr>
    </w:p>
    <w:p>
      <w:pPr>
        <w:ind w:left="980" w:right="60" w:hanging="218"/>
        <w:spacing w:after="0" w:line="270"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made certain equity grants in 2020 that are not reportable in this table because they were awarded in settlement of the named executive officers’ 2019 annual bonus. Those equity grants are reflected in the Summary Compensation Table above under the heading “Stock Awards” for fiscal year 2019.</w:t>
      </w:r>
    </w:p>
    <w:p>
      <w:pPr>
        <w:spacing w:after="0" w:line="91" w:lineRule="exact"/>
        <w:rPr>
          <w:rFonts w:ascii="Arial" w:cs="Arial" w:eastAsia="Arial" w:hAnsi="Arial"/>
          <w:sz w:val="14"/>
          <w:szCs w:val="14"/>
          <w:color w:val="auto"/>
        </w:rPr>
      </w:pPr>
    </w:p>
    <w:p>
      <w:pPr>
        <w:ind w:left="1060" w:right="140" w:hanging="298"/>
        <w:spacing w:after="0" w:line="265" w:lineRule="auto"/>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amount represents the grant date fair value calculated in accordance with FASB ASC Topic 718. For Messrs. Molluso, Fairclough and Cavoli, the amount shown with respect to the restricted shares that vest based on budgeted adjusted EBITDA represent the value of only the 2020 portion of the 2020-2022 grant because the grant is subject to three single-year performance periods (2020, 2021 and 2022). Assumptions used in calculating these amounts are described in Note 19 of the Company's audited financial statements for the fiscal year ended December 31, 2020, included in our Annual Report on Form 10-K for the fiscal year ended December 31, 2020.</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Employment Agreements and Restrictive Covenant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Cifu</w:t>
      </w:r>
    </w:p>
    <w:p>
      <w:pPr>
        <w:spacing w:after="0" w:line="135" w:lineRule="exact"/>
        <w:rPr>
          <w:sz w:val="20"/>
          <w:szCs w:val="20"/>
          <w:color w:val="auto"/>
        </w:rPr>
      </w:pPr>
    </w:p>
    <w:p>
      <w:pPr>
        <w:ind w:left="760" w:right="100"/>
        <w:spacing w:after="0" w:line="251" w:lineRule="auto"/>
        <w:rPr>
          <w:sz w:val="20"/>
          <w:szCs w:val="20"/>
          <w:color w:val="auto"/>
        </w:rPr>
      </w:pPr>
      <w:r>
        <w:rPr>
          <w:rFonts w:ascii="Arial" w:cs="Arial" w:eastAsia="Arial" w:hAnsi="Arial"/>
          <w:sz w:val="18"/>
          <w:szCs w:val="18"/>
          <w:color w:val="auto"/>
        </w:rPr>
        <w:t>On November 15, 2017, we entered into a new employment agreement with Mr. Cifu, which amends and supersedes the terms of his prior employment agreement dated April 14, 2015, pursuant to which Mr. Cifu will continue to serve as our Chief Executive Officer and report to our board of directors. Mr. Cifu’s duties, responsibilities and permitted activities are substantially identical to his original employment agreement.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w:t>
      </w:r>
    </w:p>
    <w:p>
      <w:pPr>
        <w:spacing w:after="0" w:line="29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75438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60"/>
        <w:spacing w:after="0" w:line="237" w:lineRule="auto"/>
        <w:rPr>
          <w:sz w:val="20"/>
          <w:szCs w:val="20"/>
          <w:color w:val="auto"/>
        </w:rPr>
      </w:pPr>
      <w:r>
        <w:rPr>
          <w:rFonts w:ascii="Arial" w:cs="Arial" w:eastAsia="Arial" w:hAnsi="Arial"/>
          <w:sz w:val="18"/>
          <w:szCs w:val="18"/>
          <w:color w:val="auto"/>
        </w:rPr>
        <w:t>specified businesses and activities (including, but not necessarily limited to, his role as the Vice Chairman and Alternate Governor of the Florida Panthers, a National Hockey League franchise), and to become engaged in, or provide services to, any other business or activity in which Mr. Vincent Viola, our Founder and Chairman Emeritus, is permitted to become engaged in, to the extent that Mr. Cifu’s level of participation in such businesses or activities is consistent with his participation in the aforementioned specified businesses or activities prior to the effective date of the employment agreement.</w:t>
      </w:r>
    </w:p>
    <w:p>
      <w:pPr>
        <w:spacing w:after="0" w:line="97" w:lineRule="exact"/>
        <w:rPr>
          <w:sz w:val="20"/>
          <w:szCs w:val="20"/>
          <w:color w:val="auto"/>
        </w:rPr>
      </w:pPr>
    </w:p>
    <w:p>
      <w:pPr>
        <w:ind w:left="760" w:right="780"/>
        <w:spacing w:after="0" w:line="238" w:lineRule="auto"/>
        <w:rPr>
          <w:sz w:val="20"/>
          <w:szCs w:val="20"/>
          <w:color w:val="auto"/>
        </w:rPr>
      </w:pPr>
      <w:r>
        <w:rPr>
          <w:rFonts w:ascii="Arial" w:cs="Arial" w:eastAsia="Arial" w:hAnsi="Arial"/>
          <w:sz w:val="18"/>
          <w:szCs w:val="18"/>
          <w:color w:val="auto"/>
        </w:rPr>
        <w:t>The employment agreement has an initial term of five years ending on November 15, 2022, with automatic renewals for successive one-year terms thereafter unless either we or the executive provides notice of non-renewal 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94" w:lineRule="exact"/>
        <w:rPr>
          <w:sz w:val="20"/>
          <w:szCs w:val="20"/>
          <w:color w:val="auto"/>
        </w:rPr>
      </w:pPr>
    </w:p>
    <w:p>
      <w:pPr>
        <w:ind w:left="760" w:right="820"/>
        <w:spacing w:after="0" w:line="236" w:lineRule="auto"/>
        <w:rPr>
          <w:sz w:val="20"/>
          <w:szCs w:val="20"/>
          <w:color w:val="auto"/>
        </w:rPr>
      </w:pPr>
      <w:r>
        <w:rPr>
          <w:rFonts w:ascii="Arial" w:cs="Arial" w:eastAsia="Arial" w:hAnsi="Arial"/>
          <w:sz w:val="18"/>
          <w:szCs w:val="18"/>
          <w:color w:val="auto"/>
        </w:rPr>
        <w:t>Under the employment agreement, Mr. Cifu’s base salary is $1,000,000 and Mr. Cifu is eligible to earn an annual bonus with a target bonus opportunity equal to $2,500,000 and a maximum bonus opportunity equal to $5,000,000. Eighty percent (80%) of the annual bonus will be based on the achievement of quantitative targets composed of specific components of the Company’s annual budget and 20% of the annual bonus will be based on the achievement of qualitative goals. To the extent earned, a maximum of 50% of the annual bonus will be paid in cash, 30% of the annual bonus will be paid in the form of restricted stock units or restricted shares of Class A common stock of the Company that vest in three equal annual installments and the remaining 20% will be paid in the form of fully vested shares of Class A common stock.</w:t>
      </w:r>
    </w:p>
    <w:p>
      <w:pPr>
        <w:spacing w:after="0" w:line="100" w:lineRule="exact"/>
        <w:rPr>
          <w:sz w:val="20"/>
          <w:szCs w:val="20"/>
          <w:color w:val="auto"/>
        </w:rPr>
      </w:pPr>
    </w:p>
    <w:p>
      <w:pPr>
        <w:ind w:left="760" w:right="780"/>
        <w:spacing w:after="0" w:line="236" w:lineRule="auto"/>
        <w:rPr>
          <w:sz w:val="20"/>
          <w:szCs w:val="20"/>
          <w:color w:val="auto"/>
        </w:rPr>
      </w:pPr>
      <w:r>
        <w:rPr>
          <w:rFonts w:ascii="Arial" w:cs="Arial" w:eastAsia="Arial" w:hAnsi="Arial"/>
          <w:sz w:val="18"/>
          <w:szCs w:val="18"/>
          <w:color w:val="auto"/>
        </w:rPr>
        <w:t>The employment agreement provides that, commencing with calendar year 2018, Mr. Cifu is eligible to receive an equity award at the beginning of each calendar year during the term (each such award to any executive, an “annual equity grant”). It is our board of directors’ current intention that the annual equity grant will be in the form of 150,000 restricted shares of Class A common stock that are subject to performance and service conditions. The number of shares earned under each annual equity grant will be based on the percentage of budgeted EBITDA achieved in the applicable calendar year, with a minimum of 50% of shares earned upon at least 70% achievement and 100% of shares earned upon at least 75% achievement. To the extent any shares of Class A common stock are earned with respect to an applicable annual equity grant, 50% of such shares will vest on the last day of the calendar year to which such award relates and the remaining 50% will vest on the last day of the subsequent calendar year, subject to Mr. Cifu’s continued employment through each applicable vesting date.</w:t>
      </w:r>
    </w:p>
    <w:p>
      <w:pPr>
        <w:spacing w:after="0" w:line="98" w:lineRule="exact"/>
        <w:rPr>
          <w:sz w:val="20"/>
          <w:szCs w:val="20"/>
          <w:color w:val="auto"/>
        </w:rPr>
      </w:pPr>
    </w:p>
    <w:p>
      <w:pPr>
        <w:ind w:left="760" w:right="840"/>
        <w:spacing w:after="0" w:line="257" w:lineRule="auto"/>
        <w:rPr>
          <w:sz w:val="20"/>
          <w:szCs w:val="20"/>
          <w:color w:val="auto"/>
        </w:rPr>
      </w:pPr>
      <w:r>
        <w:rPr>
          <w:rFonts w:ascii="Arial" w:cs="Arial" w:eastAsia="Arial" w:hAnsi="Arial"/>
          <w:sz w:val="17"/>
          <w:szCs w:val="17"/>
          <w:color w:val="auto"/>
        </w:rPr>
        <w:t>The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81" w:lineRule="exact"/>
        <w:rPr>
          <w:sz w:val="20"/>
          <w:szCs w:val="20"/>
          <w:color w:val="auto"/>
        </w:rPr>
      </w:pPr>
    </w:p>
    <w:p>
      <w:pPr>
        <w:ind w:left="760" w:right="800"/>
        <w:spacing w:after="0" w:line="236" w:lineRule="auto"/>
        <w:rPr>
          <w:sz w:val="20"/>
          <w:szCs w:val="20"/>
          <w:color w:val="auto"/>
        </w:rPr>
      </w:pPr>
      <w:r>
        <w:rPr>
          <w:rFonts w:ascii="Arial" w:cs="Arial" w:eastAsia="Arial" w:hAnsi="Arial"/>
          <w:sz w:val="18"/>
          <w:szCs w:val="18"/>
          <w:color w:val="auto"/>
        </w:rPr>
        <w:t>The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The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Code.</w:t>
      </w:r>
    </w:p>
    <w:p>
      <w:pPr>
        <w:spacing w:after="0" w:line="98" w:lineRule="exact"/>
        <w:rPr>
          <w:sz w:val="20"/>
          <w:szCs w:val="20"/>
          <w:color w:val="auto"/>
        </w:rPr>
      </w:pPr>
    </w:p>
    <w:p>
      <w:pPr>
        <w:ind w:left="760" w:right="1420"/>
        <w:spacing w:after="0" w:line="246" w:lineRule="auto"/>
        <w:rPr>
          <w:sz w:val="20"/>
          <w:szCs w:val="20"/>
          <w:color w:val="auto"/>
        </w:rPr>
      </w:pPr>
      <w:r>
        <w:rPr>
          <w:rFonts w:ascii="Arial" w:cs="Arial" w:eastAsia="Arial" w:hAnsi="Arial"/>
          <w:sz w:val="18"/>
          <w:szCs w:val="18"/>
          <w:color w:val="auto"/>
        </w:rPr>
        <w:t>The employment agreement for Mr. Cifu provides for severance upon certain terminations of employment as described below under “Potential Payments Upon Termination of Employment or Change in Control.”</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Molluso</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Virtu East entered into a new employment agreement with Mr. Molluso on April 30, 2020, pursuant to which</w:t>
      </w:r>
    </w:p>
    <w:p>
      <w:pPr>
        <w:ind w:left="760" w:right="860"/>
        <w:spacing w:after="0" w:line="238" w:lineRule="auto"/>
        <w:rPr>
          <w:sz w:val="20"/>
          <w:szCs w:val="20"/>
          <w:color w:val="auto"/>
        </w:rPr>
      </w:pPr>
      <w:r>
        <w:rPr>
          <w:rFonts w:ascii="Arial" w:cs="Arial" w:eastAsia="Arial" w:hAnsi="Arial"/>
          <w:sz w:val="18"/>
          <w:szCs w:val="18"/>
          <w:color w:val="auto"/>
        </w:rPr>
        <w:t>Mr. Molluso was appointed as our Co-President and Co-Chief Operating Officer, reporting to our Chief Executive Officer. Mr. Molluso’s employment agreement further provides that to the extent such activities do not significantly interfere with the performance of his duties, service and responsibilities, Mr. Molluso is permitted to manage his personal, financial and legal affairs, serve on civic or charitable boards and committees and, to the extent approved by our board of directors, serve on corporate boards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206375</wp:posOffset>
            </wp:positionV>
            <wp:extent cx="75438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29</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The employment agreement has an initial term of three years ending on April 30, 2023, with automatic renewals for successive one-year terms thereafter unless either we or the executive provides notice of non-renewal at least ninety days in advance of the expiration of the then-current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97" w:lineRule="exact"/>
        <w:rPr>
          <w:sz w:val="20"/>
          <w:szCs w:val="20"/>
          <w:color w:val="auto"/>
        </w:rPr>
      </w:pPr>
    </w:p>
    <w:p>
      <w:pPr>
        <w:ind w:left="760"/>
        <w:spacing w:after="0" w:line="251" w:lineRule="auto"/>
        <w:rPr>
          <w:sz w:val="20"/>
          <w:szCs w:val="20"/>
          <w:color w:val="auto"/>
        </w:rPr>
      </w:pPr>
      <w:r>
        <w:rPr>
          <w:rFonts w:ascii="Arial" w:cs="Arial" w:eastAsia="Arial" w:hAnsi="Arial"/>
          <w:sz w:val="18"/>
          <w:szCs w:val="18"/>
          <w:color w:val="auto"/>
        </w:rPr>
        <w:t>Under the employment agreement, Mr. Molluso’s base salary is $500,000 and Mr. Molluso is eligible to earn an annual bonus with a minimum amount of $2,500,000 with respect to the fiscal year ended December 31, 2020 and $1,500,000 with respect to the fiscal years ended Decmeber 31, 2021 and December 31, 2022, and a maximum bonus opportunity equal to $2,500,000. Eighty percent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104" w:lineRule="exact"/>
        <w:rPr>
          <w:sz w:val="20"/>
          <w:szCs w:val="20"/>
          <w:color w:val="auto"/>
        </w:rPr>
      </w:pPr>
    </w:p>
    <w:p>
      <w:pPr>
        <w:ind w:left="760"/>
        <w:spacing w:after="0" w:line="252"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June 22,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99" w:lineRule="exact"/>
        <w:rPr>
          <w:sz w:val="20"/>
          <w:szCs w:val="20"/>
          <w:color w:val="auto"/>
        </w:rPr>
      </w:pPr>
    </w:p>
    <w:p>
      <w:pPr>
        <w:ind w:left="760" w:right="60"/>
        <w:spacing w:after="0" w:line="252" w:lineRule="auto"/>
        <w:rPr>
          <w:sz w:val="20"/>
          <w:szCs w:val="20"/>
          <w:color w:val="auto"/>
        </w:rPr>
      </w:pPr>
      <w:r>
        <w:rPr>
          <w:rFonts w:ascii="Arial" w:cs="Arial" w:eastAsia="Arial" w:hAnsi="Arial"/>
          <w:sz w:val="18"/>
          <w:szCs w:val="18"/>
          <w:color w:val="auto"/>
        </w:rPr>
        <w:t>The employment agreement also provided for sign-on bonuses as compensation for forfeited equity interests in his former employer in the form of (i) a grant of 200,000 restricted stock units, vesting in three equal installments on each of January 24, 2021, January 24, 2022 and January 24, 2023 and otherwise issued pursuant to and subject to the terms and conditions of the Plan and a separate award agreement and (ii) a cash sign-on bonus of $2,500,000, $1,666,667 of which is subject to a prorated clawback right of the Company based on the proportion of the term elapsed as of the date that Mr. Molluso’s employment is terminated for Cause (as defined therein) or he resigns without Good Reason (as defined therein).</w:t>
      </w:r>
    </w:p>
    <w:p>
      <w:pPr>
        <w:spacing w:after="0" w:line="99" w:lineRule="exact"/>
        <w:rPr>
          <w:sz w:val="20"/>
          <w:szCs w:val="20"/>
          <w:color w:val="auto"/>
        </w:rPr>
      </w:pPr>
    </w:p>
    <w:p>
      <w:pPr>
        <w:ind w:left="760" w:right="20"/>
        <w:spacing w:after="0" w:line="254" w:lineRule="auto"/>
        <w:rPr>
          <w:sz w:val="20"/>
          <w:szCs w:val="20"/>
          <w:color w:val="auto"/>
        </w:rPr>
      </w:pPr>
      <w:r>
        <w:rPr>
          <w:rFonts w:ascii="Arial" w:cs="Arial" w:eastAsia="Arial" w:hAnsi="Arial"/>
          <w:sz w:val="18"/>
          <w:szCs w:val="18"/>
          <w:color w:val="auto"/>
        </w:rPr>
        <w:t>The employment agreement further provides that Mr. Molluso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96" w:lineRule="exact"/>
        <w:rPr>
          <w:sz w:val="20"/>
          <w:szCs w:val="20"/>
          <w:color w:val="auto"/>
        </w:rPr>
      </w:pPr>
    </w:p>
    <w:p>
      <w:pPr>
        <w:ind w:left="760" w:right="80"/>
        <w:spacing w:after="0" w:line="273" w:lineRule="auto"/>
        <w:rPr>
          <w:sz w:val="20"/>
          <w:szCs w:val="20"/>
          <w:color w:val="auto"/>
        </w:rPr>
      </w:pPr>
      <w:r>
        <w:rPr>
          <w:rFonts w:ascii="Arial" w:cs="Arial" w:eastAsia="Arial" w:hAnsi="Arial"/>
          <w:sz w:val="17"/>
          <w:szCs w:val="17"/>
          <w:color w:val="auto"/>
        </w:rPr>
        <w:t>The employment agreement includes an acknowledgment that Mr. Molluso continues to be bound by the confidentiality and restrictive covenant provisions set forth in his original agreement, which provides for confidentiality and non-disparagement restrictions, as well as non-compete and non-solicitation restrictions until the thirty-six month anniversary of the date on which Mr. Molluso ceases to be an officer or employee of the Company.</w:t>
      </w:r>
    </w:p>
    <w:p>
      <w:pPr>
        <w:spacing w:after="0" w:line="83" w:lineRule="exact"/>
        <w:rPr>
          <w:sz w:val="20"/>
          <w:szCs w:val="20"/>
          <w:color w:val="auto"/>
        </w:rPr>
      </w:pPr>
    </w:p>
    <w:p>
      <w:pPr>
        <w:ind w:left="760" w:right="340"/>
        <w:spacing w:after="0" w:line="261" w:lineRule="auto"/>
        <w:rPr>
          <w:sz w:val="20"/>
          <w:szCs w:val="20"/>
          <w:color w:val="auto"/>
        </w:rPr>
      </w:pPr>
      <w:r>
        <w:rPr>
          <w:rFonts w:ascii="Arial" w:cs="Arial" w:eastAsia="Arial" w:hAnsi="Arial"/>
          <w:sz w:val="18"/>
          <w:szCs w:val="18"/>
          <w:color w:val="auto"/>
        </w:rPr>
        <w:t>The employment agreement for Mr. Molluso provides for severance upon certain terminations of employment as described below under “Potential Payments Upon Termination of Employment or Change in Control.”</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Fairclough</w:t>
      </w:r>
    </w:p>
    <w:p>
      <w:pPr>
        <w:spacing w:after="0" w:line="135" w:lineRule="exact"/>
        <w:rPr>
          <w:sz w:val="20"/>
          <w:szCs w:val="20"/>
          <w:color w:val="auto"/>
        </w:rPr>
      </w:pPr>
    </w:p>
    <w:p>
      <w:pPr>
        <w:ind w:left="760" w:right="40"/>
        <w:spacing w:after="0" w:line="252" w:lineRule="auto"/>
        <w:rPr>
          <w:sz w:val="20"/>
          <w:szCs w:val="20"/>
          <w:color w:val="auto"/>
        </w:rPr>
      </w:pPr>
      <w:r>
        <w:rPr>
          <w:rFonts w:ascii="Arial" w:cs="Arial" w:eastAsia="Arial" w:hAnsi="Arial"/>
          <w:sz w:val="18"/>
          <w:szCs w:val="18"/>
          <w:color w:val="auto"/>
        </w:rPr>
        <w:t>Virtu East entered into a new employment agreement with Mr. Fairclough on February 26, 2020, which amends and supersedes the terms of his prior employment agreement dated April 17, 2019, pursuant to which Mr. Fairclough was appointed as our Chief Operating Officer, reporting to our Chief Executive Officer. Mr. Fairclough has since been appointed as Co-President and Co-Chief Operating Officer. Mr. Fairclough’s employment agreement further provides that to the extent such activities do not significantly interfere with the performance of his duties, service and responsibilities, Mr. Fairclough is permitted to manage his personal, financial and legal affairs, serve on civic or charitable boards and committees and, to the extent approved by our board of directors, serve on corporate boards and committees.</w:t>
      </w:r>
    </w:p>
    <w:p>
      <w:pPr>
        <w:spacing w:after="0" w:line="97" w:lineRule="exact"/>
        <w:rPr>
          <w:sz w:val="20"/>
          <w:szCs w:val="20"/>
          <w:color w:val="auto"/>
        </w:rPr>
      </w:pPr>
    </w:p>
    <w:p>
      <w:pPr>
        <w:ind w:left="760" w:right="80"/>
        <w:spacing w:after="0" w:line="278" w:lineRule="auto"/>
        <w:rPr>
          <w:sz w:val="20"/>
          <w:szCs w:val="20"/>
          <w:color w:val="auto"/>
        </w:rPr>
      </w:pPr>
      <w:r>
        <w:rPr>
          <w:rFonts w:ascii="Arial" w:cs="Arial" w:eastAsia="Arial" w:hAnsi="Arial"/>
          <w:sz w:val="17"/>
          <w:szCs w:val="17"/>
          <w:color w:val="auto"/>
        </w:rPr>
        <w:t>The employment agreement has an initial term of four years ending on February 26, 2024, with automatic renewals for successive one-year terms thereafter unless either we or the executive provides notice of non-renewal at least ninety days in advance of the expiration of the then-current term. However, if a change in control of the Company</w:t>
      </w:r>
    </w:p>
    <w:p>
      <w:pPr>
        <w:spacing w:after="0" w:line="269"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754380" cy="2400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920"/>
        <w:spacing w:after="0" w:line="246" w:lineRule="auto"/>
        <w:rPr>
          <w:sz w:val="20"/>
          <w:szCs w:val="20"/>
          <w:color w:val="auto"/>
        </w:rPr>
      </w:pPr>
      <w:r>
        <w:rPr>
          <w:rFonts w:ascii="Arial" w:cs="Arial" w:eastAsia="Arial" w:hAnsi="Arial"/>
          <w:sz w:val="18"/>
          <w:szCs w:val="18"/>
          <w:color w:val="auto"/>
        </w:rPr>
        <w:t>occurs at a time when there is less than one year remaining in the term, the term will automatically be extended so that the expiration date is one year from the effective date of the change in control.</w:t>
      </w:r>
    </w:p>
    <w:p>
      <w:pPr>
        <w:spacing w:after="0" w:line="89" w:lineRule="exact"/>
        <w:rPr>
          <w:sz w:val="20"/>
          <w:szCs w:val="20"/>
          <w:color w:val="auto"/>
        </w:rPr>
      </w:pPr>
    </w:p>
    <w:p>
      <w:pPr>
        <w:ind w:left="760" w:right="800"/>
        <w:spacing w:after="0" w:line="236" w:lineRule="auto"/>
        <w:rPr>
          <w:sz w:val="20"/>
          <w:szCs w:val="20"/>
          <w:color w:val="auto"/>
        </w:rPr>
      </w:pPr>
      <w:r>
        <w:rPr>
          <w:rFonts w:ascii="Arial" w:cs="Arial" w:eastAsia="Arial" w:hAnsi="Arial"/>
          <w:sz w:val="18"/>
          <w:szCs w:val="18"/>
          <w:color w:val="auto"/>
        </w:rPr>
        <w:t>Under the employment agreement, Mr. Fairclough’s base salary is $500,000 and Mr. Fairclough is eligible to earn an annual bonus with a target bonus opportunity equal to $1,500,000 and a maximum bonus opportunity equal to $2,500,000. Eighty percent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 stock units and fully vested shares of Class A common stock in accordance with the Company’s incentive and equity plans as in effect from time to time.</w:t>
      </w:r>
    </w:p>
    <w:p>
      <w:pPr>
        <w:spacing w:after="0" w:line="100"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95" w:lineRule="exact"/>
        <w:rPr>
          <w:sz w:val="20"/>
          <w:szCs w:val="20"/>
          <w:color w:val="auto"/>
        </w:rPr>
      </w:pPr>
    </w:p>
    <w:p>
      <w:pPr>
        <w:jc w:val="both"/>
        <w:ind w:left="760" w:right="1080"/>
        <w:spacing w:after="0" w:line="238" w:lineRule="auto"/>
        <w:rPr>
          <w:sz w:val="20"/>
          <w:szCs w:val="20"/>
          <w:color w:val="auto"/>
        </w:rPr>
      </w:pPr>
      <w:r>
        <w:rPr>
          <w:rFonts w:ascii="Arial" w:cs="Arial" w:eastAsia="Arial" w:hAnsi="Arial"/>
          <w:sz w:val="18"/>
          <w:szCs w:val="18"/>
          <w:color w:val="auto"/>
        </w:rPr>
        <w:t>The employment agreement further provides that Mr. Fairclough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97" w:lineRule="exact"/>
        <w:rPr>
          <w:sz w:val="20"/>
          <w:szCs w:val="20"/>
          <w:color w:val="auto"/>
        </w:rPr>
      </w:pPr>
    </w:p>
    <w:p>
      <w:pPr>
        <w:ind w:left="760" w:right="860"/>
        <w:spacing w:after="0" w:line="238" w:lineRule="auto"/>
        <w:rPr>
          <w:sz w:val="20"/>
          <w:szCs w:val="20"/>
          <w:color w:val="auto"/>
        </w:rPr>
      </w:pPr>
      <w:r>
        <w:rPr>
          <w:rFonts w:ascii="Arial" w:cs="Arial" w:eastAsia="Arial" w:hAnsi="Arial"/>
          <w:sz w:val="18"/>
          <w:szCs w:val="18"/>
          <w:color w:val="auto"/>
        </w:rPr>
        <w:t>The employment agreement includes an acknowledgment that Mr. Fairclough continues to be bound by the confidentiality and restrictive covenant provisions set forth in his original agreement, which provides for confidentiality and non-disparagement restrictions, as well as non-compete and non-solicitation restrictions until the thirty-six month anniversary of the date on which Mr. Fairclough ceases to be an officer or employee of the Company.</w:t>
      </w:r>
    </w:p>
    <w:p>
      <w:pPr>
        <w:spacing w:after="0" w:line="94" w:lineRule="exact"/>
        <w:rPr>
          <w:sz w:val="20"/>
          <w:szCs w:val="20"/>
          <w:color w:val="auto"/>
        </w:rPr>
      </w:pPr>
    </w:p>
    <w:p>
      <w:pPr>
        <w:ind w:left="760" w:right="900"/>
        <w:spacing w:after="0" w:line="246" w:lineRule="auto"/>
        <w:rPr>
          <w:sz w:val="20"/>
          <w:szCs w:val="20"/>
          <w:color w:val="auto"/>
        </w:rPr>
      </w:pPr>
      <w:r>
        <w:rPr>
          <w:rFonts w:ascii="Arial" w:cs="Arial" w:eastAsia="Arial" w:hAnsi="Arial"/>
          <w:sz w:val="18"/>
          <w:szCs w:val="18"/>
          <w:color w:val="auto"/>
        </w:rPr>
        <w:t>The employment agreement for Mr. Fairclough provides for severance upon certain terminations of employment as described below under “Potential Payments Upon Termination of Employment or Change in Control.”</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Galvin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Virtu East entered into an employment agreement with Mr. Galvin on August 7, 2020 on an “at will” employment</w:t>
      </w:r>
    </w:p>
    <w:p>
      <w:pPr>
        <w:ind w:left="760"/>
        <w:spacing w:after="0" w:line="234" w:lineRule="auto"/>
        <w:rPr>
          <w:sz w:val="20"/>
          <w:szCs w:val="20"/>
          <w:color w:val="auto"/>
        </w:rPr>
      </w:pPr>
      <w:r>
        <w:rPr>
          <w:rFonts w:ascii="Arial" w:cs="Arial" w:eastAsia="Arial" w:hAnsi="Arial"/>
          <w:sz w:val="18"/>
          <w:szCs w:val="18"/>
          <w:color w:val="auto"/>
        </w:rPr>
        <w:t>basis. The employment agreement provides for a salary of $250,000 per year. In addition, the employment</w:t>
      </w:r>
    </w:p>
    <w:p>
      <w:pPr>
        <w:ind w:left="760"/>
        <w:spacing w:after="0" w:line="235" w:lineRule="auto"/>
        <w:rPr>
          <w:sz w:val="20"/>
          <w:szCs w:val="20"/>
          <w:color w:val="auto"/>
        </w:rPr>
      </w:pPr>
      <w:r>
        <w:rPr>
          <w:rFonts w:ascii="Arial" w:cs="Arial" w:eastAsia="Arial" w:hAnsi="Arial"/>
          <w:sz w:val="18"/>
          <w:szCs w:val="18"/>
          <w:color w:val="auto"/>
        </w:rPr>
        <w:t>agreement provides for eligibility to earn an annual bonus payable in cash and stock, as determined at the sole</w:t>
      </w:r>
    </w:p>
    <w:p>
      <w:pPr>
        <w:ind w:left="760"/>
        <w:spacing w:after="0" w:line="235" w:lineRule="auto"/>
        <w:rPr>
          <w:sz w:val="20"/>
          <w:szCs w:val="20"/>
          <w:color w:val="auto"/>
        </w:rPr>
      </w:pPr>
      <w:r>
        <w:rPr>
          <w:rFonts w:ascii="Arial" w:cs="Arial" w:eastAsia="Arial" w:hAnsi="Arial"/>
          <w:sz w:val="18"/>
          <w:szCs w:val="18"/>
          <w:color w:val="auto"/>
        </w:rPr>
        <w:t>discretion of Virtu East, which bonus shall be in the amount of $450,000 for the year ended December 31, 2020.</w:t>
      </w:r>
    </w:p>
    <w:p>
      <w:pPr>
        <w:ind w:left="760"/>
        <w:spacing w:after="0" w:line="235" w:lineRule="auto"/>
        <w:rPr>
          <w:sz w:val="20"/>
          <w:szCs w:val="20"/>
          <w:color w:val="auto"/>
        </w:rPr>
      </w:pPr>
      <w:r>
        <w:rPr>
          <w:rFonts w:ascii="Arial" w:cs="Arial" w:eastAsia="Arial" w:hAnsi="Arial"/>
          <w:sz w:val="18"/>
          <w:szCs w:val="18"/>
          <w:color w:val="auto"/>
        </w:rPr>
        <w:t>The employment agreement also provided for a grant of restricted stock units with the number of restricted</w:t>
      </w:r>
    </w:p>
    <w:p>
      <w:pPr>
        <w:ind w:left="760"/>
        <w:spacing w:after="0" w:line="235" w:lineRule="auto"/>
        <w:rPr>
          <w:sz w:val="20"/>
          <w:szCs w:val="20"/>
          <w:color w:val="auto"/>
        </w:rPr>
      </w:pPr>
      <w:r>
        <w:rPr>
          <w:rFonts w:ascii="Arial" w:cs="Arial" w:eastAsia="Arial" w:hAnsi="Arial"/>
          <w:sz w:val="18"/>
          <w:szCs w:val="18"/>
          <w:color w:val="auto"/>
        </w:rPr>
        <w:t>stock units to be granted determined by dividing $300,000 by the applicable issue price of the Company’s Class A</w:t>
      </w:r>
    </w:p>
    <w:p>
      <w:pPr>
        <w:ind w:left="760"/>
        <w:spacing w:after="0" w:line="234" w:lineRule="auto"/>
        <w:rPr>
          <w:sz w:val="20"/>
          <w:szCs w:val="20"/>
          <w:color w:val="auto"/>
        </w:rPr>
      </w:pPr>
      <w:r>
        <w:rPr>
          <w:rFonts w:ascii="Arial" w:cs="Arial" w:eastAsia="Arial" w:hAnsi="Arial"/>
          <w:sz w:val="18"/>
          <w:szCs w:val="18"/>
          <w:color w:val="auto"/>
        </w:rPr>
        <w:t>common stock following Mr. Galvin’s start date. In addition, Mr. Galvin is eligible to participate in all benefit programs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Virtu East available to similarly situated employees.</w:t>
      </w:r>
    </w:p>
    <w:p>
      <w:pPr>
        <w:spacing w:after="0" w:line="104" w:lineRule="exact"/>
        <w:rPr>
          <w:sz w:val="20"/>
          <w:szCs w:val="20"/>
          <w:color w:val="auto"/>
        </w:rPr>
      </w:pPr>
    </w:p>
    <w:p>
      <w:pPr>
        <w:ind w:left="760" w:right="980"/>
        <w:spacing w:after="0" w:line="238" w:lineRule="auto"/>
        <w:rPr>
          <w:sz w:val="20"/>
          <w:szCs w:val="20"/>
          <w:color w:val="auto"/>
        </w:rPr>
      </w:pPr>
      <w:r>
        <w:rPr>
          <w:rFonts w:ascii="Arial" w:cs="Arial" w:eastAsia="Arial" w:hAnsi="Arial"/>
          <w:sz w:val="18"/>
          <w:szCs w:val="18"/>
          <w:color w:val="auto"/>
        </w:rPr>
        <w:t>In connection with his employment agreement, Mr. Galvin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12 months thereafter.</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Cavoli</w:t>
      </w:r>
    </w:p>
    <w:p>
      <w:pPr>
        <w:spacing w:after="0" w:line="135" w:lineRule="exact"/>
        <w:rPr>
          <w:sz w:val="20"/>
          <w:szCs w:val="20"/>
          <w:color w:val="auto"/>
        </w:rPr>
      </w:pPr>
    </w:p>
    <w:p>
      <w:pPr>
        <w:ind w:left="760" w:right="820"/>
        <w:spacing w:after="0" w:line="237" w:lineRule="auto"/>
        <w:rPr>
          <w:sz w:val="20"/>
          <w:szCs w:val="20"/>
          <w:color w:val="auto"/>
        </w:rPr>
      </w:pPr>
      <w:r>
        <w:rPr>
          <w:rFonts w:ascii="Arial" w:cs="Arial" w:eastAsia="Arial" w:hAnsi="Arial"/>
          <w:sz w:val="18"/>
          <w:szCs w:val="18"/>
          <w:color w:val="auto"/>
        </w:rPr>
        <w:t>Virtu East entered into a new employment agreement with Mr. Cavoli on February 26, 2020, which amends and supersedes the terms of his prior employment agreement dated June 24, 2015, pursuant to which Mr. Cavoli will continue to serve as our Executive Vice President, Markets and report to our Chief Executive Officer. Mr. Cavoli’s employment agreement further provides that to the extent such activities do not significantly interfere with the performance of his duties, service and responsibilities, Mr. Cavoli is permitted to manage his personal, financial and legal affairs, serve on civic or charitable boards and committees and, to the extent approved by our board of directors, serve on corporate boards and committees.</w:t>
      </w:r>
    </w:p>
    <w:p>
      <w:pPr>
        <w:spacing w:after="0" w:line="95" w:lineRule="exact"/>
        <w:rPr>
          <w:sz w:val="20"/>
          <w:szCs w:val="20"/>
          <w:color w:val="auto"/>
        </w:rPr>
      </w:pPr>
    </w:p>
    <w:p>
      <w:pPr>
        <w:ind w:left="760" w:right="840"/>
        <w:spacing w:after="0" w:line="274" w:lineRule="auto"/>
        <w:rPr>
          <w:sz w:val="20"/>
          <w:szCs w:val="20"/>
          <w:color w:val="auto"/>
        </w:rPr>
      </w:pPr>
      <w:r>
        <w:rPr>
          <w:rFonts w:ascii="Arial" w:cs="Arial" w:eastAsia="Arial" w:hAnsi="Arial"/>
          <w:sz w:val="17"/>
          <w:szCs w:val="17"/>
          <w:color w:val="auto"/>
        </w:rPr>
        <w:t>The employment agreement has an initial term of three years ending on February 26, 2023, with automatic renewals for successive one-year terms thereafter unless either we or the executive provides notice of non-renewal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31</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340"/>
        <w:spacing w:after="0"/>
        <w:rPr>
          <w:sz w:val="20"/>
          <w:szCs w:val="20"/>
          <w:color w:val="auto"/>
        </w:rPr>
      </w:pPr>
      <w:r>
        <w:rPr>
          <w:rFonts w:ascii="Arial" w:cs="Arial" w:eastAsia="Arial" w:hAnsi="Arial"/>
          <w:sz w:val="18"/>
          <w:szCs w:val="18"/>
          <w:color w:val="auto"/>
        </w:rPr>
        <w:t>at least ninety days in advance of the expiration of the then-current term. However, if a change in control of the Company occurs at a time when there is less than one year remaining in the term, the term will automatically be extended so that the expiration date is one year from the effective date of the change in control.</w:t>
      </w:r>
    </w:p>
    <w:p>
      <w:pPr>
        <w:spacing w:after="0" w:line="95" w:lineRule="exact"/>
        <w:rPr>
          <w:sz w:val="20"/>
          <w:szCs w:val="20"/>
          <w:color w:val="auto"/>
        </w:rPr>
      </w:pPr>
    </w:p>
    <w:p>
      <w:pPr>
        <w:ind w:left="760"/>
        <w:spacing w:after="0" w:line="234" w:lineRule="auto"/>
        <w:rPr>
          <w:sz w:val="20"/>
          <w:szCs w:val="20"/>
          <w:color w:val="auto"/>
        </w:rPr>
      </w:pPr>
      <w:r>
        <w:rPr>
          <w:rFonts w:ascii="Arial" w:cs="Arial" w:eastAsia="Arial" w:hAnsi="Arial"/>
          <w:sz w:val="18"/>
          <w:szCs w:val="18"/>
          <w:color w:val="auto"/>
        </w:rPr>
        <w:t>Under the employment agreement, Mr. Cavoli’s base salary is $500,000 and Mr. Cavoli is eligible to earn an annual bonus with a target bonus opportunity equal to $1,500,000 and a maximum bonus opportunity equal to $2,500,000. Eighty percent (80%) of the annual bonus will be based on the achievement of quantitative targets set by the Company’s Chief Executive Officer together with the Compensation Committee and 20% of the annual bonus will be based on the achievement of qualitative goals set by the Company’s Chief Executive Officer together with the Compensation Committee. To the extent earned, the annual bonus will be paid in a mix of cash, restricted</w:t>
      </w:r>
    </w:p>
    <w:p>
      <w:pPr>
        <w:spacing w:after="0" w:line="4" w:lineRule="exact"/>
        <w:rPr>
          <w:sz w:val="20"/>
          <w:szCs w:val="20"/>
          <w:color w:val="auto"/>
        </w:rPr>
      </w:pPr>
    </w:p>
    <w:p>
      <w:pPr>
        <w:ind w:left="760" w:right="520"/>
        <w:spacing w:after="0" w:line="246" w:lineRule="auto"/>
        <w:rPr>
          <w:sz w:val="20"/>
          <w:szCs w:val="20"/>
          <w:color w:val="auto"/>
        </w:rPr>
      </w:pPr>
      <w:r>
        <w:rPr>
          <w:rFonts w:ascii="Arial" w:cs="Arial" w:eastAsia="Arial" w:hAnsi="Arial"/>
          <w:sz w:val="18"/>
          <w:szCs w:val="18"/>
          <w:color w:val="auto"/>
        </w:rPr>
        <w:t>stock units and fully vested shares of Class A common stock in accordance with the Company’s incentive and equity plans as in effect from time to time.</w:t>
      </w:r>
    </w:p>
    <w:p>
      <w:pPr>
        <w:spacing w:after="0" w:line="89" w:lineRule="exact"/>
        <w:rPr>
          <w:sz w:val="20"/>
          <w:szCs w:val="20"/>
          <w:color w:val="auto"/>
        </w:rPr>
      </w:pPr>
    </w:p>
    <w:p>
      <w:pPr>
        <w:ind w:left="760"/>
        <w:spacing w:after="0" w:line="252" w:lineRule="auto"/>
        <w:rPr>
          <w:sz w:val="20"/>
          <w:szCs w:val="20"/>
          <w:color w:val="auto"/>
        </w:rPr>
      </w:pPr>
      <w:r>
        <w:rPr>
          <w:rFonts w:ascii="Arial" w:cs="Arial" w:eastAsia="Arial" w:hAnsi="Arial"/>
          <w:sz w:val="18"/>
          <w:szCs w:val="18"/>
          <w:color w:val="auto"/>
        </w:rPr>
        <w:t>The employment agreement also provided for a special long-term equity award in the form of 150,000 restricted shares of Class A common stock that are subject to performance and service conditions, which was issued on February 27, 2020. The number of shares earned under each annual equity grant will be based on the percentage of budgeted EBITDA achieved in each of the three calendar years during the vesting period, with a minimum of 50% of shares earned upon at least 70% achievement and 100% of shares earned upon at least 75% achievement. To the extent any shares of Class A common stock are earned with respect to an applicable calendar year, such shares will vest on the last day of such calendar year to which such award relates.</w:t>
      </w:r>
    </w:p>
    <w:p>
      <w:pPr>
        <w:spacing w:after="0" w:line="99" w:lineRule="exact"/>
        <w:rPr>
          <w:sz w:val="20"/>
          <w:szCs w:val="20"/>
          <w:color w:val="auto"/>
        </w:rPr>
      </w:pPr>
    </w:p>
    <w:p>
      <w:pPr>
        <w:ind w:left="760" w:right="60"/>
        <w:spacing w:after="0" w:line="254" w:lineRule="auto"/>
        <w:rPr>
          <w:sz w:val="20"/>
          <w:szCs w:val="20"/>
          <w:color w:val="auto"/>
        </w:rPr>
      </w:pPr>
      <w:r>
        <w:rPr>
          <w:rFonts w:ascii="Arial" w:cs="Arial" w:eastAsia="Arial" w:hAnsi="Arial"/>
          <w:sz w:val="18"/>
          <w:szCs w:val="18"/>
          <w:color w:val="auto"/>
        </w:rPr>
        <w:t>The employment agreement further provides that Mr. Cavoli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w:t>
      </w:r>
    </w:p>
    <w:p>
      <w:pPr>
        <w:spacing w:after="0" w:line="96" w:lineRule="exact"/>
        <w:rPr>
          <w:sz w:val="20"/>
          <w:szCs w:val="20"/>
          <w:color w:val="auto"/>
        </w:rPr>
      </w:pPr>
    </w:p>
    <w:p>
      <w:pPr>
        <w:ind w:left="760" w:right="80"/>
        <w:spacing w:after="0" w:line="273" w:lineRule="auto"/>
        <w:rPr>
          <w:sz w:val="20"/>
          <w:szCs w:val="20"/>
          <w:color w:val="auto"/>
        </w:rPr>
      </w:pPr>
      <w:r>
        <w:rPr>
          <w:rFonts w:ascii="Arial" w:cs="Arial" w:eastAsia="Arial" w:hAnsi="Arial"/>
          <w:sz w:val="17"/>
          <w:szCs w:val="17"/>
          <w:color w:val="auto"/>
        </w:rPr>
        <w:t>The employment agreement includes an acknowledgment that Mr. Cavoli continues to be bound by the confidentiality and restrictive covenant provisions set forth in his original agreement, which provides for confidentiality and non-disparagement restrictions, as well as non-compete and non-solicitation restrictions until the eighteen-month anniversary of the date on which Mr. Cavoli ceases to be an officer or employee of the Company.</w:t>
      </w:r>
    </w:p>
    <w:p>
      <w:pPr>
        <w:spacing w:after="0" w:line="83" w:lineRule="exact"/>
        <w:rPr>
          <w:sz w:val="20"/>
          <w:szCs w:val="20"/>
          <w:color w:val="auto"/>
        </w:rPr>
      </w:pPr>
    </w:p>
    <w:p>
      <w:pPr>
        <w:ind w:left="760" w:right="460"/>
        <w:spacing w:after="0" w:line="261" w:lineRule="auto"/>
        <w:rPr>
          <w:sz w:val="20"/>
          <w:szCs w:val="20"/>
          <w:color w:val="auto"/>
        </w:rPr>
      </w:pPr>
      <w:r>
        <w:rPr>
          <w:rFonts w:ascii="Arial" w:cs="Arial" w:eastAsia="Arial" w:hAnsi="Arial"/>
          <w:sz w:val="18"/>
          <w:szCs w:val="18"/>
          <w:color w:val="auto"/>
        </w:rPr>
        <w:t>The employment agreement for Mr. Cavoli provides for severance upon certain terminations of employment as described below under “Potential Payments Upon Termination of Employment or Change in Control.”</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Employment Agreement with Mr. Ioffe</w:t>
      </w:r>
    </w:p>
    <w:p>
      <w:pPr>
        <w:spacing w:after="0" w:line="135" w:lineRule="exact"/>
        <w:rPr>
          <w:sz w:val="20"/>
          <w:szCs w:val="20"/>
          <w:color w:val="auto"/>
        </w:rPr>
      </w:pPr>
    </w:p>
    <w:p>
      <w:pPr>
        <w:jc w:val="both"/>
        <w:ind w:left="760" w:right="380"/>
        <w:spacing w:after="0" w:line="265" w:lineRule="auto"/>
        <w:rPr>
          <w:sz w:val="20"/>
          <w:szCs w:val="20"/>
          <w:color w:val="auto"/>
        </w:rPr>
      </w:pPr>
      <w:r>
        <w:rPr>
          <w:rFonts w:ascii="Arial" w:cs="Arial" w:eastAsia="Arial" w:hAnsi="Arial"/>
          <w:sz w:val="17"/>
          <w:szCs w:val="17"/>
          <w:color w:val="auto"/>
        </w:rPr>
        <w:t>Virtu East entered into an employment agreement with Mr. Ioffe on August 28, 2019, pursuant to which Mr. Ioffe served as our Executive Vice President and Chief Financial Officer and reported to our Chief Executive Officer.</w:t>
      </w:r>
    </w:p>
    <w:p>
      <w:pPr>
        <w:ind w:left="760" w:right="40"/>
        <w:spacing w:after="0" w:line="256" w:lineRule="auto"/>
        <w:rPr>
          <w:sz w:val="20"/>
          <w:szCs w:val="20"/>
          <w:color w:val="auto"/>
        </w:rPr>
      </w:pPr>
      <w:r>
        <w:rPr>
          <w:rFonts w:ascii="Arial" w:cs="Arial" w:eastAsia="Arial" w:hAnsi="Arial"/>
          <w:sz w:val="18"/>
          <w:szCs w:val="18"/>
          <w:color w:val="auto"/>
        </w:rPr>
        <w:t>Mr. Ioffe’s employment agreement further provides that to the extent such activities do not significantly interfere with the performance of his duties, service and responsibilities, Mr. Ioffe is permitted to manage his personal, financial and legal affairs, and serve on civic or charitable boards and committees.</w:t>
      </w:r>
    </w:p>
    <w:p>
      <w:pPr>
        <w:spacing w:after="0" w:line="94" w:lineRule="exact"/>
        <w:rPr>
          <w:sz w:val="20"/>
          <w:szCs w:val="20"/>
          <w:color w:val="auto"/>
        </w:rPr>
      </w:pPr>
    </w:p>
    <w:p>
      <w:pPr>
        <w:ind w:left="760" w:right="120"/>
        <w:spacing w:after="0" w:line="250" w:lineRule="auto"/>
        <w:rPr>
          <w:sz w:val="20"/>
          <w:szCs w:val="20"/>
          <w:color w:val="auto"/>
        </w:rPr>
      </w:pPr>
      <w:r>
        <w:rPr>
          <w:rFonts w:ascii="Arial" w:cs="Arial" w:eastAsia="Arial" w:hAnsi="Arial"/>
          <w:sz w:val="18"/>
          <w:szCs w:val="18"/>
          <w:color w:val="auto"/>
        </w:rPr>
        <w:t>Under the employment agreement, Mr. Ioffe’s base salary was $500,000 and Mr. Ioffe was entitled to receive a guaranteed bonus for the year ended December 31, 2020 in the amount of $1,500,000, paid 50% in cash and 50% in restricted stock units and common shares of Class A common stock. The agreement further provides that</w:t>
      </w:r>
    </w:p>
    <w:p>
      <w:pPr>
        <w:spacing w:after="0" w:line="1" w:lineRule="exact"/>
        <w:rPr>
          <w:sz w:val="20"/>
          <w:szCs w:val="20"/>
          <w:color w:val="auto"/>
        </w:rPr>
      </w:pPr>
    </w:p>
    <w:p>
      <w:pPr>
        <w:ind w:left="760" w:right="20"/>
        <w:spacing w:after="0" w:line="252" w:lineRule="auto"/>
        <w:rPr>
          <w:sz w:val="20"/>
          <w:szCs w:val="20"/>
          <w:color w:val="auto"/>
        </w:rPr>
      </w:pPr>
      <w:r>
        <w:rPr>
          <w:rFonts w:ascii="Arial" w:cs="Arial" w:eastAsia="Arial" w:hAnsi="Arial"/>
          <w:sz w:val="18"/>
          <w:szCs w:val="18"/>
          <w:color w:val="auto"/>
        </w:rPr>
        <w:t>Mr. Ioffe was eligible to earn annual bonuses for the years ended December 31, 2020, December 31, 2021 and December 31, 2022, with target bonus opportunities equal to $1,750,000, $1,500,000, and $1,500,000, respectively, and maximum bonus opportunities equal to $2,500,000 in each such year. The amounts actually earned would be based on the achievement of annual performance targets established in the sole and absolute discretion of the Compensation Committee together with the Chief Executive Officer. To the extent earned, the annual bonus would be paid in a mix of cash, restricted stock units and fully vested shares of Class A common stock in accordance with the Company’s incentive and equity plans as in effect from time to time.</w:t>
      </w:r>
    </w:p>
    <w:p>
      <w:pPr>
        <w:spacing w:after="0" w:line="99" w:lineRule="exact"/>
        <w:rPr>
          <w:sz w:val="20"/>
          <w:szCs w:val="20"/>
          <w:color w:val="auto"/>
        </w:rPr>
      </w:pPr>
    </w:p>
    <w:p>
      <w:pPr>
        <w:ind w:left="760" w:right="40"/>
        <w:spacing w:after="0" w:line="273" w:lineRule="auto"/>
        <w:rPr>
          <w:sz w:val="20"/>
          <w:szCs w:val="20"/>
          <w:color w:val="auto"/>
        </w:rPr>
      </w:pPr>
      <w:r>
        <w:rPr>
          <w:rFonts w:ascii="Arial" w:cs="Arial" w:eastAsia="Arial" w:hAnsi="Arial"/>
          <w:sz w:val="17"/>
          <w:szCs w:val="17"/>
          <w:color w:val="auto"/>
        </w:rPr>
        <w:t>The employment agreement also provided for a special long-term equity award in the form of restricted stock units valued in an amount equal to $3,000,000 divided by a per share issue price calculated based on a trailing volume weighted average price of the Company’s Class A common stock. The restricted stock units are subject to service-vesting requirements and vest in equal annual installments on each of the first three anniversaries of the grant date.</w:t>
      </w:r>
    </w:p>
    <w:p>
      <w:pPr>
        <w:spacing w:after="0" w:line="83" w:lineRule="exact"/>
        <w:rPr>
          <w:sz w:val="20"/>
          <w:szCs w:val="20"/>
          <w:color w:val="auto"/>
        </w:rPr>
      </w:pPr>
    </w:p>
    <w:p>
      <w:pPr>
        <w:ind w:left="760" w:right="160"/>
        <w:spacing w:after="0" w:line="291" w:lineRule="auto"/>
        <w:rPr>
          <w:sz w:val="20"/>
          <w:szCs w:val="20"/>
          <w:color w:val="auto"/>
        </w:rPr>
      </w:pPr>
      <w:r>
        <w:rPr>
          <w:rFonts w:ascii="Arial" w:cs="Arial" w:eastAsia="Arial" w:hAnsi="Arial"/>
          <w:sz w:val="17"/>
          <w:szCs w:val="17"/>
          <w:color w:val="auto"/>
        </w:rPr>
        <w:t>The employment agreement also provided that, commencing with calendar year 2020, Mr. Ioffe was eligible to receive an annual equity grant as determined by the Compensation Committee together with the Company’s Chief</w:t>
      </w:r>
    </w:p>
    <w:p>
      <w:pPr>
        <w:spacing w:after="0" w:line="258"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75438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338455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80"/>
        <w:spacing w:after="0"/>
        <w:rPr>
          <w:sz w:val="20"/>
          <w:szCs w:val="20"/>
          <w:color w:val="auto"/>
        </w:rPr>
      </w:pPr>
      <w:r>
        <w:rPr>
          <w:rFonts w:ascii="Arial" w:cs="Arial" w:eastAsia="Arial" w:hAnsi="Arial"/>
          <w:sz w:val="18"/>
          <w:szCs w:val="18"/>
          <w:color w:val="auto"/>
        </w:rPr>
        <w:t>Executive Officer. Fifty percent of such annual equity grant shall vest on the last day of the calendar year to which such award relates and the remaining 50% shall vest on the last day of the subsequent calendar year, subject in all cases to continued employment through the applicable vesting date.</w:t>
      </w:r>
    </w:p>
    <w:p>
      <w:pPr>
        <w:spacing w:after="0" w:line="95" w:lineRule="exact"/>
        <w:rPr>
          <w:sz w:val="20"/>
          <w:szCs w:val="20"/>
          <w:color w:val="auto"/>
        </w:rPr>
      </w:pPr>
    </w:p>
    <w:p>
      <w:pPr>
        <w:ind w:left="760" w:right="880"/>
        <w:spacing w:after="0" w:line="238" w:lineRule="auto"/>
        <w:rPr>
          <w:sz w:val="20"/>
          <w:szCs w:val="20"/>
          <w:color w:val="auto"/>
        </w:rPr>
      </w:pPr>
      <w:r>
        <w:rPr>
          <w:rFonts w:ascii="Arial" w:cs="Arial" w:eastAsia="Arial" w:hAnsi="Arial"/>
          <w:sz w:val="18"/>
          <w:szCs w:val="18"/>
          <w:color w:val="auto"/>
        </w:rPr>
        <w:t>The employment agreement further provides that Mr. Ioffe was entitled to participate in all of the Company’s benefit plans and programs, and to receive perquisites, commensurate with his position, provided by the Company from time to time to senior executives generally, and to receive director and officer indemnification and insurance protection.</w:t>
      </w:r>
    </w:p>
    <w:p>
      <w:pPr>
        <w:spacing w:after="0" w:line="97" w:lineRule="exact"/>
        <w:rPr>
          <w:sz w:val="20"/>
          <w:szCs w:val="20"/>
          <w:color w:val="auto"/>
        </w:rPr>
      </w:pPr>
    </w:p>
    <w:p>
      <w:pPr>
        <w:ind w:left="760" w:right="1380"/>
        <w:spacing w:after="0" w:line="246" w:lineRule="auto"/>
        <w:rPr>
          <w:sz w:val="20"/>
          <w:szCs w:val="20"/>
          <w:color w:val="auto"/>
        </w:rPr>
      </w:pPr>
      <w:r>
        <w:rPr>
          <w:rFonts w:ascii="Arial" w:cs="Arial" w:eastAsia="Arial" w:hAnsi="Arial"/>
          <w:sz w:val="18"/>
          <w:szCs w:val="18"/>
          <w:color w:val="auto"/>
        </w:rPr>
        <w:t>The employment agreement for Mr. Ioffe provided for severance upon certain terminations of employment as described below under “Potential Payments Upon Termination of Employment or Change in Control.”</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00C389"/>
        </w:rPr>
        <w:t>OUTSTANDING EQUITY AWARDS AT 2020 FISCAL YEAR-END</w:t>
      </w:r>
    </w:p>
    <w:p>
      <w:pPr>
        <w:spacing w:after="0" w:line="102" w:lineRule="exact"/>
        <w:rPr>
          <w:sz w:val="20"/>
          <w:szCs w:val="20"/>
          <w:color w:val="auto"/>
        </w:rPr>
      </w:pPr>
    </w:p>
    <w:p>
      <w:pPr>
        <w:ind w:left="760" w:right="920"/>
        <w:spacing w:after="0" w:line="246" w:lineRule="auto"/>
        <w:rPr>
          <w:sz w:val="20"/>
          <w:szCs w:val="20"/>
          <w:color w:val="auto"/>
        </w:rPr>
      </w:pPr>
      <w:r>
        <w:rPr>
          <w:rFonts w:ascii="Arial" w:cs="Arial" w:eastAsia="Arial" w:hAnsi="Arial"/>
          <w:sz w:val="18"/>
          <w:szCs w:val="18"/>
          <w:color w:val="auto"/>
        </w:rPr>
        <w:t>The following table provides information about each of the outstanding awards of options to purchase our common stock and restricted stock units held by each named executive officer as of December 31, 2020.</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00C389"/>
            </w:tcBorders>
          </w:tcPr>
          <w:p>
            <w:pPr>
              <w:spacing w:after="0"/>
              <w:rPr>
                <w:sz w:val="17"/>
                <w:szCs w:val="17"/>
                <w:color w:val="auto"/>
              </w:rPr>
            </w:pPr>
          </w:p>
        </w:tc>
        <w:tc>
          <w:tcPr>
            <w:tcW w:w="2140" w:type="dxa"/>
            <w:vAlign w:val="bottom"/>
            <w:tcBorders>
              <w:bottom w:val="single" w:sz="8" w:color="00C389"/>
            </w:tcBorders>
            <w:gridSpan w:val="2"/>
          </w:tcPr>
          <w:p>
            <w:pPr>
              <w:jc w:val="right"/>
              <w:ind w:right="458"/>
              <w:spacing w:after="0"/>
              <w:rPr>
                <w:sz w:val="20"/>
                <w:szCs w:val="20"/>
                <w:color w:val="auto"/>
              </w:rPr>
            </w:pPr>
            <w:r>
              <w:rPr>
                <w:rFonts w:ascii="Arial" w:cs="Arial" w:eastAsia="Arial" w:hAnsi="Arial"/>
                <w:sz w:val="14"/>
                <w:szCs w:val="14"/>
                <w:b w:val="1"/>
                <w:bCs w:val="1"/>
                <w:color w:val="002554"/>
              </w:rPr>
              <w:t>Option Awards</w:t>
            </w:r>
          </w:p>
        </w:tc>
        <w:tc>
          <w:tcPr>
            <w:tcW w:w="940" w:type="dxa"/>
            <w:vAlign w:val="bottom"/>
            <w:tcBorders>
              <w:bottom w:val="single" w:sz="8" w:color="00C389"/>
            </w:tcBorders>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C389"/>
            </w:tcBorders>
            <w:gridSpan w:val="3"/>
          </w:tcPr>
          <w:p>
            <w:pPr>
              <w:jc w:val="right"/>
              <w:ind w:right="596"/>
              <w:spacing w:after="0"/>
              <w:rPr>
                <w:sz w:val="20"/>
                <w:szCs w:val="20"/>
                <w:color w:val="auto"/>
              </w:rPr>
            </w:pPr>
            <w:r>
              <w:rPr>
                <w:rFonts w:ascii="Arial" w:cs="Arial" w:eastAsia="Arial" w:hAnsi="Arial"/>
                <w:sz w:val="14"/>
                <w:szCs w:val="14"/>
                <w:b w:val="1"/>
                <w:bCs w:val="1"/>
                <w:color w:val="002554"/>
              </w:rPr>
              <w:t>Stock Awards</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2554"/>
              </w:rPr>
              <w:t>Number of</w:t>
            </w:r>
          </w:p>
        </w:tc>
        <w:tc>
          <w:tcPr>
            <w:tcW w:w="1280" w:type="dxa"/>
            <w:vAlign w:val="bottom"/>
          </w:tcPr>
          <w:p>
            <w:pPr>
              <w:jc w:val="center"/>
              <w:ind w:left="1"/>
              <w:spacing w:after="0"/>
              <w:rPr>
                <w:sz w:val="20"/>
                <w:szCs w:val="20"/>
                <w:color w:val="auto"/>
              </w:rPr>
            </w:pPr>
            <w:r>
              <w:rPr>
                <w:rFonts w:ascii="Arial" w:cs="Arial" w:eastAsia="Arial" w:hAnsi="Arial"/>
                <w:sz w:val="14"/>
                <w:szCs w:val="14"/>
                <w:b w:val="1"/>
                <w:bCs w:val="1"/>
                <w:color w:val="002554"/>
              </w:rPr>
              <w:t>Number of</w:t>
            </w: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002554"/>
              </w:rPr>
              <w:t>Equity</w:t>
            </w:r>
          </w:p>
        </w:tc>
        <w:tc>
          <w:tcPr>
            <w:tcW w:w="220" w:type="dxa"/>
            <w:vAlign w:val="bottom"/>
          </w:tcPr>
          <w:p>
            <w:pPr>
              <w:spacing w:after="0"/>
              <w:rPr>
                <w:sz w:val="15"/>
                <w:szCs w:val="15"/>
                <w:color w:val="auto"/>
              </w:rPr>
            </w:pPr>
          </w:p>
        </w:tc>
        <w:tc>
          <w:tcPr>
            <w:tcW w:w="900" w:type="dxa"/>
            <w:vAlign w:val="bottom"/>
          </w:tcPr>
          <w:p>
            <w:pPr>
              <w:jc w:val="center"/>
              <w:ind w:right="136"/>
              <w:spacing w:after="0"/>
              <w:rPr>
                <w:sz w:val="20"/>
                <w:szCs w:val="20"/>
                <w:color w:val="auto"/>
              </w:rPr>
            </w:pPr>
            <w:r>
              <w:rPr>
                <w:rFonts w:ascii="Arial" w:cs="Arial" w:eastAsia="Arial" w:hAnsi="Arial"/>
                <w:sz w:val="14"/>
                <w:szCs w:val="14"/>
                <w:b w:val="1"/>
                <w:bCs w:val="1"/>
                <w:color w:val="002554"/>
              </w:rPr>
              <w:t>Equity</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Securities</w:t>
            </w:r>
          </w:p>
        </w:tc>
        <w:tc>
          <w:tcPr>
            <w:tcW w:w="128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002554"/>
              </w:rPr>
              <w:t>Securities</w:t>
            </w: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Incentive Plan</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Incentive Plan</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Underlying</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Underlying</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Option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Awards:</w:t>
            </w:r>
          </w:p>
        </w:tc>
        <w:tc>
          <w:tcPr>
            <w:tcW w:w="220" w:type="dxa"/>
            <w:vAlign w:val="bottom"/>
          </w:tcPr>
          <w:p>
            <w:pPr>
              <w:spacing w:after="0"/>
              <w:rPr>
                <w:sz w:val="11"/>
                <w:szCs w:val="11"/>
                <w:color w:val="auto"/>
              </w:rPr>
            </w:pPr>
          </w:p>
        </w:tc>
        <w:tc>
          <w:tcPr>
            <w:tcW w:w="9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Awards:</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Unexercised</w:t>
            </w:r>
          </w:p>
        </w:tc>
        <w:tc>
          <w:tcPr>
            <w:tcW w:w="128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002554"/>
              </w:rPr>
              <w:t>Unexercised</w:t>
            </w:r>
          </w:p>
        </w:tc>
        <w:tc>
          <w:tcPr>
            <w:tcW w:w="860" w:type="dxa"/>
            <w:vAlign w:val="bottom"/>
            <w:vMerge w:val="continue"/>
          </w:tcPr>
          <w:p>
            <w:pPr>
              <w:spacing w:after="0"/>
              <w:rPr>
                <w:sz w:val="11"/>
                <w:szCs w:val="11"/>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002554"/>
              </w:rPr>
              <w:t>Option</w:t>
            </w:r>
          </w:p>
        </w:tc>
        <w:tc>
          <w:tcPr>
            <w:tcW w:w="11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Number of</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Market Value of</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Options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Options</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Exercise</w:t>
            </w:r>
          </w:p>
        </w:tc>
        <w:tc>
          <w:tcPr>
            <w:tcW w:w="1160" w:type="dxa"/>
            <w:vAlign w:val="bottom"/>
            <w:gridSpan w:val="2"/>
            <w:vMerge w:val="continue"/>
          </w:tcPr>
          <w:p>
            <w:pPr>
              <w:spacing w:after="0"/>
              <w:rPr>
                <w:sz w:val="11"/>
                <w:szCs w:val="11"/>
                <w:color w:val="auto"/>
              </w:rPr>
            </w:pPr>
          </w:p>
        </w:tc>
        <w:tc>
          <w:tcPr>
            <w:tcW w:w="11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Unvested</w:t>
            </w:r>
          </w:p>
        </w:tc>
        <w:tc>
          <w:tcPr>
            <w:tcW w:w="220" w:type="dxa"/>
            <w:vAlign w:val="bottom"/>
          </w:tcPr>
          <w:p>
            <w:pPr>
              <w:spacing w:after="0"/>
              <w:rPr>
                <w:sz w:val="11"/>
                <w:szCs w:val="11"/>
                <w:color w:val="auto"/>
              </w:rPr>
            </w:pPr>
          </w:p>
        </w:tc>
        <w:tc>
          <w:tcPr>
            <w:tcW w:w="9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Unvested</w:t>
            </w:r>
          </w:p>
        </w:tc>
        <w:tc>
          <w:tcPr>
            <w:tcW w:w="0" w:type="dxa"/>
            <w:vAlign w:val="bottom"/>
          </w:tcPr>
          <w:p>
            <w:pPr>
              <w:spacing w:after="0"/>
              <w:rPr>
                <w:sz w:val="1"/>
                <w:szCs w:val="1"/>
                <w:color w:val="auto"/>
              </w:rPr>
            </w:pPr>
          </w:p>
        </w:tc>
      </w:tr>
      <w:tr>
        <w:trPr>
          <w:trHeight w:val="13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Exercisable</w:t>
            </w:r>
          </w:p>
        </w:tc>
        <w:tc>
          <w:tcPr>
            <w:tcW w:w="1280" w:type="dxa"/>
            <w:vAlign w:val="bottom"/>
          </w:tcPr>
          <w:p>
            <w:pPr>
              <w:jc w:val="center"/>
              <w:ind w:left="1"/>
              <w:spacing w:after="0" w:line="135" w:lineRule="exact"/>
              <w:rPr>
                <w:sz w:val="20"/>
                <w:szCs w:val="20"/>
                <w:color w:val="auto"/>
              </w:rPr>
            </w:pPr>
            <w:r>
              <w:rPr>
                <w:rFonts w:ascii="Arial" w:cs="Arial" w:eastAsia="Arial" w:hAnsi="Arial"/>
                <w:sz w:val="14"/>
                <w:szCs w:val="14"/>
                <w:b w:val="1"/>
                <w:bCs w:val="1"/>
                <w:color w:val="002554"/>
              </w:rPr>
              <w:t>Unexercisable</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Price</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002554"/>
              </w:rPr>
              <w:t>Expiration</w:t>
            </w:r>
          </w:p>
        </w:tc>
        <w:tc>
          <w:tcPr>
            <w:tcW w:w="1180" w:type="dxa"/>
            <w:vAlign w:val="bottom"/>
          </w:tcPr>
          <w:p>
            <w:pPr>
              <w:jc w:val="center"/>
              <w:ind w:right="156"/>
              <w:spacing w:after="0" w:line="135" w:lineRule="exact"/>
              <w:rPr>
                <w:sz w:val="20"/>
                <w:szCs w:val="20"/>
                <w:color w:val="auto"/>
              </w:rPr>
            </w:pPr>
            <w:r>
              <w:rPr>
                <w:rFonts w:ascii="Arial" w:cs="Arial" w:eastAsia="Arial" w:hAnsi="Arial"/>
                <w:sz w:val="14"/>
                <w:szCs w:val="14"/>
                <w:b w:val="1"/>
                <w:bCs w:val="1"/>
                <w:color w:val="002554"/>
              </w:rPr>
              <w:t>Stock Awards</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Stock Awards</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00C389"/>
            </w:tcBorders>
            <w:vMerge w:val="continue"/>
          </w:tcPr>
          <w:p>
            <w:pPr>
              <w:spacing w:after="0"/>
              <w:rPr>
                <w:sz w:val="16"/>
                <w:szCs w:val="16"/>
                <w:color w:val="auto"/>
              </w:rPr>
            </w:pPr>
          </w:p>
        </w:tc>
        <w:tc>
          <w:tcPr>
            <w:tcW w:w="980" w:type="dxa"/>
            <w:vAlign w:val="bottom"/>
            <w:tcBorders>
              <w:bottom w:val="single" w:sz="8" w:color="00C389"/>
            </w:tcBorders>
            <w:gridSpan w:val="2"/>
          </w:tcPr>
          <w:p>
            <w:pPr>
              <w:jc w:val="center"/>
              <w:ind w:left="8"/>
              <w:spacing w:after="0"/>
              <w:rPr>
                <w:sz w:val="20"/>
                <w:szCs w:val="20"/>
                <w:color w:val="auto"/>
              </w:rPr>
            </w:pPr>
            <w:r>
              <w:rPr>
                <w:rFonts w:ascii="Arial" w:cs="Arial" w:eastAsia="Arial" w:hAnsi="Arial"/>
                <w:sz w:val="14"/>
                <w:szCs w:val="14"/>
                <w:b w:val="1"/>
                <w:bCs w:val="1"/>
                <w:color w:val="002554"/>
              </w:rPr>
              <w:t>(#)</w:t>
            </w:r>
          </w:p>
        </w:tc>
        <w:tc>
          <w:tcPr>
            <w:tcW w:w="1280" w:type="dxa"/>
            <w:vAlign w:val="bottom"/>
            <w:tcBorders>
              <w:bottom w:val="single" w:sz="8" w:color="00C389"/>
            </w:tcBorders>
          </w:tcPr>
          <w:p>
            <w:pPr>
              <w:jc w:val="center"/>
              <w:ind w:left="21"/>
              <w:spacing w:after="0"/>
              <w:rPr>
                <w:sz w:val="20"/>
                <w:szCs w:val="20"/>
                <w:color w:val="auto"/>
              </w:rPr>
            </w:pPr>
            <w:r>
              <w:rPr>
                <w:rFonts w:ascii="Arial" w:cs="Arial" w:eastAsia="Arial" w:hAnsi="Arial"/>
                <w:sz w:val="14"/>
                <w:szCs w:val="14"/>
                <w:b w:val="1"/>
                <w:bCs w:val="1"/>
                <w:color w:val="002554"/>
              </w:rPr>
              <w:t>(#)</w:t>
            </w:r>
          </w:p>
        </w:tc>
        <w:tc>
          <w:tcPr>
            <w:tcW w:w="8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3"/>
              </w:rPr>
              <w:t>($)</w:t>
            </w:r>
          </w:p>
        </w:tc>
        <w:tc>
          <w:tcPr>
            <w:tcW w:w="1160" w:type="dxa"/>
            <w:vAlign w:val="bottom"/>
            <w:tcBorders>
              <w:bottom w:val="single" w:sz="8" w:color="00C389"/>
            </w:tcBorders>
            <w:gridSpan w:val="2"/>
          </w:tcPr>
          <w:p>
            <w:pPr>
              <w:jc w:val="center"/>
              <w:ind w:right="100"/>
              <w:spacing w:after="0"/>
              <w:rPr>
                <w:sz w:val="20"/>
                <w:szCs w:val="20"/>
                <w:color w:val="auto"/>
              </w:rPr>
            </w:pPr>
            <w:r>
              <w:rPr>
                <w:rFonts w:ascii="Arial" w:cs="Arial" w:eastAsia="Arial" w:hAnsi="Arial"/>
                <w:sz w:val="14"/>
                <w:szCs w:val="14"/>
                <w:b w:val="1"/>
                <w:bCs w:val="1"/>
                <w:color w:val="002554"/>
                <w:w w:val="98"/>
              </w:rPr>
              <w:t>Date</w:t>
            </w:r>
          </w:p>
        </w:tc>
        <w:tc>
          <w:tcPr>
            <w:tcW w:w="1180" w:type="dxa"/>
            <w:vAlign w:val="bottom"/>
            <w:tcBorders>
              <w:bottom w:val="single" w:sz="8" w:color="00C389"/>
            </w:tcBorders>
          </w:tcPr>
          <w:p>
            <w:pPr>
              <w:jc w:val="center"/>
              <w:ind w:right="116"/>
              <w:spacing w:after="0"/>
              <w:rPr>
                <w:sz w:val="20"/>
                <w:szCs w:val="20"/>
                <w:color w:val="auto"/>
              </w:rPr>
            </w:pPr>
            <w:r>
              <w:rPr>
                <w:rFonts w:ascii="Arial" w:cs="Arial" w:eastAsia="Arial" w:hAnsi="Arial"/>
                <w:sz w:val="14"/>
                <w:szCs w:val="14"/>
                <w:b w:val="1"/>
                <w:bCs w:val="1"/>
                <w:color w:val="002554"/>
              </w:rPr>
              <w:t>(#)</w:t>
            </w:r>
          </w:p>
        </w:tc>
        <w:tc>
          <w:tcPr>
            <w:tcW w:w="220" w:type="dxa"/>
            <w:vAlign w:val="bottom"/>
            <w:tcBorders>
              <w:bottom w:val="single" w:sz="8" w:color="00C389"/>
            </w:tcBorders>
          </w:tcPr>
          <w:p>
            <w:pPr>
              <w:spacing w:after="0"/>
              <w:rPr>
                <w:sz w:val="16"/>
                <w:szCs w:val="16"/>
                <w:color w:val="auto"/>
              </w:rPr>
            </w:pPr>
          </w:p>
        </w:tc>
        <w:tc>
          <w:tcPr>
            <w:tcW w:w="900" w:type="dxa"/>
            <w:vAlign w:val="bottom"/>
            <w:tcBorders>
              <w:bottom w:val="single" w:sz="8" w:color="00C389"/>
            </w:tcBorders>
          </w:tcPr>
          <w:p>
            <w:pPr>
              <w:jc w:val="center"/>
              <w:ind w:right="96"/>
              <w:spacing w:after="0"/>
              <w:rPr>
                <w:sz w:val="20"/>
                <w:szCs w:val="20"/>
                <w:color w:val="auto"/>
              </w:rPr>
            </w:pPr>
            <w:r>
              <w:rPr>
                <w:rFonts w:ascii="Arial" w:cs="Arial" w:eastAsia="Arial" w:hAnsi="Arial"/>
                <w:sz w:val="14"/>
                <w:szCs w:val="14"/>
                <w:b w:val="1"/>
                <w:bCs w:val="1"/>
                <w:color w:val="002554"/>
              </w:rPr>
              <w:t>($)(1)</w:t>
            </w:r>
          </w:p>
        </w:tc>
        <w:tc>
          <w:tcPr>
            <w:tcW w:w="0" w:type="dxa"/>
            <w:vAlign w:val="bottom"/>
          </w:tcPr>
          <w:p>
            <w:pPr>
              <w:spacing w:after="0"/>
              <w:rPr>
                <w:sz w:val="1"/>
                <w:szCs w:val="1"/>
                <w:color w:val="auto"/>
              </w:rPr>
            </w:pPr>
          </w:p>
        </w:tc>
      </w:tr>
      <w:tr>
        <w:trPr>
          <w:trHeight w:val="263"/>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16,058(2)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404,180</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36,030(3)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906,875</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80,523(4)</w:t>
            </w:r>
          </w:p>
        </w:tc>
        <w:tc>
          <w:tcPr>
            <w:tcW w:w="11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$2,026,764</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00C389"/>
            </w:tcBorders>
            <w:shd w:val="clear" w:color="auto" w:fill="CCEEFF"/>
          </w:tcPr>
          <w:p>
            <w:pPr>
              <w:spacing w:after="0"/>
              <w:rPr>
                <w:sz w:val="24"/>
                <w:szCs w:val="24"/>
                <w:color w:val="auto"/>
              </w:rPr>
            </w:pPr>
          </w:p>
        </w:tc>
        <w:tc>
          <w:tcPr>
            <w:tcW w:w="80" w:type="dxa"/>
            <w:vAlign w:val="bottom"/>
            <w:tcBorders>
              <w:bottom w:val="single" w:sz="8" w:color="00C389"/>
            </w:tcBorders>
            <w:shd w:val="clear" w:color="auto" w:fill="CCEEFF"/>
          </w:tcPr>
          <w:p>
            <w:pPr>
              <w:spacing w:after="0"/>
              <w:rPr>
                <w:sz w:val="24"/>
                <w:szCs w:val="24"/>
                <w:color w:val="auto"/>
              </w:rPr>
            </w:pPr>
          </w:p>
        </w:tc>
        <w:tc>
          <w:tcPr>
            <w:tcW w:w="900" w:type="dxa"/>
            <w:vAlign w:val="bottom"/>
            <w:tcBorders>
              <w:bottom w:val="single" w:sz="8" w:color="00C389"/>
            </w:tcBorders>
            <w:shd w:val="clear" w:color="auto" w:fill="CCEEFF"/>
          </w:tcPr>
          <w:p>
            <w:pPr>
              <w:spacing w:after="0"/>
              <w:rPr>
                <w:sz w:val="24"/>
                <w:szCs w:val="24"/>
                <w:color w:val="auto"/>
              </w:rPr>
            </w:pPr>
          </w:p>
        </w:tc>
        <w:tc>
          <w:tcPr>
            <w:tcW w:w="1280" w:type="dxa"/>
            <w:vAlign w:val="bottom"/>
            <w:tcBorders>
              <w:bottom w:val="single" w:sz="8" w:color="00C389"/>
            </w:tcBorders>
            <w:shd w:val="clear" w:color="auto" w:fill="CCEEFF"/>
          </w:tcPr>
          <w:p>
            <w:pPr>
              <w:spacing w:after="0"/>
              <w:rPr>
                <w:sz w:val="24"/>
                <w:szCs w:val="24"/>
                <w:color w:val="auto"/>
              </w:rPr>
            </w:pPr>
          </w:p>
        </w:tc>
        <w:tc>
          <w:tcPr>
            <w:tcW w:w="860" w:type="dxa"/>
            <w:vAlign w:val="bottom"/>
            <w:tcBorders>
              <w:bottom w:val="single" w:sz="8" w:color="00C389"/>
            </w:tcBorders>
            <w:shd w:val="clear" w:color="auto" w:fill="CCEEFF"/>
          </w:tcPr>
          <w:p>
            <w:pPr>
              <w:spacing w:after="0"/>
              <w:rPr>
                <w:sz w:val="24"/>
                <w:szCs w:val="24"/>
                <w:color w:val="auto"/>
              </w:rPr>
            </w:pPr>
          </w:p>
        </w:tc>
        <w:tc>
          <w:tcPr>
            <w:tcW w:w="940" w:type="dxa"/>
            <w:vAlign w:val="bottom"/>
            <w:tcBorders>
              <w:bottom w:val="single" w:sz="8" w:color="00C389"/>
            </w:tcBorders>
            <w:shd w:val="clear" w:color="auto" w:fill="CCEEFF"/>
          </w:tcPr>
          <w:p>
            <w:pPr>
              <w:spacing w:after="0"/>
              <w:rPr>
                <w:sz w:val="24"/>
                <w:szCs w:val="24"/>
                <w:color w:val="auto"/>
              </w:rPr>
            </w:pPr>
          </w:p>
        </w:tc>
        <w:tc>
          <w:tcPr>
            <w:tcW w:w="220" w:type="dxa"/>
            <w:vAlign w:val="bottom"/>
            <w:tcBorders>
              <w:bottom w:val="single" w:sz="8" w:color="00C389"/>
            </w:tcBorders>
            <w:shd w:val="clear" w:color="auto" w:fill="CCEEFF"/>
          </w:tcPr>
          <w:p>
            <w:pPr>
              <w:spacing w:after="0"/>
              <w:rPr>
                <w:sz w:val="24"/>
                <w:szCs w:val="24"/>
                <w:color w:val="auto"/>
              </w:rPr>
            </w:pPr>
          </w:p>
        </w:tc>
        <w:tc>
          <w:tcPr>
            <w:tcW w:w="1180" w:type="dxa"/>
            <w:vAlign w:val="bottom"/>
            <w:tcBorders>
              <w:bottom w:val="single" w:sz="8" w:color="00C389"/>
            </w:tcBorders>
            <w:shd w:val="clear" w:color="auto" w:fill="CCEEFF"/>
          </w:tcPr>
          <w:p>
            <w:pPr>
              <w:jc w:val="right"/>
              <w:ind w:right="56"/>
              <w:spacing w:after="0"/>
              <w:rPr>
                <w:sz w:val="20"/>
                <w:szCs w:val="20"/>
                <w:color w:val="auto"/>
              </w:rPr>
            </w:pPr>
            <w:r>
              <w:rPr>
                <w:rFonts w:ascii="Arial" w:cs="Arial" w:eastAsia="Arial" w:hAnsi="Arial"/>
                <w:sz w:val="18"/>
                <w:szCs w:val="18"/>
                <w:color w:val="auto"/>
              </w:rPr>
              <w:t>75,000(5)</w:t>
            </w:r>
          </w:p>
        </w:tc>
        <w:tc>
          <w:tcPr>
            <w:tcW w:w="1120" w:type="dxa"/>
            <w:vAlign w:val="bottom"/>
            <w:tcBorders>
              <w:bottom w:val="single" w:sz="8" w:color="00C389"/>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$1,887,750</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b w:val="1"/>
                <w:bCs w:val="1"/>
                <w:color w:val="auto"/>
              </w:rPr>
              <w:t>Joseph Molluso</w:t>
            </w:r>
          </w:p>
        </w:tc>
        <w:tc>
          <w:tcPr>
            <w:tcW w:w="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2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200,000(6)</w:t>
            </w:r>
          </w:p>
        </w:tc>
        <w:tc>
          <w:tcPr>
            <w:tcW w:w="1120" w:type="dxa"/>
            <w:vAlign w:val="bottom"/>
            <w:gridSpan w:val="2"/>
          </w:tcPr>
          <w:p>
            <w:pPr>
              <w:jc w:val="right"/>
              <w:ind w:right="16"/>
              <w:spacing w:after="0"/>
              <w:rPr>
                <w:sz w:val="20"/>
                <w:szCs w:val="20"/>
                <w:color w:val="auto"/>
              </w:rPr>
            </w:pPr>
            <w:r>
              <w:rPr>
                <w:rFonts w:ascii="Arial" w:cs="Arial" w:eastAsia="Arial" w:hAnsi="Arial"/>
                <w:sz w:val="18"/>
                <w:szCs w:val="18"/>
                <w:color w:val="auto"/>
              </w:rPr>
              <w:t>$5,034,000</w:t>
            </w:r>
          </w:p>
        </w:tc>
        <w:tc>
          <w:tcPr>
            <w:tcW w:w="0" w:type="dxa"/>
            <w:vAlign w:val="bottom"/>
          </w:tcPr>
          <w:p>
            <w:pPr>
              <w:spacing w:after="0"/>
              <w:rPr>
                <w:sz w:val="1"/>
                <w:szCs w:val="1"/>
                <w:color w:val="auto"/>
              </w:rPr>
            </w:pPr>
          </w:p>
        </w:tc>
      </w:tr>
      <w:tr>
        <w:trPr>
          <w:trHeight w:val="304"/>
        </w:trPr>
        <w:tc>
          <w:tcPr>
            <w:tcW w:w="2600" w:type="dxa"/>
            <w:vAlign w:val="bottom"/>
            <w:tcBorders>
              <w:bottom w:val="single" w:sz="8" w:color="00C389"/>
            </w:tcBorders>
          </w:tcPr>
          <w:p>
            <w:pPr>
              <w:spacing w:after="0"/>
              <w:rPr>
                <w:sz w:val="24"/>
                <w:szCs w:val="24"/>
                <w:color w:val="auto"/>
              </w:rPr>
            </w:pPr>
          </w:p>
        </w:tc>
        <w:tc>
          <w:tcPr>
            <w:tcW w:w="80" w:type="dxa"/>
            <w:vAlign w:val="bottom"/>
            <w:tcBorders>
              <w:bottom w:val="single" w:sz="8" w:color="00C389"/>
            </w:tcBorders>
          </w:tcPr>
          <w:p>
            <w:pPr>
              <w:spacing w:after="0"/>
              <w:rPr>
                <w:sz w:val="24"/>
                <w:szCs w:val="24"/>
                <w:color w:val="auto"/>
              </w:rPr>
            </w:pPr>
          </w:p>
        </w:tc>
        <w:tc>
          <w:tcPr>
            <w:tcW w:w="900" w:type="dxa"/>
            <w:vAlign w:val="bottom"/>
            <w:tcBorders>
              <w:bottom w:val="single" w:sz="8" w:color="00C389"/>
            </w:tcBorders>
          </w:tcPr>
          <w:p>
            <w:pPr>
              <w:spacing w:after="0"/>
              <w:rPr>
                <w:sz w:val="24"/>
                <w:szCs w:val="24"/>
                <w:color w:val="auto"/>
              </w:rPr>
            </w:pPr>
          </w:p>
        </w:tc>
        <w:tc>
          <w:tcPr>
            <w:tcW w:w="1280" w:type="dxa"/>
            <w:vAlign w:val="bottom"/>
            <w:tcBorders>
              <w:bottom w:val="single" w:sz="8" w:color="00C389"/>
            </w:tcBorders>
          </w:tcPr>
          <w:p>
            <w:pPr>
              <w:spacing w:after="0"/>
              <w:rPr>
                <w:sz w:val="24"/>
                <w:szCs w:val="24"/>
                <w:color w:val="auto"/>
              </w:rPr>
            </w:pPr>
          </w:p>
        </w:tc>
        <w:tc>
          <w:tcPr>
            <w:tcW w:w="860" w:type="dxa"/>
            <w:vAlign w:val="bottom"/>
            <w:tcBorders>
              <w:bottom w:val="single" w:sz="8" w:color="00C389"/>
            </w:tcBorders>
          </w:tcPr>
          <w:p>
            <w:pPr>
              <w:spacing w:after="0"/>
              <w:rPr>
                <w:sz w:val="24"/>
                <w:szCs w:val="24"/>
                <w:color w:val="auto"/>
              </w:rPr>
            </w:pPr>
          </w:p>
        </w:tc>
        <w:tc>
          <w:tcPr>
            <w:tcW w:w="940" w:type="dxa"/>
            <w:vAlign w:val="bottom"/>
            <w:tcBorders>
              <w:bottom w:val="single" w:sz="8" w:color="00C389"/>
            </w:tcBorders>
          </w:tcPr>
          <w:p>
            <w:pPr>
              <w:spacing w:after="0"/>
              <w:rPr>
                <w:sz w:val="24"/>
                <w:szCs w:val="24"/>
                <w:color w:val="auto"/>
              </w:rPr>
            </w:pPr>
          </w:p>
        </w:tc>
        <w:tc>
          <w:tcPr>
            <w:tcW w:w="220" w:type="dxa"/>
            <w:vAlign w:val="bottom"/>
            <w:tcBorders>
              <w:bottom w:val="single" w:sz="8" w:color="00C389"/>
            </w:tcBorders>
          </w:tcPr>
          <w:p>
            <w:pPr>
              <w:spacing w:after="0"/>
              <w:rPr>
                <w:sz w:val="24"/>
                <w:szCs w:val="24"/>
                <w:color w:val="auto"/>
              </w:rPr>
            </w:pPr>
          </w:p>
        </w:tc>
        <w:tc>
          <w:tcPr>
            <w:tcW w:w="1180" w:type="dxa"/>
            <w:vAlign w:val="bottom"/>
            <w:tcBorders>
              <w:bottom w:val="single" w:sz="8" w:color="00C389"/>
            </w:tcBorders>
          </w:tcPr>
          <w:p>
            <w:pPr>
              <w:jc w:val="right"/>
              <w:ind w:right="56"/>
              <w:spacing w:after="0"/>
              <w:rPr>
                <w:sz w:val="20"/>
                <w:szCs w:val="20"/>
                <w:color w:val="auto"/>
              </w:rPr>
            </w:pPr>
            <w:r>
              <w:rPr>
                <w:rFonts w:ascii="Arial" w:cs="Arial" w:eastAsia="Arial" w:hAnsi="Arial"/>
                <w:sz w:val="18"/>
                <w:szCs w:val="18"/>
                <w:color w:val="auto"/>
              </w:rPr>
              <w:t>100,000(7)</w:t>
            </w:r>
          </w:p>
        </w:tc>
        <w:tc>
          <w:tcPr>
            <w:tcW w:w="1120" w:type="dxa"/>
            <w:vAlign w:val="bottom"/>
            <w:tcBorders>
              <w:bottom w:val="single" w:sz="8" w:color="00C389"/>
            </w:tcBorders>
            <w:gridSpan w:val="2"/>
          </w:tcPr>
          <w:p>
            <w:pPr>
              <w:jc w:val="right"/>
              <w:ind w:right="16"/>
              <w:spacing w:after="0"/>
              <w:rPr>
                <w:sz w:val="20"/>
                <w:szCs w:val="20"/>
                <w:color w:val="auto"/>
              </w:rPr>
            </w:pPr>
            <w:r>
              <w:rPr>
                <w:rFonts w:ascii="Arial" w:cs="Arial" w:eastAsia="Arial" w:hAnsi="Arial"/>
                <w:sz w:val="18"/>
                <w:szCs w:val="18"/>
                <w:color w:val="auto"/>
              </w:rPr>
              <w:t>$2,517,000</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8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$19.00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4/15/2025</w:t>
            </w: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3,033(8)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76,341</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5,704(9)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143,570</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35,430(10)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891,773</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00C389"/>
            </w:tcBorders>
            <w:shd w:val="clear" w:color="auto" w:fill="CCEEFF"/>
          </w:tcPr>
          <w:p>
            <w:pPr>
              <w:spacing w:after="0"/>
              <w:rPr>
                <w:sz w:val="24"/>
                <w:szCs w:val="24"/>
                <w:color w:val="auto"/>
              </w:rPr>
            </w:pPr>
          </w:p>
        </w:tc>
        <w:tc>
          <w:tcPr>
            <w:tcW w:w="80" w:type="dxa"/>
            <w:vAlign w:val="bottom"/>
            <w:tcBorders>
              <w:bottom w:val="single" w:sz="8" w:color="00C389"/>
            </w:tcBorders>
            <w:shd w:val="clear" w:color="auto" w:fill="CCEEFF"/>
          </w:tcPr>
          <w:p>
            <w:pPr>
              <w:spacing w:after="0"/>
              <w:rPr>
                <w:sz w:val="24"/>
                <w:szCs w:val="24"/>
                <w:color w:val="auto"/>
              </w:rPr>
            </w:pPr>
          </w:p>
        </w:tc>
        <w:tc>
          <w:tcPr>
            <w:tcW w:w="900" w:type="dxa"/>
            <w:vAlign w:val="bottom"/>
            <w:tcBorders>
              <w:bottom w:val="single" w:sz="8" w:color="00C389"/>
            </w:tcBorders>
            <w:shd w:val="clear" w:color="auto" w:fill="CCEEFF"/>
          </w:tcPr>
          <w:p>
            <w:pPr>
              <w:spacing w:after="0"/>
              <w:rPr>
                <w:sz w:val="24"/>
                <w:szCs w:val="24"/>
                <w:color w:val="auto"/>
              </w:rPr>
            </w:pPr>
          </w:p>
        </w:tc>
        <w:tc>
          <w:tcPr>
            <w:tcW w:w="1280" w:type="dxa"/>
            <w:vAlign w:val="bottom"/>
            <w:tcBorders>
              <w:bottom w:val="single" w:sz="8" w:color="00C389"/>
            </w:tcBorders>
            <w:shd w:val="clear" w:color="auto" w:fill="CCEEFF"/>
          </w:tcPr>
          <w:p>
            <w:pPr>
              <w:spacing w:after="0"/>
              <w:rPr>
                <w:sz w:val="24"/>
                <w:szCs w:val="24"/>
                <w:color w:val="auto"/>
              </w:rPr>
            </w:pPr>
          </w:p>
        </w:tc>
        <w:tc>
          <w:tcPr>
            <w:tcW w:w="860" w:type="dxa"/>
            <w:vAlign w:val="bottom"/>
            <w:tcBorders>
              <w:bottom w:val="single" w:sz="8" w:color="00C389"/>
            </w:tcBorders>
            <w:shd w:val="clear" w:color="auto" w:fill="CCEEFF"/>
          </w:tcPr>
          <w:p>
            <w:pPr>
              <w:spacing w:after="0"/>
              <w:rPr>
                <w:sz w:val="24"/>
                <w:szCs w:val="24"/>
                <w:color w:val="auto"/>
              </w:rPr>
            </w:pPr>
          </w:p>
        </w:tc>
        <w:tc>
          <w:tcPr>
            <w:tcW w:w="940" w:type="dxa"/>
            <w:vAlign w:val="bottom"/>
            <w:tcBorders>
              <w:bottom w:val="single" w:sz="8" w:color="00C389"/>
            </w:tcBorders>
            <w:shd w:val="clear" w:color="auto" w:fill="CCEEFF"/>
          </w:tcPr>
          <w:p>
            <w:pPr>
              <w:spacing w:after="0"/>
              <w:rPr>
                <w:sz w:val="24"/>
                <w:szCs w:val="24"/>
                <w:color w:val="auto"/>
              </w:rPr>
            </w:pPr>
          </w:p>
        </w:tc>
        <w:tc>
          <w:tcPr>
            <w:tcW w:w="220" w:type="dxa"/>
            <w:vAlign w:val="bottom"/>
            <w:tcBorders>
              <w:bottom w:val="single" w:sz="8" w:color="00C389"/>
            </w:tcBorders>
            <w:shd w:val="clear" w:color="auto" w:fill="CCEEFF"/>
          </w:tcPr>
          <w:p>
            <w:pPr>
              <w:spacing w:after="0"/>
              <w:rPr>
                <w:sz w:val="24"/>
                <w:szCs w:val="24"/>
                <w:color w:val="auto"/>
              </w:rPr>
            </w:pPr>
          </w:p>
        </w:tc>
        <w:tc>
          <w:tcPr>
            <w:tcW w:w="11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100,000(11)</w:t>
            </w:r>
          </w:p>
        </w:tc>
        <w:tc>
          <w:tcPr>
            <w:tcW w:w="1120" w:type="dxa"/>
            <w:vAlign w:val="bottom"/>
            <w:tcBorders>
              <w:bottom w:val="single" w:sz="8" w:color="00C389"/>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$2,517,000</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Sean Galvin</w:t>
            </w:r>
          </w:p>
        </w:tc>
        <w:tc>
          <w:tcPr>
            <w:tcW w:w="80" w:type="dxa"/>
            <w:vAlign w:val="bottom"/>
            <w:tcBorders>
              <w:bottom w:val="single" w:sz="8" w:color="00C389"/>
            </w:tcBorders>
          </w:tcPr>
          <w:p>
            <w:pPr>
              <w:spacing w:after="0"/>
              <w:rPr>
                <w:sz w:val="22"/>
                <w:szCs w:val="22"/>
                <w:color w:val="auto"/>
              </w:rPr>
            </w:pPr>
          </w:p>
        </w:tc>
        <w:tc>
          <w:tcPr>
            <w:tcW w:w="900" w:type="dxa"/>
            <w:vAlign w:val="bottom"/>
            <w:tcBorders>
              <w:bottom w:val="single" w:sz="8" w:color="00C389"/>
            </w:tcBorders>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00C389"/>
            </w:tcBorders>
          </w:tcPr>
          <w:p>
            <w:pPr>
              <w:jc w:val="center"/>
              <w:ind w:left="2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00C389"/>
            </w:tcBorders>
          </w:tcPr>
          <w:p>
            <w:pPr>
              <w:jc w:val="right"/>
              <w:ind w:right="5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00C389"/>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13,236(12)</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0C389"/>
            </w:tcBorders>
          </w:tcPr>
          <w:p>
            <w:pPr>
              <w:jc w:val="right"/>
              <w:ind w:right="16"/>
              <w:spacing w:after="0"/>
              <w:rPr>
                <w:sz w:val="20"/>
                <w:szCs w:val="20"/>
                <w:color w:val="auto"/>
              </w:rPr>
            </w:pPr>
            <w:r>
              <w:rPr>
                <w:rFonts w:ascii="Arial" w:cs="Arial" w:eastAsia="Arial" w:hAnsi="Arial"/>
                <w:sz w:val="18"/>
                <w:szCs w:val="18"/>
                <w:color w:val="auto"/>
              </w:rPr>
              <w:t>333,150</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120,917</w:t>
            </w:r>
          </w:p>
        </w:tc>
        <w:tc>
          <w:tcPr>
            <w:tcW w:w="0" w:type="dxa"/>
            <w:vAlign w:val="bottom"/>
          </w:tcPr>
          <w:p>
            <w:pPr>
              <w:spacing w:after="0"/>
              <w:rPr>
                <w:sz w:val="1"/>
                <w:szCs w:val="1"/>
                <w:color w:val="auto"/>
              </w:rPr>
            </w:pPr>
          </w:p>
        </w:tc>
      </w:tr>
      <w:tr>
        <w:trPr>
          <w:trHeight w:val="297"/>
        </w:trPr>
        <w:tc>
          <w:tcPr>
            <w:tcW w:w="2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29,909(14)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752,801</w:t>
            </w:r>
          </w:p>
        </w:tc>
        <w:tc>
          <w:tcPr>
            <w:tcW w:w="0" w:type="dxa"/>
            <w:vAlign w:val="bottom"/>
          </w:tcPr>
          <w:p>
            <w:pPr>
              <w:spacing w:after="0"/>
              <w:rPr>
                <w:sz w:val="1"/>
                <w:szCs w:val="1"/>
                <w:color w:val="auto"/>
              </w:rPr>
            </w:pPr>
          </w:p>
        </w:tc>
      </w:tr>
      <w:tr>
        <w:trPr>
          <w:trHeight w:val="277"/>
        </w:trPr>
        <w:tc>
          <w:tcPr>
            <w:tcW w:w="2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100,000(15)</w:t>
            </w:r>
          </w:p>
        </w:tc>
        <w:tc>
          <w:tcPr>
            <w:tcW w:w="11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$2,517,000</w:t>
            </w:r>
          </w:p>
        </w:tc>
        <w:tc>
          <w:tcPr>
            <w:tcW w:w="0" w:type="dxa"/>
            <w:vAlign w:val="bottom"/>
          </w:tcPr>
          <w:p>
            <w:pPr>
              <w:spacing w:after="0"/>
              <w:rPr>
                <w:sz w:val="1"/>
                <w:szCs w:val="1"/>
                <w:color w:val="auto"/>
              </w:rPr>
            </w:pPr>
          </w:p>
        </w:tc>
      </w:tr>
      <w:tr>
        <w:trPr>
          <w:trHeight w:val="20"/>
        </w:trPr>
        <w:tc>
          <w:tcPr>
            <w:tcW w:w="2600" w:type="dxa"/>
            <w:vAlign w:val="bottom"/>
            <w:shd w:val="clear" w:color="auto" w:fill="00C389"/>
          </w:tcPr>
          <w:p>
            <w:pPr>
              <w:spacing w:after="0" w:line="20" w:lineRule="exact"/>
              <w:rPr>
                <w:sz w:val="1"/>
                <w:szCs w:val="1"/>
                <w:color w:val="auto"/>
              </w:rPr>
            </w:pPr>
          </w:p>
        </w:tc>
        <w:tc>
          <w:tcPr>
            <w:tcW w:w="80" w:type="dxa"/>
            <w:vAlign w:val="bottom"/>
            <w:shd w:val="clear" w:color="auto" w:fill="00C389"/>
          </w:tcPr>
          <w:p>
            <w:pPr>
              <w:spacing w:after="0" w:line="20" w:lineRule="exact"/>
              <w:rPr>
                <w:sz w:val="1"/>
                <w:szCs w:val="1"/>
                <w:color w:val="auto"/>
              </w:rPr>
            </w:pPr>
          </w:p>
        </w:tc>
        <w:tc>
          <w:tcPr>
            <w:tcW w:w="900" w:type="dxa"/>
            <w:vAlign w:val="bottom"/>
            <w:shd w:val="clear" w:color="auto" w:fill="00C389"/>
          </w:tcPr>
          <w:p>
            <w:pPr>
              <w:spacing w:after="0" w:line="20" w:lineRule="exact"/>
              <w:rPr>
                <w:sz w:val="1"/>
                <w:szCs w:val="1"/>
                <w:color w:val="auto"/>
              </w:rPr>
            </w:pPr>
          </w:p>
        </w:tc>
        <w:tc>
          <w:tcPr>
            <w:tcW w:w="1280" w:type="dxa"/>
            <w:vAlign w:val="bottom"/>
            <w:shd w:val="clear" w:color="auto" w:fill="00C389"/>
          </w:tcPr>
          <w:p>
            <w:pPr>
              <w:spacing w:after="0" w:line="20" w:lineRule="exact"/>
              <w:rPr>
                <w:sz w:val="1"/>
                <w:szCs w:val="1"/>
                <w:color w:val="auto"/>
              </w:rPr>
            </w:pPr>
          </w:p>
        </w:tc>
        <w:tc>
          <w:tcPr>
            <w:tcW w:w="860" w:type="dxa"/>
            <w:vAlign w:val="bottom"/>
            <w:shd w:val="clear" w:color="auto" w:fill="00C389"/>
          </w:tcPr>
          <w:p>
            <w:pPr>
              <w:spacing w:after="0" w:line="20" w:lineRule="exact"/>
              <w:rPr>
                <w:sz w:val="1"/>
                <w:szCs w:val="1"/>
                <w:color w:val="auto"/>
              </w:rPr>
            </w:pPr>
          </w:p>
        </w:tc>
        <w:tc>
          <w:tcPr>
            <w:tcW w:w="940" w:type="dxa"/>
            <w:vAlign w:val="bottom"/>
            <w:shd w:val="clear" w:color="auto" w:fill="00C389"/>
          </w:tcPr>
          <w:p>
            <w:pPr>
              <w:spacing w:after="0" w:line="20" w:lineRule="exact"/>
              <w:rPr>
                <w:sz w:val="1"/>
                <w:szCs w:val="1"/>
                <w:color w:val="auto"/>
              </w:rPr>
            </w:pPr>
          </w:p>
        </w:tc>
        <w:tc>
          <w:tcPr>
            <w:tcW w:w="220" w:type="dxa"/>
            <w:vAlign w:val="bottom"/>
            <w:shd w:val="clear" w:color="auto" w:fill="00C389"/>
          </w:tcPr>
          <w:p>
            <w:pPr>
              <w:spacing w:after="0" w:line="20" w:lineRule="exact"/>
              <w:rPr>
                <w:sz w:val="1"/>
                <w:szCs w:val="1"/>
                <w:color w:val="auto"/>
              </w:rPr>
            </w:pPr>
          </w:p>
        </w:tc>
        <w:tc>
          <w:tcPr>
            <w:tcW w:w="1180" w:type="dxa"/>
            <w:vAlign w:val="bottom"/>
            <w:shd w:val="clear" w:color="auto" w:fill="00C389"/>
          </w:tcPr>
          <w:p>
            <w:pPr>
              <w:spacing w:after="0" w:line="20" w:lineRule="exact"/>
              <w:rPr>
                <w:sz w:val="1"/>
                <w:szCs w:val="1"/>
                <w:color w:val="auto"/>
              </w:rPr>
            </w:pPr>
          </w:p>
        </w:tc>
        <w:tc>
          <w:tcPr>
            <w:tcW w:w="220" w:type="dxa"/>
            <w:vAlign w:val="bottom"/>
            <w:shd w:val="clear" w:color="auto" w:fill="00C389"/>
          </w:tcPr>
          <w:p>
            <w:pPr>
              <w:spacing w:after="0" w:line="20" w:lineRule="exact"/>
              <w:rPr>
                <w:sz w:val="1"/>
                <w:szCs w:val="1"/>
                <w:color w:val="auto"/>
              </w:rPr>
            </w:pPr>
          </w:p>
        </w:tc>
        <w:tc>
          <w:tcPr>
            <w:tcW w:w="900" w:type="dxa"/>
            <w:vAlign w:val="bottom"/>
            <w:shd w:val="clear" w:color="auto" w:fill="00C3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080" w:right="780" w:hanging="318"/>
        <w:spacing w:after="0" w:line="278" w:lineRule="auto"/>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our Class A common stock on 12/31/2020 (the last trading day of Fiscal 2020) equal to $25.17.</w:t>
      </w:r>
    </w:p>
    <w:p>
      <w:pPr>
        <w:spacing w:after="0" w:line="72"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on January 23, 2021.</w:t>
      </w:r>
    </w:p>
    <w:p>
      <w:pPr>
        <w:spacing w:after="0" w:line="109"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23, 2021 and January 23, 2022.</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24, 2021, January 24, 2022 and January 24, 2023.</w:t>
      </w:r>
    </w:p>
    <w:p>
      <w:pPr>
        <w:spacing w:after="0" w:line="109" w:lineRule="exact"/>
        <w:rPr>
          <w:rFonts w:ascii="Arial" w:cs="Arial" w:eastAsia="Arial" w:hAnsi="Arial"/>
          <w:sz w:val="14"/>
          <w:szCs w:val="14"/>
          <w:color w:val="auto"/>
        </w:rPr>
      </w:pPr>
    </w:p>
    <w:p>
      <w:pPr>
        <w:ind w:left="1080" w:right="1340" w:hanging="318"/>
        <w:spacing w:after="0" w:line="278" w:lineRule="auto"/>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amount represents the number of earned but unvested restricted shares under Mr. Cifu’s Annual Equity Award that will vest on December 31, 2021.</w:t>
      </w:r>
    </w:p>
    <w:p>
      <w:pPr>
        <w:spacing w:after="0" w:line="72"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24, 2021, January 24, 2022 and January 24, 2023.</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shares are subject to performance conditions as further described above under “Molluso Equity Awards”.</w:t>
      </w:r>
    </w:p>
    <w:p>
      <w:pPr>
        <w:spacing w:after="0" w:line="109"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on January 23, 2021.</w:t>
      </w:r>
    </w:p>
    <w:p>
      <w:pPr>
        <w:spacing w:after="0" w:line="109"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23, 2021 and January 23, 2022.</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24, 2021, January 24, 2022 and January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212090</wp:posOffset>
            </wp:positionV>
            <wp:extent cx="75438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33</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1080" w:hanging="318"/>
        <w:spacing w:after="0"/>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restricted shares are subject to performance conditions as further described above under “Fairclough Equity Award”.</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August 12, 2021, August 12, 2022 and August 12, 2023.</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23, 2021 and January 23, 2022.</w:t>
      </w:r>
    </w:p>
    <w:p>
      <w:pPr>
        <w:spacing w:after="0" w:line="109" w:lineRule="exact"/>
        <w:rPr>
          <w:rFonts w:ascii="Arial" w:cs="Arial" w:eastAsia="Arial" w:hAnsi="Arial"/>
          <w:sz w:val="14"/>
          <w:szCs w:val="14"/>
          <w:color w:val="auto"/>
        </w:rPr>
      </w:pPr>
    </w:p>
    <w:p>
      <w:pPr>
        <w:ind w:left="1080" w:hanging="318"/>
        <w:spacing w:after="0"/>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restricted stock units will vest ratably on each of January 24, 2021, January 24, 2022 and January 24, 2022.</w:t>
      </w:r>
    </w:p>
    <w:p>
      <w:pPr>
        <w:spacing w:after="0" w:line="122" w:lineRule="exact"/>
        <w:rPr>
          <w:rFonts w:ascii="Arial" w:cs="Arial" w:eastAsia="Arial" w:hAnsi="Arial"/>
          <w:sz w:val="14"/>
          <w:szCs w:val="14"/>
          <w:color w:val="auto"/>
        </w:rPr>
      </w:pPr>
    </w:p>
    <w:p>
      <w:pPr>
        <w:ind w:left="1080" w:hanging="318"/>
        <w:spacing w:after="0"/>
        <w:tabs>
          <w:tab w:leader="none" w:pos="10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restricted shares are subject to performance conditions as further described above under “Cavoli Equity Award”.</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29"/>
          <w:szCs w:val="29"/>
          <w:color w:val="00C389"/>
        </w:rPr>
        <w:t>Option Exercises and Stock Vested</w:t>
      </w:r>
    </w:p>
    <w:p>
      <w:pPr>
        <w:ind w:left="3460"/>
        <w:spacing w:after="0"/>
        <w:rPr>
          <w:sz w:val="20"/>
          <w:szCs w:val="20"/>
          <w:color w:val="auto"/>
        </w:rPr>
      </w:pPr>
      <w:r>
        <w:rPr>
          <w:rFonts w:ascii="Arial" w:cs="Arial" w:eastAsia="Arial" w:hAnsi="Arial"/>
          <w:sz w:val="29"/>
          <w:szCs w:val="29"/>
          <w:color w:val="00C389"/>
        </w:rPr>
        <w:t>DURING 2020 FISCAL YEAR</w:t>
      </w:r>
    </w:p>
    <w:p>
      <w:pPr>
        <w:spacing w:after="0" w:line="102" w:lineRule="exact"/>
        <w:rPr>
          <w:sz w:val="20"/>
          <w:szCs w:val="20"/>
          <w:color w:val="auto"/>
        </w:rPr>
      </w:pPr>
    </w:p>
    <w:p>
      <w:pPr>
        <w:ind w:left="760" w:right="380"/>
        <w:spacing w:after="0"/>
        <w:rPr>
          <w:sz w:val="20"/>
          <w:szCs w:val="20"/>
          <w:color w:val="auto"/>
        </w:rPr>
      </w:pPr>
      <w:r>
        <w:rPr>
          <w:rFonts w:ascii="Arial" w:cs="Arial" w:eastAsia="Arial" w:hAnsi="Arial"/>
          <w:sz w:val="18"/>
          <w:szCs w:val="18"/>
          <w:color w:val="auto"/>
        </w:rPr>
        <w:t>The following table sets forth as to each of the named executive officers information on exercises of options to purchase our common stock, the vesting of restricted shares of our common stock, and the vesting of restricted stock units during 2020.</w:t>
      </w:r>
    </w:p>
    <w:p>
      <w:pPr>
        <w:spacing w:after="0" w:line="96"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2760" w:type="dxa"/>
            <w:vAlign w:val="bottom"/>
            <w:tcBorders>
              <w:bottom w:val="single" w:sz="8" w:color="00C389"/>
            </w:tcBorders>
            <w:gridSpan w:val="2"/>
          </w:tcPr>
          <w:p>
            <w:pPr>
              <w:jc w:val="right"/>
              <w:ind w:right="796"/>
              <w:spacing w:after="0"/>
              <w:rPr>
                <w:sz w:val="20"/>
                <w:szCs w:val="20"/>
                <w:color w:val="auto"/>
              </w:rPr>
            </w:pPr>
            <w:r>
              <w:rPr>
                <w:rFonts w:ascii="Arial" w:cs="Arial" w:eastAsia="Arial" w:hAnsi="Arial"/>
                <w:sz w:val="14"/>
                <w:szCs w:val="14"/>
                <w:b w:val="1"/>
                <w:bCs w:val="1"/>
                <w:color w:val="002554"/>
              </w:rPr>
              <w:t>Option Awards</w:t>
            </w:r>
          </w:p>
        </w:tc>
        <w:tc>
          <w:tcPr>
            <w:tcW w:w="200" w:type="dxa"/>
            <w:vAlign w:val="bottom"/>
          </w:tcPr>
          <w:p>
            <w:pPr>
              <w:spacing w:after="0"/>
              <w:rPr>
                <w:sz w:val="17"/>
                <w:szCs w:val="17"/>
                <w:color w:val="auto"/>
              </w:rPr>
            </w:pPr>
          </w:p>
        </w:tc>
        <w:tc>
          <w:tcPr>
            <w:tcW w:w="2760" w:type="dxa"/>
            <w:vAlign w:val="bottom"/>
            <w:tcBorders>
              <w:bottom w:val="single" w:sz="8" w:color="00C389"/>
            </w:tcBorders>
            <w:gridSpan w:val="2"/>
          </w:tcPr>
          <w:p>
            <w:pPr>
              <w:jc w:val="right"/>
              <w:ind w:right="816"/>
              <w:spacing w:after="0"/>
              <w:rPr>
                <w:sz w:val="20"/>
                <w:szCs w:val="20"/>
                <w:color w:val="auto"/>
              </w:rPr>
            </w:pPr>
            <w:r>
              <w:rPr>
                <w:rFonts w:ascii="Arial" w:cs="Arial" w:eastAsia="Arial" w:hAnsi="Arial"/>
                <w:sz w:val="14"/>
                <w:szCs w:val="14"/>
                <w:b w:val="1"/>
                <w:bCs w:val="1"/>
                <w:color w:val="002554"/>
              </w:rPr>
              <w:t>Stock Awards</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002554"/>
              </w:rPr>
              <w:t>Number of Shares</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02554"/>
              </w:rPr>
              <w:t>Value Realized on</w:t>
            </w:r>
          </w:p>
        </w:tc>
        <w:tc>
          <w:tcPr>
            <w:tcW w:w="1380" w:type="dxa"/>
            <w:vAlign w:val="bottom"/>
          </w:tcPr>
          <w:p>
            <w:pPr>
              <w:jc w:val="center"/>
              <w:ind w:right="38"/>
              <w:spacing w:after="0"/>
              <w:rPr>
                <w:sz w:val="20"/>
                <w:szCs w:val="20"/>
                <w:color w:val="auto"/>
              </w:rPr>
            </w:pPr>
            <w:r>
              <w:rPr>
                <w:rFonts w:ascii="Arial" w:cs="Arial" w:eastAsia="Arial" w:hAnsi="Arial"/>
                <w:sz w:val="14"/>
                <w:szCs w:val="14"/>
                <w:b w:val="1"/>
                <w:bCs w:val="1"/>
                <w:color w:val="002554"/>
              </w:rPr>
              <w:t>Number of Shares</w:t>
            </w:r>
          </w:p>
        </w:tc>
        <w:tc>
          <w:tcPr>
            <w:tcW w:w="13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002554"/>
              </w:rPr>
              <w:t>Value Realized on</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6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002554"/>
              </w:rPr>
              <w:t>Acquired on</w:t>
            </w:r>
          </w:p>
        </w:tc>
        <w:tc>
          <w:tcPr>
            <w:tcW w:w="1600" w:type="dxa"/>
            <w:vAlign w:val="bottom"/>
            <w:gridSpan w:val="2"/>
            <w:vMerge w:val="continue"/>
          </w:tcPr>
          <w:p>
            <w:pPr>
              <w:spacing w:after="0"/>
              <w:rPr>
                <w:sz w:val="11"/>
                <w:szCs w:val="11"/>
                <w:color w:val="auto"/>
              </w:rPr>
            </w:pPr>
          </w:p>
        </w:tc>
        <w:tc>
          <w:tcPr>
            <w:tcW w:w="138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002554"/>
              </w:rPr>
              <w:t>Acquired on</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136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002554"/>
              </w:rPr>
              <w:t>Exercise</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002554"/>
              </w:rPr>
              <w:t>Exercise</w:t>
            </w:r>
          </w:p>
        </w:tc>
        <w:tc>
          <w:tcPr>
            <w:tcW w:w="138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002554"/>
                <w:w w:val="98"/>
              </w:rPr>
              <w:t>Vesting</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w w:val="98"/>
              </w:rPr>
              <w:t>Vesting</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00C389"/>
            </w:tcBorders>
            <w:vMerge w:val="continue"/>
          </w:tcPr>
          <w:p>
            <w:pPr>
              <w:spacing w:after="0"/>
              <w:rPr>
                <w:sz w:val="16"/>
                <w:szCs w:val="16"/>
                <w:color w:val="auto"/>
              </w:rPr>
            </w:pPr>
          </w:p>
        </w:tc>
        <w:tc>
          <w:tcPr>
            <w:tcW w:w="13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3"/>
              </w:rPr>
              <w:t>(#)</w:t>
            </w:r>
          </w:p>
        </w:tc>
        <w:tc>
          <w:tcPr>
            <w:tcW w:w="1400" w:type="dxa"/>
            <w:vAlign w:val="bottom"/>
            <w:tcBorders>
              <w:bottom w:val="single" w:sz="8" w:color="00C389"/>
            </w:tcBorders>
          </w:tcPr>
          <w:p>
            <w:pPr>
              <w:jc w:val="center"/>
              <w:ind w:left="56"/>
              <w:spacing w:after="0"/>
              <w:rPr>
                <w:sz w:val="20"/>
                <w:szCs w:val="20"/>
                <w:color w:val="auto"/>
              </w:rPr>
            </w:pPr>
            <w:r>
              <w:rPr>
                <w:rFonts w:ascii="Arial" w:cs="Arial" w:eastAsia="Arial" w:hAnsi="Arial"/>
                <w:sz w:val="14"/>
                <w:szCs w:val="14"/>
                <w:b w:val="1"/>
                <w:bCs w:val="1"/>
                <w:color w:val="002554"/>
              </w:rPr>
              <w:t>($)</w:t>
            </w:r>
          </w:p>
        </w:tc>
        <w:tc>
          <w:tcPr>
            <w:tcW w:w="200" w:type="dxa"/>
            <w:vAlign w:val="bottom"/>
            <w:tcBorders>
              <w:bottom w:val="single" w:sz="8" w:color="00C389"/>
            </w:tcBorders>
          </w:tcPr>
          <w:p>
            <w:pPr>
              <w:spacing w:after="0"/>
              <w:rPr>
                <w:sz w:val="16"/>
                <w:szCs w:val="16"/>
                <w:color w:val="auto"/>
              </w:rPr>
            </w:pPr>
          </w:p>
        </w:tc>
        <w:tc>
          <w:tcPr>
            <w:tcW w:w="138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w w:val="99"/>
              </w:rPr>
              <w:t>(#)(6)</w:t>
            </w:r>
          </w:p>
        </w:tc>
        <w:tc>
          <w:tcPr>
            <w:tcW w:w="1380" w:type="dxa"/>
            <w:vAlign w:val="bottom"/>
            <w:tcBorders>
              <w:bottom w:val="single" w:sz="8" w:color="00C389"/>
            </w:tcBorders>
          </w:tcPr>
          <w:p>
            <w:pPr>
              <w:jc w:val="center"/>
              <w:ind w:left="36"/>
              <w:spacing w:after="0"/>
              <w:rPr>
                <w:sz w:val="20"/>
                <w:szCs w:val="20"/>
                <w:color w:val="auto"/>
              </w:rPr>
            </w:pPr>
            <w:r>
              <w:rPr>
                <w:rFonts w:ascii="Arial" w:cs="Arial" w:eastAsia="Arial" w:hAnsi="Arial"/>
                <w:sz w:val="14"/>
                <w:szCs w:val="14"/>
                <w:b w:val="1"/>
                <w:bCs w:val="1"/>
                <w:color w:val="002554"/>
              </w:rPr>
              <w:t>($)</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Douglas A. Cifu(1)</w:t>
            </w:r>
          </w:p>
        </w:tc>
        <w:tc>
          <w:tcPr>
            <w:tcW w:w="1360" w:type="dxa"/>
            <w:vAlign w:val="bottom"/>
            <w:tcBorders>
              <w:bottom w:val="single" w:sz="8" w:color="00C389"/>
            </w:tcBorders>
            <w:shd w:val="clear" w:color="auto" w:fill="CCEEFF"/>
          </w:tcPr>
          <w:p>
            <w:pPr>
              <w:jc w:val="right"/>
              <w:ind w:right="298"/>
              <w:spacing w:after="0"/>
              <w:rPr>
                <w:sz w:val="20"/>
                <w:szCs w:val="20"/>
                <w:color w:val="auto"/>
              </w:rPr>
            </w:pPr>
            <w:r>
              <w:rPr>
                <w:rFonts w:ascii="Arial" w:cs="Arial" w:eastAsia="Arial" w:hAnsi="Arial"/>
                <w:sz w:val="18"/>
                <w:szCs w:val="18"/>
                <w:color w:val="auto"/>
              </w:rPr>
              <w:t>100,000</w:t>
            </w:r>
          </w:p>
        </w:tc>
        <w:tc>
          <w:tcPr>
            <w:tcW w:w="1400" w:type="dxa"/>
            <w:vAlign w:val="bottom"/>
            <w:tcBorders>
              <w:bottom w:val="single" w:sz="8" w:color="00C389"/>
            </w:tcBorders>
            <w:shd w:val="clear" w:color="auto" w:fill="CCEEFF"/>
          </w:tcPr>
          <w:p>
            <w:pPr>
              <w:jc w:val="right"/>
              <w:ind w:right="216"/>
              <w:spacing w:after="0"/>
              <w:rPr>
                <w:sz w:val="20"/>
                <w:szCs w:val="20"/>
                <w:color w:val="auto"/>
              </w:rPr>
            </w:pPr>
            <w:r>
              <w:rPr>
                <w:rFonts w:ascii="Arial" w:cs="Arial" w:eastAsia="Arial" w:hAnsi="Arial"/>
                <w:sz w:val="18"/>
                <w:szCs w:val="18"/>
                <w:color w:val="auto"/>
              </w:rPr>
              <w:t>411,000</w:t>
            </w:r>
          </w:p>
        </w:tc>
        <w:tc>
          <w:tcPr>
            <w:tcW w:w="200" w:type="dxa"/>
            <w:vAlign w:val="bottom"/>
            <w:tcBorders>
              <w:bottom w:val="single" w:sz="8" w:color="00C389"/>
            </w:tcBorders>
            <w:shd w:val="clear" w:color="auto" w:fill="CCEEFF"/>
          </w:tcPr>
          <w:p>
            <w:pPr>
              <w:spacing w:after="0"/>
              <w:rPr>
                <w:sz w:val="22"/>
                <w:szCs w:val="22"/>
                <w:color w:val="auto"/>
              </w:rPr>
            </w:pPr>
          </w:p>
        </w:tc>
        <w:tc>
          <w:tcPr>
            <w:tcW w:w="1380" w:type="dxa"/>
            <w:vAlign w:val="bottom"/>
            <w:tcBorders>
              <w:bottom w:val="single" w:sz="8" w:color="00C389"/>
            </w:tcBorders>
            <w:shd w:val="clear" w:color="auto" w:fill="CCEEFF"/>
          </w:tcPr>
          <w:p>
            <w:pPr>
              <w:jc w:val="right"/>
              <w:ind w:right="318"/>
              <w:spacing w:after="0"/>
              <w:rPr>
                <w:sz w:val="20"/>
                <w:szCs w:val="20"/>
                <w:color w:val="auto"/>
              </w:rPr>
            </w:pPr>
            <w:r>
              <w:rPr>
                <w:rFonts w:ascii="Arial" w:cs="Arial" w:eastAsia="Arial" w:hAnsi="Arial"/>
                <w:sz w:val="18"/>
                <w:szCs w:val="18"/>
                <w:color w:val="auto"/>
              </w:rPr>
              <w:t>162,755</w:t>
            </w:r>
          </w:p>
        </w:tc>
        <w:tc>
          <w:tcPr>
            <w:tcW w:w="1380" w:type="dxa"/>
            <w:vAlign w:val="bottom"/>
            <w:tcBorders>
              <w:bottom w:val="single" w:sz="8" w:color="00C389"/>
            </w:tcBorders>
            <w:shd w:val="clear" w:color="auto" w:fill="CCEEFF"/>
          </w:tcPr>
          <w:p>
            <w:pPr>
              <w:jc w:val="right"/>
              <w:ind w:right="136"/>
              <w:spacing w:after="0"/>
              <w:rPr>
                <w:sz w:val="20"/>
                <w:szCs w:val="20"/>
                <w:color w:val="auto"/>
              </w:rPr>
            </w:pPr>
            <w:r>
              <w:rPr>
                <w:rFonts w:ascii="Arial" w:cs="Arial" w:eastAsia="Arial" w:hAnsi="Arial"/>
                <w:sz w:val="18"/>
                <w:szCs w:val="18"/>
                <w:color w:val="auto"/>
              </w:rPr>
              <w:t>3,229,338</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Joseph Molluso(2)</w:t>
            </w:r>
          </w:p>
        </w:tc>
        <w:tc>
          <w:tcPr>
            <w:tcW w:w="1360" w:type="dxa"/>
            <w:vAlign w:val="bottom"/>
            <w:tcBorders>
              <w:bottom w:val="single" w:sz="8" w:color="00C389"/>
            </w:tcBorders>
          </w:tcPr>
          <w:p>
            <w:pPr>
              <w:jc w:val="right"/>
              <w:ind w:right="298"/>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C389"/>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tcPr>
          <w:p>
            <w:pPr>
              <w:jc w:val="right"/>
              <w:ind w:right="318"/>
              <w:spacing w:after="0"/>
              <w:rPr>
                <w:sz w:val="20"/>
                <w:szCs w:val="20"/>
                <w:color w:val="auto"/>
              </w:rPr>
            </w:pPr>
            <w:r>
              <w:rPr>
                <w:rFonts w:ascii="Arial" w:cs="Arial" w:eastAsia="Arial" w:hAnsi="Arial"/>
                <w:sz w:val="18"/>
                <w:szCs w:val="18"/>
                <w:color w:val="auto"/>
              </w:rPr>
              <w:t>50,000</w:t>
            </w:r>
          </w:p>
        </w:tc>
        <w:tc>
          <w:tcPr>
            <w:tcW w:w="1380" w:type="dxa"/>
            <w:vAlign w:val="bottom"/>
            <w:tcBorders>
              <w:bottom w:val="single" w:sz="8" w:color="00C389"/>
            </w:tcBorders>
          </w:tcPr>
          <w:p>
            <w:pPr>
              <w:jc w:val="right"/>
              <w:ind w:right="136"/>
              <w:spacing w:after="0"/>
              <w:rPr>
                <w:sz w:val="20"/>
                <w:szCs w:val="20"/>
                <w:color w:val="auto"/>
              </w:rPr>
            </w:pPr>
            <w:r>
              <w:rPr>
                <w:rFonts w:ascii="Arial" w:cs="Arial" w:eastAsia="Arial" w:hAnsi="Arial"/>
                <w:sz w:val="18"/>
                <w:szCs w:val="18"/>
                <w:color w:val="auto"/>
              </w:rPr>
              <w:t>1,258,500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Brett Fairclough(3)</w:t>
            </w:r>
          </w:p>
        </w:tc>
        <w:tc>
          <w:tcPr>
            <w:tcW w:w="1360" w:type="dxa"/>
            <w:vAlign w:val="bottom"/>
            <w:tcBorders>
              <w:bottom w:val="single" w:sz="8" w:color="00C389"/>
            </w:tcBorders>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C389"/>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shd w:val="clear" w:color="auto" w:fill="CCEEFF"/>
          </w:tcPr>
          <w:p>
            <w:pPr>
              <w:jc w:val="right"/>
              <w:ind w:right="318"/>
              <w:spacing w:after="0"/>
              <w:rPr>
                <w:sz w:val="20"/>
                <w:szCs w:val="20"/>
                <w:color w:val="auto"/>
              </w:rPr>
            </w:pPr>
            <w:r>
              <w:rPr>
                <w:rFonts w:ascii="Arial" w:cs="Arial" w:eastAsia="Arial" w:hAnsi="Arial"/>
                <w:sz w:val="18"/>
                <w:szCs w:val="18"/>
                <w:color w:val="auto"/>
              </w:rPr>
              <w:t>79,506</w:t>
            </w:r>
          </w:p>
        </w:tc>
        <w:tc>
          <w:tcPr>
            <w:tcW w:w="1380" w:type="dxa"/>
            <w:vAlign w:val="bottom"/>
            <w:tcBorders>
              <w:bottom w:val="single" w:sz="8" w:color="00C389"/>
            </w:tcBorders>
            <w:shd w:val="clear" w:color="auto" w:fill="CCEEFF"/>
          </w:tcPr>
          <w:p>
            <w:pPr>
              <w:jc w:val="right"/>
              <w:ind w:right="136"/>
              <w:spacing w:after="0"/>
              <w:rPr>
                <w:sz w:val="20"/>
                <w:szCs w:val="20"/>
                <w:color w:val="auto"/>
              </w:rPr>
            </w:pPr>
            <w:r>
              <w:rPr>
                <w:rFonts w:ascii="Arial" w:cs="Arial" w:eastAsia="Arial" w:hAnsi="Arial"/>
                <w:sz w:val="18"/>
                <w:szCs w:val="18"/>
                <w:color w:val="auto"/>
              </w:rPr>
              <w:t>1,710,475</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Sean Galvin</w:t>
            </w:r>
          </w:p>
        </w:tc>
        <w:tc>
          <w:tcPr>
            <w:tcW w:w="1360" w:type="dxa"/>
            <w:vAlign w:val="bottom"/>
            <w:tcBorders>
              <w:bottom w:val="single" w:sz="8" w:color="00C389"/>
            </w:tcBorders>
          </w:tcPr>
          <w:p>
            <w:pPr>
              <w:jc w:val="right"/>
              <w:ind w:right="298"/>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C389"/>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tcPr>
          <w:p>
            <w:pPr>
              <w:jc w:val="right"/>
              <w:ind w:right="31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Stephen Cavoli(4)</w:t>
            </w:r>
          </w:p>
        </w:tc>
        <w:tc>
          <w:tcPr>
            <w:tcW w:w="1360" w:type="dxa"/>
            <w:vAlign w:val="bottom"/>
            <w:tcBorders>
              <w:bottom w:val="single" w:sz="8" w:color="00C389"/>
            </w:tcBorders>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C389"/>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shd w:val="clear" w:color="auto" w:fill="CCEEFF"/>
          </w:tcPr>
          <w:p>
            <w:pPr>
              <w:jc w:val="right"/>
              <w:ind w:right="318"/>
              <w:spacing w:after="0"/>
              <w:rPr>
                <w:sz w:val="20"/>
                <w:szCs w:val="20"/>
                <w:color w:val="auto"/>
              </w:rPr>
            </w:pPr>
            <w:r>
              <w:rPr>
                <w:rFonts w:ascii="Arial" w:cs="Arial" w:eastAsia="Arial" w:hAnsi="Arial"/>
                <w:sz w:val="18"/>
                <w:szCs w:val="18"/>
                <w:color w:val="auto"/>
              </w:rPr>
              <w:t>72,341</w:t>
            </w:r>
          </w:p>
        </w:tc>
        <w:tc>
          <w:tcPr>
            <w:tcW w:w="1380" w:type="dxa"/>
            <w:vAlign w:val="bottom"/>
            <w:tcBorders>
              <w:bottom w:val="single" w:sz="8" w:color="00C389"/>
            </w:tcBorders>
            <w:shd w:val="clear" w:color="auto" w:fill="CCEEFF"/>
          </w:tcPr>
          <w:p>
            <w:pPr>
              <w:jc w:val="right"/>
              <w:ind w:right="136"/>
              <w:spacing w:after="0"/>
              <w:rPr>
                <w:sz w:val="20"/>
                <w:szCs w:val="20"/>
                <w:color w:val="auto"/>
              </w:rPr>
            </w:pPr>
            <w:r>
              <w:rPr>
                <w:rFonts w:ascii="Arial" w:cs="Arial" w:eastAsia="Arial" w:hAnsi="Arial"/>
                <w:sz w:val="18"/>
                <w:szCs w:val="18"/>
                <w:color w:val="auto"/>
              </w:rPr>
              <w:t>1,601,050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Alexander M. Ioffe(5)</w:t>
            </w:r>
          </w:p>
        </w:tc>
        <w:tc>
          <w:tcPr>
            <w:tcW w:w="1360" w:type="dxa"/>
            <w:vAlign w:val="bottom"/>
            <w:tcBorders>
              <w:bottom w:val="single" w:sz="8" w:color="00C389"/>
            </w:tcBorders>
          </w:tcPr>
          <w:p>
            <w:pPr>
              <w:jc w:val="right"/>
              <w:ind w:right="298"/>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00C389"/>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00C389"/>
            </w:tcBorders>
          </w:tcPr>
          <w:p>
            <w:pPr>
              <w:jc w:val="right"/>
              <w:ind w:right="318"/>
              <w:spacing w:after="0"/>
              <w:rPr>
                <w:sz w:val="20"/>
                <w:szCs w:val="20"/>
                <w:color w:val="auto"/>
              </w:rPr>
            </w:pPr>
            <w:r>
              <w:rPr>
                <w:rFonts w:ascii="Arial" w:cs="Arial" w:eastAsia="Arial" w:hAnsi="Arial"/>
                <w:sz w:val="18"/>
                <w:szCs w:val="18"/>
                <w:color w:val="auto"/>
              </w:rPr>
              <w:t>114,927</w:t>
            </w:r>
          </w:p>
        </w:tc>
        <w:tc>
          <w:tcPr>
            <w:tcW w:w="1380" w:type="dxa"/>
            <w:vAlign w:val="bottom"/>
            <w:tcBorders>
              <w:bottom w:val="single" w:sz="8" w:color="00C389"/>
            </w:tcBorders>
          </w:tcPr>
          <w:p>
            <w:pPr>
              <w:jc w:val="right"/>
              <w:ind w:right="136"/>
              <w:spacing w:after="0"/>
              <w:rPr>
                <w:sz w:val="20"/>
                <w:szCs w:val="20"/>
                <w:color w:val="auto"/>
              </w:rPr>
            </w:pPr>
            <w:r>
              <w:rPr>
                <w:rFonts w:ascii="Arial" w:cs="Arial" w:eastAsia="Arial" w:hAnsi="Arial"/>
                <w:sz w:val="18"/>
                <w:szCs w:val="18"/>
                <w:color w:val="auto"/>
              </w:rPr>
              <w:t>2,622,634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80" w:right="460" w:hanging="218"/>
        <w:spacing w:after="0" w:line="270"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Cifu, this includes the vesting of 34,073 RSUs on January 23, 2020, at a closing price of $15.19, 53,682 class A shares on January 24, 2020 at a closing price of $15.35 and 75,000 shares of restricted stock vested on December 31, 2020, at a closing price of $25.17.</w:t>
      </w:r>
    </w:p>
    <w:p>
      <w:pPr>
        <w:spacing w:after="0" w:line="91" w:lineRule="exact"/>
        <w:rPr>
          <w:rFonts w:ascii="Arial" w:cs="Arial" w:eastAsia="Arial" w:hAnsi="Arial"/>
          <w:sz w:val="14"/>
          <w:szCs w:val="14"/>
          <w:color w:val="auto"/>
        </w:rPr>
      </w:pPr>
    </w:p>
    <w:p>
      <w:pPr>
        <w:ind w:left="980" w:hanging="218"/>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Molluso, this includes the vesting of 50,000 shares of restricted stock vested on December 31, 2020, at a closing price of $25.17.</w:t>
      </w:r>
    </w:p>
    <w:p>
      <w:pPr>
        <w:spacing w:after="0" w:line="109" w:lineRule="exact"/>
        <w:rPr>
          <w:rFonts w:ascii="Arial" w:cs="Arial" w:eastAsia="Arial" w:hAnsi="Arial"/>
          <w:sz w:val="14"/>
          <w:szCs w:val="14"/>
          <w:color w:val="auto"/>
        </w:rPr>
      </w:pPr>
    </w:p>
    <w:p>
      <w:pPr>
        <w:jc w:val="both"/>
        <w:ind w:left="980" w:right="420" w:hanging="218"/>
        <w:spacing w:after="0" w:line="270"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Fairclough, this includes the vesting of 5,886 RSUs on January 23, 2020, at a closing price of $15.19, 23,620 class A shares on January 24, 2020 at a closing price of $15.35 and 50,000 shares of restricted stock vested on December 31, 2020, at a closing price of $25.17.</w:t>
      </w:r>
    </w:p>
    <w:p>
      <w:pPr>
        <w:spacing w:after="0" w:line="91" w:lineRule="exact"/>
        <w:rPr>
          <w:rFonts w:ascii="Arial" w:cs="Arial" w:eastAsia="Arial" w:hAnsi="Arial"/>
          <w:sz w:val="14"/>
          <w:szCs w:val="14"/>
          <w:color w:val="auto"/>
        </w:rPr>
      </w:pPr>
    </w:p>
    <w:p>
      <w:pPr>
        <w:ind w:left="980" w:right="460" w:hanging="218"/>
        <w:spacing w:after="0" w:line="270"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Cavoli, this includes the vesting of 2,402 RSUs on January 23, 2020, at a closing price of $15.19, 19,939 class A shares on January 24, 2020 at a closing price of $15.35 and 50,000 shares of restricted stock vested on December 31, 2020, at a closing price of $25.17.</w:t>
      </w:r>
    </w:p>
    <w:p>
      <w:pPr>
        <w:spacing w:after="0" w:line="91" w:lineRule="exact"/>
        <w:rPr>
          <w:rFonts w:ascii="Arial" w:cs="Arial" w:eastAsia="Arial" w:hAnsi="Arial"/>
          <w:sz w:val="14"/>
          <w:szCs w:val="14"/>
          <w:color w:val="auto"/>
        </w:rPr>
      </w:pPr>
    </w:p>
    <w:p>
      <w:pPr>
        <w:ind w:left="980" w:right="40" w:hanging="218"/>
        <w:spacing w:after="0" w:line="278"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Ioffe, this includes the vesting of 114,927 RSUs on August 7, 2020, at a closing price of $22.82 in connection with his separation from the Company and in accordance with the terms of his employment agreement.</w:t>
      </w:r>
    </w:p>
    <w:p>
      <w:pPr>
        <w:spacing w:after="0" w:line="72" w:lineRule="exact"/>
        <w:rPr>
          <w:rFonts w:ascii="Arial" w:cs="Arial" w:eastAsia="Arial" w:hAnsi="Arial"/>
          <w:sz w:val="14"/>
          <w:szCs w:val="14"/>
          <w:color w:val="auto"/>
        </w:rPr>
      </w:pPr>
    </w:p>
    <w:p>
      <w:pPr>
        <w:jc w:val="both"/>
        <w:ind w:left="980" w:right="40" w:hanging="218"/>
        <w:spacing w:after="0" w:line="270" w:lineRule="auto"/>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number of shares delivered upon vesting of the executive’s stock awards were reduced by a number of shares with a market value equal to the applicable tax withholding amounts on their awards. As a result, the actual shares acquired by Messrs. Molluso, Fairclough Cavoli and Ioffe upon the vesting and settlement of their stock awards was 23,390, 40,908. 40,266 and 59,387, respectively.</w:t>
      </w:r>
    </w:p>
    <w:p>
      <w:pPr>
        <w:spacing w:after="0" w:line="177" w:lineRule="exact"/>
        <w:rPr>
          <w:sz w:val="20"/>
          <w:szCs w:val="20"/>
          <w:color w:val="auto"/>
        </w:rPr>
      </w:pPr>
    </w:p>
    <w:p>
      <w:pPr>
        <w:jc w:val="center"/>
        <w:ind w:left="1340" w:right="340"/>
        <w:spacing w:after="0" w:line="236" w:lineRule="auto"/>
        <w:rPr>
          <w:sz w:val="20"/>
          <w:szCs w:val="20"/>
          <w:color w:val="auto"/>
        </w:rPr>
      </w:pPr>
      <w:r>
        <w:rPr>
          <w:rFonts w:ascii="Arial" w:cs="Arial" w:eastAsia="Arial" w:hAnsi="Arial"/>
          <w:sz w:val="29"/>
          <w:szCs w:val="29"/>
          <w:color w:val="00C389"/>
        </w:rPr>
        <w:t>Potential Payments Upon Termination of Employment or Change in Control</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w:t>
      </w:r>
    </w:p>
    <w:p>
      <w:pPr>
        <w:spacing w:after="0" w:line="135" w:lineRule="exact"/>
        <w:rPr>
          <w:sz w:val="20"/>
          <w:szCs w:val="20"/>
          <w:color w:val="auto"/>
        </w:rPr>
      </w:pPr>
    </w:p>
    <w:p>
      <w:pPr>
        <w:ind w:left="760" w:right="80"/>
        <w:spacing w:after="0" w:line="248" w:lineRule="auto"/>
        <w:rPr>
          <w:sz w:val="20"/>
          <w:szCs w:val="20"/>
          <w:color w:val="auto"/>
        </w:rPr>
      </w:pPr>
      <w:r>
        <w:rPr>
          <w:rFonts w:ascii="Arial" w:cs="Arial" w:eastAsia="Arial" w:hAnsi="Arial"/>
          <w:sz w:val="17"/>
          <w:szCs w:val="17"/>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“Cifu Severance Amount”); (B) continued health, dental, vision and life insurance benefits under the terms of our benefit plans for</w:t>
      </w:r>
    </w:p>
    <w:p>
      <w:pPr>
        <w:spacing w:after="0" w:line="4" w:lineRule="exact"/>
        <w:rPr>
          <w:sz w:val="20"/>
          <w:szCs w:val="20"/>
          <w:color w:val="auto"/>
        </w:rPr>
      </w:pPr>
    </w:p>
    <w:p>
      <w:pPr>
        <w:ind w:left="760" w:right="80" w:firstLine="2"/>
        <w:spacing w:after="0" w:line="261" w:lineRule="auto"/>
        <w:tabs>
          <w:tab w:leader="none" w:pos="10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twelve months or (y) the period from termination of employment through the remainder of the term, whichever is longer (the “Benefits Continuation Period”); and following the Benefits Continuation Period, continued participation in the Company’s health, dental, vision and life insurance until the earlier of (i) Mr. Cifu’s independents reaching the</w:t>
      </w:r>
    </w:p>
    <w:p>
      <w:pPr>
        <w:spacing w:after="0" w:line="25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754380" cy="2400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1" w:right="137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860"/>
        <w:spacing w:after="0" w:line="237" w:lineRule="auto"/>
        <w:rPr>
          <w:sz w:val="20"/>
          <w:szCs w:val="20"/>
          <w:color w:val="auto"/>
        </w:rPr>
      </w:pPr>
      <w:r>
        <w:rPr>
          <w:rFonts w:ascii="Arial" w:cs="Arial" w:eastAsia="Arial" w:hAnsi="Arial"/>
          <w:sz w:val="18"/>
          <w:szCs w:val="18"/>
          <w:color w:val="auto"/>
        </w:rPr>
        <w:t>age of 26, (ii) Mr. Cifu or his spouse becoming eligible for Medicare, or (iii) Mr. Cifu becoming eligible for comparable coverage under another employer’s benefit plans, subject to Mr. Cifu’s payment of the full cost of such benefits; (C) continued eligibility to earn shares of Class A common stock under his then-current annual equity grant, and to the extent earned, a pro rata portion of such shares shall be deemed vested on the last day of the calendar year to which such award relates (the “Cifu Equity Acceleration”); (D) accelerated vesting of any earned but unvested shares of Class A common stock under the annual equity grant granted in the year prior to the year of termination; and (E) 150,000 shares of fully vested Class A common stock.</w:t>
      </w:r>
    </w:p>
    <w:p>
      <w:pPr>
        <w:spacing w:after="0" w:line="95" w:lineRule="exact"/>
        <w:rPr>
          <w:sz w:val="20"/>
          <w:szCs w:val="20"/>
          <w:color w:val="auto"/>
        </w:rPr>
      </w:pPr>
    </w:p>
    <w:p>
      <w:pPr>
        <w:ind w:left="760" w:right="860"/>
        <w:spacing w:after="0" w:line="236" w:lineRule="auto"/>
        <w:rPr>
          <w:sz w:val="20"/>
          <w:szCs w:val="20"/>
          <w:color w:val="auto"/>
        </w:rPr>
      </w:pPr>
      <w:r>
        <w:rPr>
          <w:rFonts w:ascii="Arial" w:cs="Arial" w:eastAsia="Arial" w:hAnsi="Arial"/>
          <w:sz w:val="18"/>
          <w:szCs w:val="18"/>
          <w:color w:val="auto"/>
        </w:rPr>
        <w:t>Under Mr. Molluso’s employment agreement, if Mr. Molluso’s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Molluso will receive severance pay in an aggregate amount equal to the greater of (x) one times his base salary and (y) an amount equal to the total amount of base salary that would otherwise have been payable through the remainder of the term (the “Molluso Severance Amount”); (B) Mr. Molluso will receive continued health, dental, vision and life insurance benefits under the terms of our benefit plans for twelve months; and (C) the next scheduled vesting installments under each of Mr. Molluso’s special equity award and sign-on equity award prorated for the elapsed portion of the calendar year, together with the full next installment of such awards (if any) shall be deemed accelerated and vested.</w:t>
      </w:r>
    </w:p>
    <w:p>
      <w:pPr>
        <w:spacing w:after="0" w:line="96" w:lineRule="exact"/>
        <w:rPr>
          <w:sz w:val="20"/>
          <w:szCs w:val="20"/>
          <w:color w:val="auto"/>
        </w:rPr>
      </w:pPr>
    </w:p>
    <w:p>
      <w:pPr>
        <w:ind w:left="760" w:right="800"/>
        <w:spacing w:after="0" w:line="236" w:lineRule="auto"/>
        <w:rPr>
          <w:sz w:val="20"/>
          <w:szCs w:val="20"/>
          <w:color w:val="auto"/>
        </w:rPr>
      </w:pPr>
      <w:r>
        <w:rPr>
          <w:rFonts w:ascii="Arial" w:cs="Arial" w:eastAsia="Arial" w:hAnsi="Arial"/>
          <w:sz w:val="18"/>
          <w:szCs w:val="18"/>
          <w:color w:val="auto"/>
        </w:rPr>
        <w:t>Under Mr. Fairclough’s employment agreement, if Mr. Fairclough’s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Fairclough will receive severance pay in an aggregate amount equal to the greater of (x) one times his base salary and (y) an amount equal to the total amount of base salary that would otherwise have been payable through the remainder of the term (the “Fairclough Severance Amount”); (B) Mr. Fairclough will receive continued health, dental, vision and life insurance benefits under the terms of our benefit plans for twelve months; and (C) the next scheduled vesting installment under Mr. Fairclough’s special equity award prorated for the elapsed portion of the calendar year, together with the full next installment of such award (if any) shall be deemed accelerated and vested.</w:t>
      </w:r>
    </w:p>
    <w:p>
      <w:pPr>
        <w:spacing w:after="0" w:line="97" w:lineRule="exact"/>
        <w:rPr>
          <w:sz w:val="20"/>
          <w:szCs w:val="20"/>
          <w:color w:val="auto"/>
        </w:rPr>
      </w:pPr>
    </w:p>
    <w:p>
      <w:pPr>
        <w:ind w:left="760" w:right="780"/>
        <w:spacing w:after="0" w:line="236" w:lineRule="auto"/>
        <w:rPr>
          <w:sz w:val="20"/>
          <w:szCs w:val="20"/>
          <w:color w:val="auto"/>
        </w:rPr>
      </w:pPr>
      <w:r>
        <w:rPr>
          <w:rFonts w:ascii="Arial" w:cs="Arial" w:eastAsia="Arial" w:hAnsi="Arial"/>
          <w:sz w:val="18"/>
          <w:szCs w:val="18"/>
          <w:color w:val="auto"/>
        </w:rPr>
        <w:t>Under Mr. Cavoli’s current employment agreement, if Mr. Cavoli’s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subject to the execution of a release of claims: (A) Mr. Cavoli will receive severance pay in an aggregate amount equal to the greater of (x) one times his base salary and (y) an amount equal to the total amount of base salary that would otherwise have been payable through the remainder of the term (the “Cavoli Severance Amount”); (B) Mr. Cavoli will receive continued health, dental, vision and life insurance benefits under the terms of our benefit plans for twelve months; and (C) the next scheduled vesting installment under Mr. Cavoli’s special equity award prorated for the elapsed portion of the calendar year, together with the full next installment of such award (if any) shall be deemed accelerated and vested.</w:t>
      </w:r>
    </w:p>
    <w:p>
      <w:pPr>
        <w:spacing w:after="0" w:line="97" w:lineRule="exact"/>
        <w:rPr>
          <w:sz w:val="20"/>
          <w:szCs w:val="20"/>
          <w:color w:val="auto"/>
        </w:rPr>
      </w:pPr>
    </w:p>
    <w:p>
      <w:pPr>
        <w:ind w:left="760" w:right="900"/>
        <w:spacing w:after="0" w:line="251" w:lineRule="auto"/>
        <w:rPr>
          <w:sz w:val="20"/>
          <w:szCs w:val="20"/>
          <w:color w:val="auto"/>
        </w:rPr>
      </w:pPr>
      <w:r>
        <w:rPr>
          <w:rFonts w:ascii="Arial" w:cs="Arial" w:eastAsia="Arial" w:hAnsi="Arial"/>
          <w:sz w:val="17"/>
          <w:szCs w:val="17"/>
          <w:color w:val="auto"/>
        </w:rPr>
        <w:t>Under Mr. Ioffe’s employment agreement, upon the termination of Mr. Ioffe’s employment by us without cause (as defined in the employment agreement), due to death or disability (as defined in the employment agreement) or by the executive for good reason (as defined in the employment agreement), then in addition to receiving his accrued amounts, subject to the execution of a release of claims: (A) Mr. Ioffe received severance pay in an aggregate amount equal to twelve months’ of base salary and any unpaid guaranteed bonuses (the “Ioffe Severance Amount”); (B) Mr. Ioffe received continued health, dental, vision and life insurance benefits under the terms of our benefit plans for twelve months; and (C) the next scheduled vesting installment under Mr. Ioffe’s sign-on equity award, prorated for the elapsed portion of the calendar year, together with the full next installment of such award (if any) was deemed accelerated and vested. Mr. Ioffe’s employment terminated on August 7, 2020.</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Mr. Galvin is not entitled to any payments or benefits in connection with the termination of his employment.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Severance Benefits Upon a Change in Control Termination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Mr. Cifu is terminated at any time within sixty days before, or 24 months following, a change in control, then</w:t>
      </w:r>
    </w:p>
    <w:p>
      <w:pPr>
        <w:jc w:val="center"/>
        <w:ind w:right="20"/>
        <w:spacing w:after="0"/>
        <w:rPr>
          <w:sz w:val="20"/>
          <w:szCs w:val="20"/>
          <w:color w:val="auto"/>
        </w:rPr>
      </w:pPr>
      <w:r>
        <w:rPr>
          <w:rFonts w:ascii="Arial" w:cs="Arial" w:eastAsia="Arial" w:hAnsi="Arial"/>
          <w:sz w:val="18"/>
          <w:szCs w:val="18"/>
          <w:color w:val="auto"/>
        </w:rPr>
        <w:t>Mr. Cifu is entitled to the payments and benefits described above, however (1) in lieu of the Cifu Severance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212090</wp:posOffset>
            </wp:positionV>
            <wp:extent cx="75438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35</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40"/>
        <w:spacing w:after="0" w:line="252" w:lineRule="auto"/>
        <w:rPr>
          <w:sz w:val="20"/>
          <w:szCs w:val="20"/>
          <w:color w:val="auto"/>
        </w:rPr>
      </w:pPr>
      <w:r>
        <w:rPr>
          <w:rFonts w:ascii="Arial" w:cs="Arial" w:eastAsia="Arial" w:hAnsi="Arial"/>
          <w:sz w:val="18"/>
          <w:szCs w:val="18"/>
          <w:color w:val="auto"/>
        </w:rPr>
        <w:t>Mr. Cifu will be entitled to receive two and a half times the sum of (x) his base salary and (y) the annual bonus (including any amounts deferred or satisfied through the grant of equity awards) most recently awarded to Mr. Cifu for a completed fiscal year of the Company; (2) the Benefits Continuation Period will be extended to (x) 24 months or (y) the period from termination of employment through the remainder of the term, whichever is longer; and (3) in lieu of the Cifu Equity Acceleration, Mr. Cifu will be entitled to a pro rata portion of all of the shares underlying his then-current annual equity grant, which shall be deemed vested on the last day of the calendar year to which such award relates.</w:t>
      </w:r>
    </w:p>
    <w:p>
      <w:pPr>
        <w:spacing w:after="0" w:line="99" w:lineRule="exact"/>
        <w:rPr>
          <w:sz w:val="20"/>
          <w:szCs w:val="20"/>
          <w:color w:val="auto"/>
        </w:rPr>
      </w:pPr>
    </w:p>
    <w:p>
      <w:pPr>
        <w:jc w:val="both"/>
        <w:ind w:left="760" w:right="320"/>
        <w:spacing w:after="0" w:line="254" w:lineRule="auto"/>
        <w:rPr>
          <w:sz w:val="20"/>
          <w:szCs w:val="20"/>
          <w:color w:val="auto"/>
        </w:rPr>
      </w:pPr>
      <w:r>
        <w:rPr>
          <w:rFonts w:ascii="Arial" w:cs="Arial" w:eastAsia="Arial" w:hAnsi="Arial"/>
          <w:sz w:val="18"/>
          <w:szCs w:val="18"/>
          <w:color w:val="auto"/>
        </w:rPr>
        <w:t>If Mr. Molluso is terminated at any time in anticipation of, or within 12 months following, a change in control, then Mr. Molluso is entitled to the payments and benefits described above, however, in lieu of the Molluso Severance Amount, Mr. Molluso will be entitled to an amount equal to two times the sum of (x) his base salary then in effect plus (y) the prior year’s actual discretionary bonus paid to him.</w:t>
      </w:r>
    </w:p>
    <w:p>
      <w:pPr>
        <w:spacing w:after="0" w:line="96"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If Mr. Fairclough is terminated at any time in anticipation of, or within 12 months following, a change in control, then Mr. Fairclough is entitled to the payments and benefits described above, however, in lieu of the Fairclough Severance Amount, Mr. Fairclough will be entitled to an amount equal to two times the sum of (x) his base salary then in effect plus (y) the prior year’s actual discretionary bonus paid to him.</w:t>
      </w:r>
    </w:p>
    <w:p>
      <w:pPr>
        <w:spacing w:after="0" w:line="96"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If Mr. Cavoli is terminated at any time in anticipation of, or within 12 months following, a change in control, then Mr. Cavoli is entitled to the payments and benefits described above, however in lieu of the Cavoli Severance Amount, Mr. Cavoli will be entitled to an amount equal to two times the sum of (x) his base salary then in effect plus (y) the prior year’s actual discretionary bonus paid to him.</w:t>
      </w:r>
    </w:p>
    <w:p>
      <w:pPr>
        <w:spacing w:after="0" w:line="96" w:lineRule="exact"/>
        <w:rPr>
          <w:sz w:val="20"/>
          <w:szCs w:val="20"/>
          <w:color w:val="auto"/>
        </w:rPr>
      </w:pPr>
    </w:p>
    <w:p>
      <w:pPr>
        <w:ind w:left="760" w:right="20"/>
        <w:spacing w:after="0" w:line="252" w:lineRule="auto"/>
        <w:rPr>
          <w:sz w:val="20"/>
          <w:szCs w:val="20"/>
          <w:color w:val="auto"/>
        </w:rPr>
      </w:pPr>
      <w:r>
        <w:rPr>
          <w:rFonts w:ascii="Arial" w:cs="Arial" w:eastAsia="Arial" w:hAnsi="Arial"/>
          <w:sz w:val="18"/>
          <w:szCs w:val="18"/>
          <w:color w:val="auto"/>
        </w:rPr>
        <w:t>If Mr. Ioffe had been terminated in anticipation of, or within 12 months following, a change in control, then Mr. Ioffe would have been entitled to the payments and benefits described above, however in addition to the Ioffe Severance Amount, Mr. Ioffe would have been entitled to the sum of (x) his target bonus amount for such year prorated based on the elapsed portion of the year plus (y) an amount equal to the highest of (i) the target bonus for the year of termination, or if no such target has been set, the most recent target amount, (ii) the prior year’s actual discretionary bonus paid and (iii) the average of the two preceding years’ actual discretionary bonus paid.</w:t>
      </w:r>
    </w:p>
    <w:p>
      <w:pPr>
        <w:spacing w:after="0" w:line="100" w:lineRule="exact"/>
        <w:rPr>
          <w:sz w:val="20"/>
          <w:szCs w:val="20"/>
          <w:color w:val="auto"/>
        </w:rPr>
      </w:pPr>
    </w:p>
    <w:p>
      <w:pPr>
        <w:ind w:left="760" w:right="620"/>
        <w:spacing w:after="0" w:line="261" w:lineRule="auto"/>
        <w:rPr>
          <w:sz w:val="20"/>
          <w:szCs w:val="20"/>
          <w:color w:val="auto"/>
        </w:rPr>
      </w:pPr>
      <w:r>
        <w:rPr>
          <w:rFonts w:ascii="Arial" w:cs="Arial" w:eastAsia="Arial" w:hAnsi="Arial"/>
          <w:sz w:val="18"/>
          <w:szCs w:val="18"/>
          <w:color w:val="auto"/>
        </w:rPr>
        <w:t>Mr. Galvin is not entitled to any payments or benefits in connection with the termination of his employment in anticipation of, or within 12 months following, a change in control.</w:t>
      </w:r>
    </w:p>
    <w:p>
      <w:pPr>
        <w:spacing w:after="0" w:line="90" w:lineRule="exact"/>
        <w:rPr>
          <w:sz w:val="20"/>
          <w:szCs w:val="20"/>
          <w:color w:val="auto"/>
        </w:rPr>
      </w:pPr>
    </w:p>
    <w:p>
      <w:pPr>
        <w:ind w:left="760" w:right="20"/>
        <w:spacing w:after="0" w:line="251" w:lineRule="auto"/>
        <w:rPr>
          <w:sz w:val="20"/>
          <w:szCs w:val="20"/>
          <w:color w:val="auto"/>
        </w:rPr>
      </w:pPr>
      <w:r>
        <w:rPr>
          <w:rFonts w:ascii="Arial" w:cs="Arial" w:eastAsia="Arial" w:hAnsi="Arial"/>
          <w:sz w:val="18"/>
          <w:szCs w:val="18"/>
          <w:color w:val="auto"/>
        </w:rPr>
        <w:t>For purposes of the employment agreements with Messrs. Cifu, Molluso, Fairclough and Cavoli and Ioffe,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102" w:lineRule="exact"/>
        <w:rPr>
          <w:sz w:val="20"/>
          <w:szCs w:val="20"/>
          <w:color w:val="auto"/>
        </w:rPr>
      </w:pPr>
    </w:p>
    <w:p>
      <w:pPr>
        <w:ind w:left="760" w:right="20"/>
        <w:spacing w:after="0" w:line="254" w:lineRule="auto"/>
        <w:rPr>
          <w:sz w:val="20"/>
          <w:szCs w:val="20"/>
          <w:color w:val="auto"/>
        </w:rPr>
      </w:pPr>
      <w:r>
        <w:rPr>
          <w:rFonts w:ascii="Arial" w:cs="Arial" w:eastAsia="Arial" w:hAnsi="Arial"/>
          <w:sz w:val="18"/>
          <w:szCs w:val="18"/>
          <w:color w:val="auto"/>
        </w:rPr>
        <w:t>If any payments to Messrs. Cifu, Molluso, Fairclough, Galvin and Cavoli are determined to be so-called “golden parachute” payments subject to the excise tax under Section 4999 of the Code, then such payments will be reduced to the extent such reduction would result in the executive retaining a greater net after-tax amount than he would have retained had he received the full amount of the payments and paid the applicable excise tax.</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Estimated Payments Upon Termination of Employment or Change in Control</w:t>
      </w:r>
    </w:p>
    <w:p>
      <w:pPr>
        <w:spacing w:after="0" w:line="139" w:lineRule="exact"/>
        <w:rPr>
          <w:sz w:val="20"/>
          <w:szCs w:val="20"/>
          <w:color w:val="auto"/>
        </w:rPr>
      </w:pPr>
    </w:p>
    <w:p>
      <w:pPr>
        <w:ind w:left="760" w:right="240"/>
        <w:spacing w:after="0" w:line="256" w:lineRule="auto"/>
        <w:rPr>
          <w:sz w:val="20"/>
          <w:szCs w:val="20"/>
          <w:color w:val="auto"/>
        </w:rPr>
      </w:pPr>
      <w:r>
        <w:rPr>
          <w:rFonts w:ascii="Arial" w:cs="Arial" w:eastAsia="Arial" w:hAnsi="Arial"/>
          <w:sz w:val="18"/>
          <w:szCs w:val="18"/>
          <w:color w:val="auto"/>
        </w:rPr>
        <w:t>Assuming each named executive officer’s (other than Mr. Ioffe) termination of employment occurred on December 31, 2020 or a change in control occurred on December 31, 2020, the dollar value of the payments and other benefits to be provided to each of the named executive officers are estimated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75438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COMPENSATION</w:t>
      </w:r>
    </w:p>
    <w:p>
      <w:pPr>
        <w:spacing w:after="0" w:line="225" w:lineRule="exact"/>
        <w:rPr>
          <w:sz w:val="20"/>
          <w:szCs w:val="20"/>
          <w:color w:val="auto"/>
        </w:rPr>
      </w:pPr>
    </w:p>
    <w:p>
      <w:pPr>
        <w:ind w:left="760" w:right="1020"/>
        <w:spacing w:after="0" w:line="261" w:lineRule="auto"/>
        <w:rPr>
          <w:sz w:val="20"/>
          <w:szCs w:val="20"/>
          <w:color w:val="auto"/>
        </w:rPr>
      </w:pPr>
      <w:r>
        <w:rPr>
          <w:rFonts w:ascii="Arial" w:cs="Arial" w:eastAsia="Arial" w:hAnsi="Arial"/>
          <w:sz w:val="18"/>
          <w:szCs w:val="18"/>
          <w:color w:val="auto"/>
        </w:rPr>
        <w:t>Mr. Ioffe’s employment terminated on August 7, 2020 and the amounts shown in the table below reflect the actual payments he received in connection with such termination.</w:t>
      </w:r>
    </w:p>
    <w:p>
      <w:pPr>
        <w:spacing w:after="0" w:line="9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ind w:right="196"/>
              <w:spacing w:after="0"/>
              <w:rPr>
                <w:sz w:val="20"/>
                <w:szCs w:val="20"/>
                <w:color w:val="auto"/>
              </w:rPr>
            </w:pPr>
            <w:r>
              <w:rPr>
                <w:rFonts w:ascii="Arial" w:cs="Arial" w:eastAsia="Arial" w:hAnsi="Arial"/>
                <w:sz w:val="14"/>
                <w:szCs w:val="14"/>
                <w:b w:val="1"/>
                <w:bCs w:val="1"/>
                <w:color w:val="002554"/>
              </w:rPr>
              <w:t>Death,</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002554"/>
                <w:w w:val="99"/>
              </w:rPr>
              <w:t>Disability,</w:t>
            </w:r>
          </w:p>
        </w:tc>
        <w:tc>
          <w:tcPr>
            <w:tcW w:w="1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w w:val="99"/>
              </w:rPr>
              <w:t>Termination</w:t>
            </w:r>
          </w:p>
        </w:tc>
        <w:tc>
          <w:tcPr>
            <w:tcW w:w="1340" w:type="dxa"/>
            <w:vAlign w:val="bottom"/>
          </w:tcPr>
          <w:p>
            <w:pPr>
              <w:spacing w:after="0"/>
              <w:rPr>
                <w:sz w:val="11"/>
                <w:szCs w:val="11"/>
                <w:color w:val="auto"/>
              </w:rPr>
            </w:pPr>
          </w:p>
        </w:tc>
        <w:tc>
          <w:tcPr>
            <w:tcW w:w="13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002554"/>
              </w:rPr>
              <w:t>Non-Renewal</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Without Cause</w:t>
            </w:r>
          </w:p>
        </w:tc>
        <w:tc>
          <w:tcPr>
            <w:tcW w:w="13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vMerge w:val="restart"/>
          </w:tcPr>
          <w:p>
            <w:pPr>
              <w:jc w:val="center"/>
              <w:ind w:left="195"/>
              <w:spacing w:after="0"/>
              <w:rPr>
                <w:sz w:val="20"/>
                <w:szCs w:val="20"/>
                <w:color w:val="auto"/>
              </w:rPr>
            </w:pPr>
            <w:r>
              <w:rPr>
                <w:rFonts w:ascii="Arial" w:cs="Arial" w:eastAsia="Arial" w:hAnsi="Arial"/>
                <w:sz w:val="14"/>
                <w:szCs w:val="14"/>
                <w:b w:val="1"/>
                <w:bCs w:val="1"/>
                <w:color w:val="002554"/>
              </w:rPr>
              <w:t>Death,</w:t>
            </w: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or for Good</w:t>
            </w:r>
          </w:p>
        </w:tc>
        <w:tc>
          <w:tcPr>
            <w:tcW w:w="1340" w:type="dxa"/>
            <w:vAlign w:val="bottom"/>
          </w:tcPr>
          <w:p>
            <w:pPr>
              <w:spacing w:after="0"/>
              <w:rPr>
                <w:sz w:val="11"/>
                <w:szCs w:val="11"/>
                <w:color w:val="auto"/>
              </w:rPr>
            </w:pPr>
          </w:p>
        </w:tc>
        <w:tc>
          <w:tcPr>
            <w:tcW w:w="136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by the</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00" w:type="dxa"/>
            <w:vAlign w:val="bottom"/>
            <w:gridSpan w:val="2"/>
          </w:tcPr>
          <w:p>
            <w:pPr>
              <w:jc w:val="center"/>
              <w:ind w:right="116"/>
              <w:spacing w:after="0" w:line="135" w:lineRule="exact"/>
              <w:rPr>
                <w:sz w:val="20"/>
                <w:szCs w:val="20"/>
                <w:color w:val="auto"/>
              </w:rPr>
            </w:pPr>
            <w:r>
              <w:rPr>
                <w:rFonts w:ascii="Arial" w:cs="Arial" w:eastAsia="Arial" w:hAnsi="Arial"/>
                <w:sz w:val="14"/>
                <w:szCs w:val="14"/>
                <w:b w:val="1"/>
                <w:bCs w:val="1"/>
                <w:color w:val="002554"/>
              </w:rPr>
              <w:t>Reason 60 Days</w:t>
            </w:r>
          </w:p>
        </w:tc>
        <w:tc>
          <w:tcPr>
            <w:tcW w:w="1340" w:type="dxa"/>
            <w:vAlign w:val="bottom"/>
          </w:tcPr>
          <w:p>
            <w:pPr>
              <w:spacing w:after="0"/>
              <w:rPr>
                <w:sz w:val="11"/>
                <w:szCs w:val="11"/>
                <w:color w:val="auto"/>
              </w:rPr>
            </w:pPr>
          </w:p>
        </w:tc>
        <w:tc>
          <w:tcPr>
            <w:tcW w:w="136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Company</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jc w:val="center"/>
              <w:ind w:left="215"/>
              <w:spacing w:after="0" w:line="135" w:lineRule="exact"/>
              <w:rPr>
                <w:sz w:val="20"/>
                <w:szCs w:val="20"/>
                <w:color w:val="auto"/>
              </w:rPr>
            </w:pPr>
            <w:r>
              <w:rPr>
                <w:rFonts w:ascii="Arial" w:cs="Arial" w:eastAsia="Arial" w:hAnsi="Arial"/>
                <w:sz w:val="14"/>
                <w:szCs w:val="14"/>
                <w:b w:val="1"/>
                <w:bCs w:val="1"/>
                <w:color w:val="002554"/>
                <w:w w:val="99"/>
              </w:rPr>
              <w:t>Disability,</w:t>
            </w: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Prior to or</w:t>
            </w:r>
          </w:p>
        </w:tc>
        <w:tc>
          <w:tcPr>
            <w:tcW w:w="1340" w:type="dxa"/>
            <w:vAlign w:val="bottom"/>
          </w:tcPr>
          <w:p>
            <w:pPr>
              <w:spacing w:after="0"/>
              <w:rPr>
                <w:sz w:val="11"/>
                <w:szCs w:val="11"/>
                <w:color w:val="auto"/>
              </w:rPr>
            </w:pPr>
          </w:p>
        </w:tc>
        <w:tc>
          <w:tcPr>
            <w:tcW w:w="136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002554"/>
              </w:rPr>
              <w:t>60 Days Prior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jc w:val="center"/>
              <w:ind w:left="195"/>
              <w:spacing w:after="0" w:line="135" w:lineRule="exact"/>
              <w:rPr>
                <w:sz w:val="20"/>
                <w:szCs w:val="20"/>
                <w:color w:val="auto"/>
              </w:rPr>
            </w:pPr>
            <w:r>
              <w:rPr>
                <w:rFonts w:ascii="Arial" w:cs="Arial" w:eastAsia="Arial" w:hAnsi="Arial"/>
                <w:sz w:val="14"/>
                <w:szCs w:val="14"/>
                <w:b w:val="1"/>
                <w:bCs w:val="1"/>
                <w:color w:val="002554"/>
                <w:w w:val="99"/>
              </w:rPr>
              <w:t>Termination</w:t>
            </w: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24 Months</w:t>
            </w:r>
          </w:p>
        </w:tc>
        <w:tc>
          <w:tcPr>
            <w:tcW w:w="1340" w:type="dxa"/>
            <w:vAlign w:val="bottom"/>
          </w:tcPr>
          <w:p>
            <w:pPr>
              <w:spacing w:after="0"/>
              <w:rPr>
                <w:sz w:val="11"/>
                <w:szCs w:val="11"/>
                <w:color w:val="auto"/>
              </w:rPr>
            </w:pPr>
          </w:p>
        </w:tc>
        <w:tc>
          <w:tcPr>
            <w:tcW w:w="136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to or 24 Months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002554"/>
              </w:rPr>
              <w:t>Resignation</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640" w:type="dxa"/>
            <w:vAlign w:val="bottom"/>
          </w:tcPr>
          <w:p>
            <w:pPr>
              <w:jc w:val="center"/>
              <w:ind w:left="195"/>
              <w:spacing w:after="0" w:line="135" w:lineRule="exact"/>
              <w:rPr>
                <w:sz w:val="20"/>
                <w:szCs w:val="20"/>
                <w:color w:val="auto"/>
              </w:rPr>
            </w:pPr>
            <w:r>
              <w:rPr>
                <w:rFonts w:ascii="Arial" w:cs="Arial" w:eastAsia="Arial" w:hAnsi="Arial"/>
                <w:sz w:val="14"/>
                <w:szCs w:val="14"/>
                <w:b w:val="1"/>
                <w:bCs w:val="1"/>
                <w:color w:val="002554"/>
              </w:rPr>
              <w:t>Without Cause</w:t>
            </w: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Following a</w:t>
            </w: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002554"/>
              </w:rPr>
              <w:t>Non-Renewal by</w:t>
            </w:r>
          </w:p>
        </w:tc>
        <w:tc>
          <w:tcPr>
            <w:tcW w:w="136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002554"/>
              </w:rPr>
              <w:t>Following a</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1640" w:type="dxa"/>
            <w:vAlign w:val="bottom"/>
          </w:tcPr>
          <w:p>
            <w:pPr>
              <w:jc w:val="center"/>
              <w:ind w:left="215"/>
              <w:spacing w:after="0" w:line="135" w:lineRule="exact"/>
              <w:rPr>
                <w:sz w:val="20"/>
                <w:szCs w:val="20"/>
                <w:color w:val="auto"/>
              </w:rPr>
            </w:pPr>
            <w:r>
              <w:rPr>
                <w:rFonts w:ascii="Arial" w:cs="Arial" w:eastAsia="Arial" w:hAnsi="Arial"/>
                <w:sz w:val="14"/>
                <w:szCs w:val="14"/>
                <w:b w:val="1"/>
                <w:bCs w:val="1"/>
                <w:color w:val="002554"/>
              </w:rPr>
              <w:t>or for Good</w:t>
            </w:r>
          </w:p>
        </w:tc>
        <w:tc>
          <w:tcPr>
            <w:tcW w:w="80" w:type="dxa"/>
            <w:vAlign w:val="bottom"/>
          </w:tcPr>
          <w:p>
            <w:pPr>
              <w:spacing w:after="0"/>
              <w:rPr>
                <w:sz w:val="11"/>
                <w:szCs w:val="11"/>
                <w:color w:val="auto"/>
              </w:rPr>
            </w:pPr>
          </w:p>
        </w:tc>
        <w:tc>
          <w:tcPr>
            <w:tcW w:w="13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002554"/>
              </w:rPr>
              <w:t>Change in</w:t>
            </w:r>
          </w:p>
        </w:tc>
        <w:tc>
          <w:tcPr>
            <w:tcW w:w="1340" w:type="dxa"/>
            <w:vAlign w:val="bottom"/>
            <w:vMerge w:val="continue"/>
          </w:tcPr>
          <w:p>
            <w:pPr>
              <w:spacing w:after="0"/>
              <w:rPr>
                <w:sz w:val="11"/>
                <w:szCs w:val="11"/>
                <w:color w:val="auto"/>
              </w:rPr>
            </w:pPr>
          </w:p>
        </w:tc>
        <w:tc>
          <w:tcPr>
            <w:tcW w:w="136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002554"/>
              </w:rPr>
              <w:t>Change in</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rPr>
              <w:t>without Good</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00C389"/>
            </w:tcBorders>
            <w:vMerge w:val="continue"/>
          </w:tcPr>
          <w:p>
            <w:pPr>
              <w:spacing w:after="0"/>
              <w:rPr>
                <w:sz w:val="16"/>
                <w:szCs w:val="16"/>
                <w:color w:val="auto"/>
              </w:rPr>
            </w:pPr>
          </w:p>
        </w:tc>
        <w:tc>
          <w:tcPr>
            <w:tcW w:w="1640" w:type="dxa"/>
            <w:vAlign w:val="bottom"/>
            <w:tcBorders>
              <w:bottom w:val="single" w:sz="8" w:color="00C389"/>
            </w:tcBorders>
          </w:tcPr>
          <w:p>
            <w:pPr>
              <w:jc w:val="center"/>
              <w:ind w:left="255"/>
              <w:spacing w:after="0"/>
              <w:rPr>
                <w:sz w:val="20"/>
                <w:szCs w:val="20"/>
                <w:color w:val="auto"/>
              </w:rPr>
            </w:pPr>
            <w:r>
              <w:rPr>
                <w:rFonts w:ascii="Arial" w:cs="Arial" w:eastAsia="Arial" w:hAnsi="Arial"/>
                <w:sz w:val="14"/>
                <w:szCs w:val="14"/>
                <w:b w:val="1"/>
                <w:bCs w:val="1"/>
                <w:color w:val="002554"/>
              </w:rPr>
              <w:t>Reason ($)</w:t>
            </w:r>
          </w:p>
        </w:tc>
        <w:tc>
          <w:tcPr>
            <w:tcW w:w="80" w:type="dxa"/>
            <w:vAlign w:val="bottom"/>
            <w:tcBorders>
              <w:bottom w:val="single" w:sz="8" w:color="00C389"/>
            </w:tcBorders>
          </w:tcPr>
          <w:p>
            <w:pPr>
              <w:spacing w:after="0"/>
              <w:rPr>
                <w:sz w:val="16"/>
                <w:szCs w:val="16"/>
                <w:color w:val="auto"/>
              </w:rPr>
            </w:pPr>
          </w:p>
        </w:tc>
        <w:tc>
          <w:tcPr>
            <w:tcW w:w="1320" w:type="dxa"/>
            <w:vAlign w:val="bottom"/>
            <w:tcBorders>
              <w:bottom w:val="single" w:sz="8" w:color="00C389"/>
            </w:tcBorders>
          </w:tcPr>
          <w:p>
            <w:pPr>
              <w:jc w:val="center"/>
              <w:ind w:right="156"/>
              <w:spacing w:after="0"/>
              <w:rPr>
                <w:sz w:val="20"/>
                <w:szCs w:val="20"/>
                <w:color w:val="auto"/>
              </w:rPr>
            </w:pPr>
            <w:r>
              <w:rPr>
                <w:rFonts w:ascii="Arial" w:cs="Arial" w:eastAsia="Arial" w:hAnsi="Arial"/>
                <w:sz w:val="14"/>
                <w:szCs w:val="14"/>
                <w:b w:val="1"/>
                <w:bCs w:val="1"/>
                <w:color w:val="002554"/>
              </w:rPr>
              <w:t>Control ($)</w:t>
            </w:r>
          </w:p>
        </w:tc>
        <w:tc>
          <w:tcPr>
            <w:tcW w:w="1340" w:type="dxa"/>
            <w:vAlign w:val="bottom"/>
            <w:tcBorders>
              <w:bottom w:val="single" w:sz="8" w:color="00C389"/>
            </w:tcBorders>
          </w:tcPr>
          <w:p>
            <w:pPr>
              <w:jc w:val="right"/>
              <w:ind w:right="112"/>
              <w:spacing w:after="0"/>
              <w:rPr>
                <w:sz w:val="20"/>
                <w:szCs w:val="20"/>
                <w:color w:val="auto"/>
              </w:rPr>
            </w:pPr>
            <w:r>
              <w:rPr>
                <w:rFonts w:ascii="Arial" w:cs="Arial" w:eastAsia="Arial" w:hAnsi="Arial"/>
                <w:sz w:val="14"/>
                <w:szCs w:val="14"/>
                <w:b w:val="1"/>
                <w:bCs w:val="1"/>
                <w:color w:val="002554"/>
              </w:rPr>
              <w:t>the Company ($)</w:t>
            </w:r>
          </w:p>
        </w:tc>
        <w:tc>
          <w:tcPr>
            <w:tcW w:w="1360" w:type="dxa"/>
            <w:vAlign w:val="bottom"/>
            <w:tcBorders>
              <w:bottom w:val="single" w:sz="8" w:color="00C389"/>
            </w:tcBorders>
          </w:tcPr>
          <w:p>
            <w:pPr>
              <w:jc w:val="center"/>
              <w:ind w:right="76"/>
              <w:spacing w:after="0"/>
              <w:rPr>
                <w:sz w:val="20"/>
                <w:szCs w:val="20"/>
                <w:color w:val="auto"/>
              </w:rPr>
            </w:pPr>
            <w:r>
              <w:rPr>
                <w:rFonts w:ascii="Arial" w:cs="Arial" w:eastAsia="Arial" w:hAnsi="Arial"/>
                <w:sz w:val="14"/>
                <w:szCs w:val="14"/>
                <w:b w:val="1"/>
                <w:bCs w:val="1"/>
                <w:color w:val="002554"/>
              </w:rPr>
              <w:t>Control ($)</w:t>
            </w:r>
          </w:p>
        </w:tc>
        <w:tc>
          <w:tcPr>
            <w:tcW w:w="9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Reason</w:t>
            </w:r>
          </w:p>
        </w:tc>
        <w:tc>
          <w:tcPr>
            <w:tcW w:w="0" w:type="dxa"/>
            <w:vAlign w:val="bottom"/>
          </w:tcPr>
          <w:p>
            <w:pPr>
              <w:spacing w:after="0"/>
              <w:rPr>
                <w:sz w:val="1"/>
                <w:szCs w:val="1"/>
                <w:color w:val="auto"/>
              </w:rPr>
            </w:pPr>
          </w:p>
        </w:tc>
      </w:tr>
      <w:tr>
        <w:trPr>
          <w:trHeight w:val="263"/>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Douglas A. Cifu</w:t>
            </w: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640" w:type="dxa"/>
            <w:vAlign w:val="bottom"/>
          </w:tcPr>
          <w:p>
            <w:pPr>
              <w:jc w:val="right"/>
              <w:spacing w:after="0"/>
              <w:rPr>
                <w:sz w:val="20"/>
                <w:szCs w:val="20"/>
                <w:color w:val="auto"/>
              </w:rPr>
            </w:pPr>
            <w:r>
              <w:rPr>
                <w:rFonts w:ascii="Arial" w:cs="Arial" w:eastAsia="Arial" w:hAnsi="Arial"/>
                <w:sz w:val="18"/>
                <w:szCs w:val="18"/>
                <w:color w:val="auto"/>
              </w:rPr>
              <w:t>2,155,068(1)</w:t>
            </w:r>
          </w:p>
        </w:tc>
        <w:tc>
          <w:tcPr>
            <w:tcW w:w="80" w:type="dxa"/>
            <w:vAlign w:val="bottom"/>
          </w:tcPr>
          <w:p>
            <w:pPr>
              <w:spacing w:after="0"/>
              <w:rPr>
                <w:sz w:val="22"/>
                <w:szCs w:val="22"/>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11,781,096(2)</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2,155,068(1)</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11,781,096(2)</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7,551,000(3)</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7,551,000(3)</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7,551,000(3)</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7,551,000(3)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Joseph Molluso</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640" w:type="dxa"/>
            <w:vAlign w:val="bottom"/>
          </w:tcPr>
          <w:p>
            <w:pPr>
              <w:jc w:val="right"/>
              <w:spacing w:after="0"/>
              <w:rPr>
                <w:sz w:val="20"/>
                <w:szCs w:val="20"/>
                <w:color w:val="auto"/>
              </w:rPr>
            </w:pPr>
            <w:r>
              <w:rPr>
                <w:rFonts w:ascii="Arial" w:cs="Arial" w:eastAsia="Arial" w:hAnsi="Arial"/>
                <w:sz w:val="18"/>
                <w:szCs w:val="18"/>
                <w:color w:val="auto"/>
              </w:rPr>
              <w:t>1,339,041(4)</w:t>
            </w:r>
          </w:p>
        </w:tc>
        <w:tc>
          <w:tcPr>
            <w:tcW w:w="80" w:type="dxa"/>
            <w:vAlign w:val="bottom"/>
          </w:tcPr>
          <w:p>
            <w:pPr>
              <w:spacing w:after="0"/>
              <w:rPr>
                <w:sz w:val="22"/>
                <w:szCs w:val="22"/>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5,799,658(5)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1,339,041(4)</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5,799,658(5)</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 &amp; RSUs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5,686,524(6)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5,686,524(6)</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5,686,524(6)</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5,686,524(6)</w:t>
            </w: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Brett Fairclough</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640" w:type="dxa"/>
            <w:vAlign w:val="bottom"/>
          </w:tcPr>
          <w:p>
            <w:pPr>
              <w:jc w:val="right"/>
              <w:spacing w:after="0"/>
              <w:rPr>
                <w:sz w:val="20"/>
                <w:szCs w:val="20"/>
                <w:color w:val="auto"/>
              </w:rPr>
            </w:pPr>
            <w:r>
              <w:rPr>
                <w:rFonts w:ascii="Arial" w:cs="Arial" w:eastAsia="Arial" w:hAnsi="Arial"/>
                <w:sz w:val="18"/>
                <w:szCs w:val="18"/>
                <w:color w:val="auto"/>
              </w:rPr>
              <w:t>1,814,795(7)</w:t>
            </w:r>
          </w:p>
        </w:tc>
        <w:tc>
          <w:tcPr>
            <w:tcW w:w="80" w:type="dxa"/>
            <w:vAlign w:val="bottom"/>
          </w:tcPr>
          <w:p>
            <w:pPr>
              <w:spacing w:after="0"/>
              <w:rPr>
                <w:sz w:val="22"/>
                <w:szCs w:val="22"/>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5,336,712(8)</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1,814,795(7)</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5,336,712(8)</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2,517,000(9)</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2,517,000(9)</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2,517,000(9)</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2,517,000(9)</w:t>
            </w: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Sean Galvin</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6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w:t>
            </w:r>
          </w:p>
        </w:tc>
        <w:tc>
          <w:tcPr>
            <w:tcW w:w="1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Cavoli</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1,239,795(10)</w:t>
            </w:r>
          </w:p>
        </w:tc>
        <w:tc>
          <w:tcPr>
            <w:tcW w:w="1320" w:type="dxa"/>
            <w:vAlign w:val="bottom"/>
          </w:tcPr>
          <w:p>
            <w:pPr>
              <w:jc w:val="right"/>
              <w:spacing w:after="0"/>
              <w:rPr>
                <w:sz w:val="20"/>
                <w:szCs w:val="20"/>
                <w:color w:val="auto"/>
              </w:rPr>
            </w:pPr>
            <w:r>
              <w:rPr>
                <w:rFonts w:ascii="Arial" w:cs="Arial" w:eastAsia="Arial" w:hAnsi="Arial"/>
                <w:sz w:val="18"/>
                <w:szCs w:val="18"/>
                <w:color w:val="auto"/>
              </w:rPr>
              <w:t>4,661,712(11)</w:t>
            </w:r>
          </w:p>
        </w:tc>
        <w:tc>
          <w:tcPr>
            <w:tcW w:w="1340" w:type="dxa"/>
            <w:vAlign w:val="bottom"/>
          </w:tcPr>
          <w:p>
            <w:pPr>
              <w:jc w:val="right"/>
              <w:spacing w:after="0"/>
              <w:rPr>
                <w:sz w:val="20"/>
                <w:szCs w:val="20"/>
                <w:color w:val="auto"/>
              </w:rPr>
            </w:pPr>
            <w:r>
              <w:rPr>
                <w:rFonts w:ascii="Arial" w:cs="Arial" w:eastAsia="Arial" w:hAnsi="Arial"/>
                <w:sz w:val="18"/>
                <w:szCs w:val="18"/>
                <w:color w:val="auto"/>
              </w:rPr>
              <w:t>1,239,795(10)</w:t>
            </w:r>
          </w:p>
        </w:tc>
        <w:tc>
          <w:tcPr>
            <w:tcW w:w="1360" w:type="dxa"/>
            <w:vAlign w:val="bottom"/>
          </w:tcPr>
          <w:p>
            <w:pPr>
              <w:jc w:val="right"/>
              <w:spacing w:after="0"/>
              <w:rPr>
                <w:sz w:val="20"/>
                <w:szCs w:val="20"/>
                <w:color w:val="auto"/>
              </w:rPr>
            </w:pPr>
            <w:r>
              <w:rPr>
                <w:rFonts w:ascii="Arial" w:cs="Arial" w:eastAsia="Arial" w:hAnsi="Arial"/>
                <w:sz w:val="18"/>
                <w:szCs w:val="18"/>
                <w:color w:val="auto"/>
              </w:rPr>
              <w:t>4,661,712(11)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 &amp; RSUs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2,517,000(12)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2,517,000(12)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2,517,000(12)</w:t>
            </w: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Alexander M. Ioffe</w:t>
            </w: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Arial" w:cs="Arial" w:eastAsia="Arial" w:hAnsi="Arial"/>
                <w:sz w:val="18"/>
                <w:szCs w:val="18"/>
                <w:i w:val="1"/>
                <w:iCs w:val="1"/>
                <w:color w:val="auto"/>
              </w:rPr>
              <w:t>Severance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575,000(13)</w:t>
            </w:r>
          </w:p>
        </w:tc>
        <w:tc>
          <w:tcPr>
            <w:tcW w:w="13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RSUs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3,119,184(14)</w:t>
            </w:r>
          </w:p>
        </w:tc>
        <w:tc>
          <w:tcPr>
            <w:tcW w:w="13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00C389"/>
            </w:tcBorders>
          </w:tcPr>
          <w:p>
            <w:pPr>
              <w:spacing w:after="0"/>
              <w:rPr>
                <w:sz w:val="20"/>
                <w:szCs w:val="20"/>
                <w:color w:val="auto"/>
              </w:rPr>
            </w:pPr>
            <w:r>
              <w:rPr>
                <w:rFonts w:ascii="Arial" w:cs="Arial" w:eastAsia="Arial" w:hAnsi="Arial"/>
                <w:sz w:val="18"/>
                <w:szCs w:val="18"/>
                <w:i w:val="1"/>
                <w:iCs w:val="1"/>
                <w:color w:val="auto"/>
              </w:rPr>
              <w:t>Stock Options</w:t>
            </w:r>
          </w:p>
        </w:tc>
        <w:tc>
          <w:tcPr>
            <w:tcW w:w="1640" w:type="dxa"/>
            <w:vAlign w:val="bottom"/>
            <w:tcBorders>
              <w:bottom w:val="single" w:sz="8" w:color="00C389"/>
            </w:tcBorders>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00C389"/>
            </w:tcBorders>
          </w:tcPr>
          <w:p>
            <w:pPr>
              <w:spacing w:after="0"/>
              <w:rPr>
                <w:sz w:val="22"/>
                <w:szCs w:val="22"/>
                <w:color w:val="auto"/>
              </w:rPr>
            </w:pPr>
          </w:p>
        </w:tc>
        <w:tc>
          <w:tcPr>
            <w:tcW w:w="1320" w:type="dxa"/>
            <w:vAlign w:val="bottom"/>
            <w:tcBorders>
              <w:bottom w:val="single" w:sz="8" w:color="00C389"/>
            </w:tcBorders>
          </w:tcPr>
          <w:p>
            <w:pPr>
              <w:jc w:val="right"/>
              <w:ind w:right="2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C389"/>
            </w:tcBorders>
          </w:tcPr>
          <w:p>
            <w:pPr>
              <w:jc w:val="right"/>
              <w:ind w:right="2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00C389"/>
            </w:tcBorders>
          </w:tcPr>
          <w:p>
            <w:pPr>
              <w:jc w:val="right"/>
              <w:ind w:right="2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right="1000" w:hanging="318"/>
        <w:spacing w:after="0" w:line="278"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base salary continuation and (ii) continued health, dental, vision and life insurance benefits through the remainder of the employment term (i.e., November 15, 2022).</w:t>
      </w:r>
    </w:p>
    <w:p>
      <w:pPr>
        <w:spacing w:after="0" w:line="86" w:lineRule="exact"/>
        <w:rPr>
          <w:rFonts w:ascii="Arial" w:cs="Arial" w:eastAsia="Arial" w:hAnsi="Arial"/>
          <w:sz w:val="14"/>
          <w:szCs w:val="14"/>
          <w:color w:val="auto"/>
        </w:rPr>
      </w:pPr>
    </w:p>
    <w:p>
      <w:pPr>
        <w:jc w:val="both"/>
        <w:ind w:left="1080" w:right="840" w:hanging="318"/>
        <w:spacing w:after="0" w:line="270"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2.5 times the sum of (a) executive’s base salary and (b) the most recently awarded annual bonus (which was $3,600,000) and (ii) continued health, dental, vision and life insurance benefits through the remainder of the employment term (i.e., November 15, 2022).</w:t>
      </w:r>
    </w:p>
    <w:p>
      <w:pPr>
        <w:spacing w:after="0" w:line="91" w:lineRule="exact"/>
        <w:rPr>
          <w:rFonts w:ascii="Arial" w:cs="Arial" w:eastAsia="Arial" w:hAnsi="Arial"/>
          <w:sz w:val="14"/>
          <w:szCs w:val="14"/>
          <w:color w:val="auto"/>
        </w:rPr>
      </w:pPr>
    </w:p>
    <w:p>
      <w:pPr>
        <w:ind w:left="1080" w:right="1200" w:hanging="318"/>
        <w:spacing w:after="0" w:line="278"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annual equity grant based on shares earned, which was 150,000, and (ii) a grant of 150,000 shares of Class A common stock.</w:t>
      </w:r>
    </w:p>
    <w:p>
      <w:pPr>
        <w:spacing w:after="0" w:line="99" w:lineRule="exact"/>
        <w:rPr>
          <w:rFonts w:ascii="Arial" w:cs="Arial" w:eastAsia="Arial" w:hAnsi="Arial"/>
          <w:sz w:val="14"/>
          <w:szCs w:val="14"/>
          <w:color w:val="auto"/>
        </w:rPr>
      </w:pPr>
    </w:p>
    <w:p>
      <w:pPr>
        <w:ind w:left="1080" w:right="1360" w:hanging="318"/>
        <w:spacing w:after="0" w:line="278"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April 30, 2023).</w:t>
      </w:r>
    </w:p>
    <w:p>
      <w:pPr>
        <w:spacing w:after="0" w:line="86" w:lineRule="exact"/>
        <w:rPr>
          <w:rFonts w:ascii="Arial" w:cs="Arial" w:eastAsia="Arial" w:hAnsi="Arial"/>
          <w:sz w:val="14"/>
          <w:szCs w:val="14"/>
          <w:color w:val="auto"/>
        </w:rPr>
      </w:pPr>
    </w:p>
    <w:p>
      <w:pPr>
        <w:ind w:left="1080" w:right="840" w:hanging="318"/>
        <w:spacing w:after="0" w:line="270"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$1,750,000) and (ii) continued health, dental, vision and life insurance benefits through the remainder of the employment term (i.e., April 30, 2023).</w:t>
      </w:r>
    </w:p>
    <w:p>
      <w:pPr>
        <w:spacing w:after="0" w:line="91" w:lineRule="exact"/>
        <w:rPr>
          <w:rFonts w:ascii="Arial" w:cs="Arial" w:eastAsia="Arial" w:hAnsi="Arial"/>
          <w:sz w:val="14"/>
          <w:szCs w:val="14"/>
          <w:color w:val="auto"/>
        </w:rPr>
      </w:pPr>
    </w:p>
    <w:p>
      <w:pPr>
        <w:ind w:left="1080" w:right="800" w:hanging="318"/>
        <w:spacing w:after="0" w:line="278" w:lineRule="auto"/>
        <w:tabs>
          <w:tab w:leader="none" w:pos="10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then-current sign-on and special equity awards, which is 109,259 and (ii) the next installments of each of such awards, which total 116,666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37</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EXECUTIVE COMPENSATION</w:t>
      </w:r>
    </w:p>
    <w:p>
      <w:pPr>
        <w:spacing w:after="0" w:line="231" w:lineRule="exact"/>
        <w:rPr>
          <w:sz w:val="20"/>
          <w:szCs w:val="20"/>
          <w:color w:val="auto"/>
        </w:rPr>
      </w:pPr>
    </w:p>
    <w:p>
      <w:pPr>
        <w:ind w:left="1080" w:right="58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2024).</w:t>
      </w:r>
    </w:p>
    <w:p>
      <w:pPr>
        <w:spacing w:after="0" w:line="86" w:lineRule="exact"/>
        <w:rPr>
          <w:rFonts w:ascii="Arial" w:cs="Arial" w:eastAsia="Arial" w:hAnsi="Arial"/>
          <w:sz w:val="14"/>
          <w:szCs w:val="14"/>
          <w:color w:val="auto"/>
        </w:rPr>
      </w:pPr>
    </w:p>
    <w:p>
      <w:pPr>
        <w:ind w:left="1080" w:right="60" w:hanging="318"/>
        <w:spacing w:after="0" w:line="270"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$1,540,000) and (ii) continued health, dental, vision and life insurance benefits through the remainder of the employment term (i.e., February 26, 2024).</w:t>
      </w:r>
    </w:p>
    <w:p>
      <w:pPr>
        <w:spacing w:after="0" w:line="91" w:lineRule="exact"/>
        <w:rPr>
          <w:rFonts w:ascii="Arial" w:cs="Arial" w:eastAsia="Arial" w:hAnsi="Arial"/>
          <w:sz w:val="14"/>
          <w:szCs w:val="14"/>
          <w:color w:val="auto"/>
        </w:rPr>
      </w:pPr>
    </w:p>
    <w:p>
      <w:pPr>
        <w:ind w:left="1080" w:right="8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the next installment of such award, which totals 50,000 shares of Class A common stock.</w:t>
      </w:r>
    </w:p>
    <w:p>
      <w:pPr>
        <w:spacing w:after="0" w:line="86" w:lineRule="exact"/>
        <w:rPr>
          <w:rFonts w:ascii="Arial" w:cs="Arial" w:eastAsia="Arial" w:hAnsi="Arial"/>
          <w:sz w:val="14"/>
          <w:szCs w:val="14"/>
          <w:color w:val="auto"/>
        </w:rPr>
      </w:pPr>
    </w:p>
    <w:p>
      <w:pPr>
        <w:ind w:left="1080" w:right="58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and continued health, dental, vision and life insurance benefits through the remainder of the employment term (i.e., February 26, 2023).</w:t>
      </w:r>
    </w:p>
    <w:p>
      <w:pPr>
        <w:spacing w:after="0" w:line="86" w:lineRule="exact"/>
        <w:rPr>
          <w:rFonts w:ascii="Arial" w:cs="Arial" w:eastAsia="Arial" w:hAnsi="Arial"/>
          <w:sz w:val="14"/>
          <w:szCs w:val="14"/>
          <w:color w:val="auto"/>
        </w:rPr>
      </w:pPr>
    </w:p>
    <w:p>
      <w:pPr>
        <w:ind w:left="1080" w:right="60" w:hanging="318"/>
        <w:spacing w:after="0" w:line="270"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(i) 2 times the sum of (a) executive’s base salary and (b) the most recently awarded annual bonus (which was $1,300,000) and (ii) continued health, dental, vision and life insurance benefits through the remainder of the employment term (i.e., February 26, 2023).</w:t>
      </w:r>
    </w:p>
    <w:p>
      <w:pPr>
        <w:spacing w:after="0" w:line="91" w:lineRule="exact"/>
        <w:rPr>
          <w:rFonts w:ascii="Arial" w:cs="Arial" w:eastAsia="Arial" w:hAnsi="Arial"/>
          <w:sz w:val="14"/>
          <w:szCs w:val="14"/>
          <w:color w:val="auto"/>
        </w:rPr>
      </w:pPr>
    </w:p>
    <w:p>
      <w:pPr>
        <w:ind w:left="1080" w:right="8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all of the shares underlying his special equity award, which is 50,000 and (ii) the next installment of such award, which totals 50,000 shares of Class A common stock.</w:t>
      </w:r>
    </w:p>
    <w:p>
      <w:pPr>
        <w:spacing w:after="0" w:line="86" w:lineRule="exact"/>
        <w:rPr>
          <w:rFonts w:ascii="Arial" w:cs="Arial" w:eastAsia="Arial" w:hAnsi="Arial"/>
          <w:sz w:val="14"/>
          <w:szCs w:val="14"/>
          <w:color w:val="auto"/>
        </w:rPr>
      </w:pPr>
    </w:p>
    <w:p>
      <w:pPr>
        <w:ind w:left="1080" w:right="4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severance payment of an amount equal to base salary continuation, payment of any unpaid guaranteed bonuses for the year, which was none, and continued health, dental, vision and life insurance benefits for twelve months.</w:t>
      </w:r>
    </w:p>
    <w:p>
      <w:pPr>
        <w:spacing w:after="0" w:line="86" w:lineRule="exact"/>
        <w:rPr>
          <w:rFonts w:ascii="Arial" w:cs="Arial" w:eastAsia="Arial" w:hAnsi="Arial"/>
          <w:sz w:val="14"/>
          <w:szCs w:val="14"/>
          <w:color w:val="auto"/>
        </w:rPr>
      </w:pPr>
    </w:p>
    <w:p>
      <w:pPr>
        <w:ind w:left="1080" w:right="80" w:hanging="318"/>
        <w:spacing w:after="0" w:line="278" w:lineRule="auto"/>
        <w:tabs>
          <w:tab w:leader="none" w:pos="10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value of (i) accelerated vesting of a pro rata portion of the current installment of his sign-on equity grant and (ii) accelerated vesting of the subsequent installment of his sign-on equity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754380" cy="24003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CEO Pay Ratio Disclosure</w:t>
      </w:r>
    </w:p>
    <w:p>
      <w:pPr>
        <w:spacing w:after="0" w:line="112" w:lineRule="exact"/>
        <w:rPr>
          <w:sz w:val="20"/>
          <w:szCs w:val="20"/>
          <w:color w:val="auto"/>
        </w:rPr>
      </w:pPr>
    </w:p>
    <w:p>
      <w:pPr>
        <w:ind w:left="760" w:right="1120"/>
        <w:spacing w:after="0" w:line="256" w:lineRule="auto"/>
        <w:rPr>
          <w:sz w:val="20"/>
          <w:szCs w:val="20"/>
          <w:color w:val="auto"/>
        </w:rPr>
      </w:pPr>
      <w:r>
        <w:rPr>
          <w:rFonts w:ascii="Arial" w:cs="Arial" w:eastAsia="Arial" w:hAnsi="Arial"/>
          <w:sz w:val="18"/>
          <w:szCs w:val="18"/>
          <w:color w:val="auto"/>
        </w:rPr>
        <w:t>As required by Section 953(b) of the Dodd-Frank Act, we are providing the following information about the relationship of the annual total compensation of our Chief Executive Officer, Mr. Douglas A. Cifu, and the annual total compensation of our median employee. For the year ended December 31, 2020:</w:t>
      </w:r>
    </w:p>
    <w:p>
      <w:pPr>
        <w:spacing w:after="0" w:line="94" w:lineRule="exact"/>
        <w:rPr>
          <w:sz w:val="20"/>
          <w:szCs w:val="20"/>
          <w:color w:val="auto"/>
        </w:rPr>
      </w:pPr>
    </w:p>
    <w:p>
      <w:pPr>
        <w:ind w:left="1340" w:right="1440" w:hanging="218"/>
        <w:spacing w:after="0" w:line="261" w:lineRule="auto"/>
        <w:tabs>
          <w:tab w:leader="none" w:pos="1340" w:val="left"/>
        </w:tabs>
        <w:numPr>
          <w:ilvl w:val="0"/>
          <w:numId w:val="19"/>
        </w:numPr>
        <w:rPr>
          <w:rFonts w:ascii="Arial" w:cs="Arial" w:eastAsia="Arial" w:hAnsi="Arial"/>
          <w:sz w:val="18"/>
          <w:szCs w:val="18"/>
          <w:color w:val="002554"/>
        </w:rPr>
      </w:pPr>
      <w:r>
        <w:rPr>
          <w:rFonts w:ascii="Arial" w:cs="Arial" w:eastAsia="Arial" w:hAnsi="Arial"/>
          <w:sz w:val="18"/>
          <w:szCs w:val="18"/>
          <w:color w:val="auto"/>
        </w:rPr>
        <w:t>The median of the annual total compensation of all employees of our Company (other than our Chief Executive Officer) was $ $224,686;</w:t>
      </w:r>
    </w:p>
    <w:p>
      <w:pPr>
        <w:spacing w:after="0" w:line="89" w:lineRule="exact"/>
        <w:rPr>
          <w:rFonts w:ascii="Arial" w:cs="Arial" w:eastAsia="Arial" w:hAnsi="Arial"/>
          <w:sz w:val="18"/>
          <w:szCs w:val="18"/>
          <w:color w:val="002554"/>
        </w:rPr>
      </w:pPr>
    </w:p>
    <w:p>
      <w:pPr>
        <w:ind w:left="1340" w:right="1560" w:hanging="218"/>
        <w:spacing w:after="0" w:line="261" w:lineRule="auto"/>
        <w:tabs>
          <w:tab w:leader="none" w:pos="1340" w:val="left"/>
        </w:tabs>
        <w:numPr>
          <w:ilvl w:val="0"/>
          <w:numId w:val="19"/>
        </w:numPr>
        <w:rPr>
          <w:rFonts w:ascii="Arial" w:cs="Arial" w:eastAsia="Arial" w:hAnsi="Arial"/>
          <w:sz w:val="18"/>
          <w:szCs w:val="18"/>
          <w:color w:val="002554"/>
        </w:rPr>
      </w:pPr>
      <w:r>
        <w:rPr>
          <w:rFonts w:ascii="Arial" w:cs="Arial" w:eastAsia="Arial" w:hAnsi="Arial"/>
          <w:sz w:val="18"/>
          <w:szCs w:val="18"/>
          <w:color w:val="auto"/>
        </w:rPr>
        <w:t>The annual total compensation of our Chief Executive Officer was $12,263,795 (as disclosed in the Summary Compensation Table herein); and</w:t>
      </w:r>
    </w:p>
    <w:p>
      <w:pPr>
        <w:spacing w:after="0" w:line="89" w:lineRule="exact"/>
        <w:rPr>
          <w:rFonts w:ascii="Arial" w:cs="Arial" w:eastAsia="Arial" w:hAnsi="Arial"/>
          <w:sz w:val="18"/>
          <w:szCs w:val="18"/>
          <w:color w:val="002554"/>
        </w:rPr>
      </w:pPr>
    </w:p>
    <w:p>
      <w:pPr>
        <w:ind w:left="1340" w:right="1120" w:hanging="218"/>
        <w:spacing w:after="0" w:line="261" w:lineRule="auto"/>
        <w:tabs>
          <w:tab w:leader="none" w:pos="1340" w:val="left"/>
        </w:tabs>
        <w:numPr>
          <w:ilvl w:val="0"/>
          <w:numId w:val="19"/>
        </w:numPr>
        <w:rPr>
          <w:rFonts w:ascii="Arial" w:cs="Arial" w:eastAsia="Arial" w:hAnsi="Arial"/>
          <w:sz w:val="18"/>
          <w:szCs w:val="18"/>
          <w:color w:val="002554"/>
        </w:rPr>
      </w:pPr>
      <w:r>
        <w:rPr>
          <w:rFonts w:ascii="Arial" w:cs="Arial" w:eastAsia="Arial" w:hAnsi="Arial"/>
          <w:sz w:val="18"/>
          <w:szCs w:val="18"/>
          <w:color w:val="auto"/>
        </w:rPr>
        <w:t>Based on this information, the ratio of the annual total compensation of our Chief Executive Officer to the median employee was 55 to 1.</w:t>
      </w:r>
    </w:p>
    <w:p>
      <w:pPr>
        <w:spacing w:after="0" w:line="90" w:lineRule="exact"/>
        <w:rPr>
          <w:sz w:val="20"/>
          <w:szCs w:val="20"/>
          <w:color w:val="auto"/>
        </w:rPr>
      </w:pPr>
    </w:p>
    <w:p>
      <w:pPr>
        <w:ind w:left="760" w:right="1000"/>
        <w:spacing w:after="0" w:line="256" w:lineRule="auto"/>
        <w:rPr>
          <w:sz w:val="20"/>
          <w:szCs w:val="20"/>
          <w:color w:val="auto"/>
        </w:rPr>
      </w:pPr>
      <w:r>
        <w:rPr>
          <w:rFonts w:ascii="Arial" w:cs="Arial" w:eastAsia="Arial" w:hAnsi="Arial"/>
          <w:sz w:val="18"/>
          <w:szCs w:val="18"/>
          <w:color w:val="auto"/>
        </w:rPr>
        <w:t>To determine the median of the annual total compensation of all employees of the Company (other than our Chief Executive Officer), we identified our total employee population as of December 31, 2020, which consisted of approximately 970 individuals, 8 of which were temporary employees.</w:t>
      </w:r>
    </w:p>
    <w:p>
      <w:pPr>
        <w:spacing w:after="0" w:line="94"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We determined the median based on each employee’s annual base pay as of December 31, 2020, plus the variable incentive compensation award they received in 2021 for the 2020 performance year. Variable incentive compensation consisted of cash bonuses and/or the fair value of stock awards granted under the Virtu Financial, Inc. Amended and Restated Management Incentive Plan and the Investment Technology Group, Inc. 2007 Omnibus Equity Compensation Plan (which was assumed in connection with the ITG Acquisition) at the grant date. The annual total compensation of the median employee presented above is a reasonable estimate calculated in accordance with the requirements of Item 402(c)(2)(x)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Hedging Policy</w:t>
      </w:r>
    </w:p>
    <w:p>
      <w:pPr>
        <w:spacing w:after="0" w:line="112" w:lineRule="exact"/>
        <w:rPr>
          <w:sz w:val="20"/>
          <w:szCs w:val="20"/>
          <w:color w:val="auto"/>
        </w:rPr>
      </w:pPr>
    </w:p>
    <w:p>
      <w:pPr>
        <w:ind w:left="760" w:right="980"/>
        <w:spacing w:after="0" w:line="254" w:lineRule="auto"/>
        <w:rPr>
          <w:sz w:val="20"/>
          <w:szCs w:val="20"/>
          <w:color w:val="auto"/>
        </w:rPr>
      </w:pPr>
      <w:r>
        <w:rPr>
          <w:rFonts w:ascii="Arial" w:cs="Arial" w:eastAsia="Arial" w:hAnsi="Arial"/>
          <w:sz w:val="18"/>
          <w:szCs w:val="18"/>
          <w:color w:val="auto"/>
        </w:rPr>
        <w:t>The Company’s Securities Trading Policy discourages speculative hedging transactions, but permits directors, officers and employees of the Company to enter into long-term (six-month or longer) hedging transactions relating to shares of common stock or stock options of the Company, subject to pre-clearance pursuant to the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2273300</wp:posOffset>
            </wp:positionV>
            <wp:extent cx="75438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39</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Compensation of Directors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payable to our non-employee directors consists of the following:</w:t>
      </w:r>
    </w:p>
    <w:p>
      <w:pPr>
        <w:spacing w:after="0" w:line="117" w:lineRule="exact"/>
        <w:rPr>
          <w:sz w:val="20"/>
          <w:szCs w:val="20"/>
          <w:color w:val="auto"/>
        </w:rPr>
      </w:pPr>
    </w:p>
    <w:p>
      <w:pPr>
        <w:ind w:left="1340" w:right="200" w:hanging="218"/>
        <w:spacing w:after="0" w:line="256" w:lineRule="auto"/>
        <w:tabs>
          <w:tab w:leader="none" w:pos="1340" w:val="left"/>
        </w:tabs>
        <w:numPr>
          <w:ilvl w:val="0"/>
          <w:numId w:val="20"/>
        </w:numPr>
        <w:rPr>
          <w:rFonts w:ascii="Arial" w:cs="Arial" w:eastAsia="Arial" w:hAnsi="Arial"/>
          <w:sz w:val="18"/>
          <w:szCs w:val="18"/>
          <w:color w:val="002554"/>
        </w:rPr>
      </w:pPr>
      <w:r>
        <w:rPr>
          <w:rFonts w:ascii="Arial" w:cs="Arial" w:eastAsia="Arial" w:hAnsi="Arial"/>
          <w:sz w:val="18"/>
          <w:szCs w:val="18"/>
          <w:color w:val="auto"/>
        </w:rPr>
        <w:t>an award of restricted stock units valued at $135,000 at the time of grant upon re-election at each subsequent annual meeting of stockholders. The restricted stock units vest on the one-year anniversary of the date of grant;</w:t>
      </w:r>
    </w:p>
    <w:p>
      <w:pPr>
        <w:spacing w:after="0" w:line="93" w:lineRule="exact"/>
        <w:rPr>
          <w:rFonts w:ascii="Arial" w:cs="Arial" w:eastAsia="Arial" w:hAnsi="Arial"/>
          <w:sz w:val="18"/>
          <w:szCs w:val="18"/>
          <w:color w:val="002554"/>
        </w:rPr>
      </w:pPr>
    </w:p>
    <w:p>
      <w:pPr>
        <w:ind w:left="1340" w:right="820" w:hanging="218"/>
        <w:spacing w:after="0" w:line="261" w:lineRule="auto"/>
        <w:tabs>
          <w:tab w:leader="none" w:pos="1340" w:val="left"/>
        </w:tabs>
        <w:numPr>
          <w:ilvl w:val="0"/>
          <w:numId w:val="20"/>
        </w:numPr>
        <w:rPr>
          <w:rFonts w:ascii="Arial" w:cs="Arial" w:eastAsia="Arial" w:hAnsi="Arial"/>
          <w:sz w:val="18"/>
          <w:szCs w:val="18"/>
          <w:color w:val="002554"/>
        </w:rPr>
      </w:pPr>
      <w:r>
        <w:rPr>
          <w:rFonts w:ascii="Arial" w:cs="Arial" w:eastAsia="Arial" w:hAnsi="Arial"/>
          <w:sz w:val="18"/>
          <w:szCs w:val="18"/>
          <w:color w:val="auto"/>
        </w:rPr>
        <w:t>an annual cash retainer of $75,000, with no additional fees paid for board and committee meetings attended;s</w:t>
      </w:r>
    </w:p>
    <w:p>
      <w:pPr>
        <w:spacing w:after="0" w:line="89" w:lineRule="exact"/>
        <w:rPr>
          <w:rFonts w:ascii="Arial" w:cs="Arial" w:eastAsia="Arial" w:hAnsi="Arial"/>
          <w:sz w:val="18"/>
          <w:szCs w:val="18"/>
          <w:color w:val="002554"/>
        </w:rPr>
      </w:pPr>
    </w:p>
    <w:p>
      <w:pPr>
        <w:ind w:left="1340" w:right="280" w:hanging="218"/>
        <w:spacing w:after="0" w:line="254" w:lineRule="auto"/>
        <w:tabs>
          <w:tab w:leader="none" w:pos="1340" w:val="left"/>
        </w:tabs>
        <w:numPr>
          <w:ilvl w:val="0"/>
          <w:numId w:val="20"/>
        </w:numPr>
        <w:rPr>
          <w:rFonts w:ascii="Arial" w:cs="Arial" w:eastAsia="Arial" w:hAnsi="Arial"/>
          <w:sz w:val="18"/>
          <w:szCs w:val="18"/>
          <w:color w:val="002554"/>
        </w:rPr>
      </w:pPr>
      <w:r>
        <w:rPr>
          <w:rFonts w:ascii="Arial" w:cs="Arial" w:eastAsia="Arial" w:hAnsi="Arial"/>
          <w:sz w:val="18"/>
          <w:szCs w:val="18"/>
          <w:color w:val="auto"/>
        </w:rPr>
        <w:t>an annual cash retainer of $150,000 for the non-executive chairman of the board of directors, $25,000 for the chair of the Audit Committee, $20,000 for the chair of the Compensation Committee, $20,000 for the chair of the Nominating and Corporate Governance Committee and $20,000 for the chair of the Risk Committee; and</w:t>
      </w:r>
    </w:p>
    <w:p>
      <w:pPr>
        <w:spacing w:after="0" w:line="95" w:lineRule="exact"/>
        <w:rPr>
          <w:rFonts w:ascii="Arial" w:cs="Arial" w:eastAsia="Arial" w:hAnsi="Arial"/>
          <w:sz w:val="18"/>
          <w:szCs w:val="18"/>
          <w:color w:val="002554"/>
        </w:rPr>
      </w:pPr>
    </w:p>
    <w:p>
      <w:pPr>
        <w:ind w:left="1340" w:right="200" w:hanging="218"/>
        <w:spacing w:after="0" w:line="256" w:lineRule="auto"/>
        <w:tabs>
          <w:tab w:leader="none" w:pos="1340" w:val="left"/>
        </w:tabs>
        <w:numPr>
          <w:ilvl w:val="0"/>
          <w:numId w:val="20"/>
        </w:numPr>
        <w:rPr>
          <w:rFonts w:ascii="Arial" w:cs="Arial" w:eastAsia="Arial" w:hAnsi="Arial"/>
          <w:sz w:val="18"/>
          <w:szCs w:val="18"/>
          <w:color w:val="002554"/>
        </w:rPr>
      </w:pPr>
      <w:r>
        <w:rPr>
          <w:rFonts w:ascii="Arial" w:cs="Arial" w:eastAsia="Arial" w:hAnsi="Arial"/>
          <w:sz w:val="18"/>
          <w:szCs w:val="18"/>
          <w:color w:val="auto"/>
        </w:rPr>
        <w:t>an annual cash retainer of $10,000 for members of the Audit Committee, $7,500 for members of the Compensation Committee, $7,500 for members of the Nominating and Corporate Governance Committee, and $7,500 for members of the Risk Committee.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After four years of service, non-employee directors must maintain a minimum stock ownership equal to $225,000.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compensation earned by our directors during the year ended December 31, 2020.</w:t>
      </w:r>
    </w:p>
    <w:p>
      <w:pPr>
        <w:spacing w:after="0" w:line="11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002554"/>
              </w:rPr>
              <w:t>Name</w:t>
            </w:r>
          </w:p>
        </w:tc>
        <w:tc>
          <w:tcPr>
            <w:tcW w:w="2640" w:type="dxa"/>
            <w:vAlign w:val="bottom"/>
          </w:tcPr>
          <w:p>
            <w:pPr>
              <w:jc w:val="right"/>
              <w:ind w:right="173"/>
              <w:spacing w:after="0"/>
              <w:rPr>
                <w:sz w:val="20"/>
                <w:szCs w:val="20"/>
                <w:color w:val="auto"/>
              </w:rPr>
            </w:pPr>
            <w:r>
              <w:rPr>
                <w:rFonts w:ascii="Arial" w:cs="Arial" w:eastAsia="Arial" w:hAnsi="Arial"/>
                <w:sz w:val="14"/>
                <w:szCs w:val="14"/>
                <w:b w:val="1"/>
                <w:bCs w:val="1"/>
                <w:color w:val="002554"/>
              </w:rPr>
              <w:t>Fees Earned or</w:t>
            </w: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002554"/>
              </w:rPr>
              <w:t>Equity</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002554"/>
              </w:rPr>
              <w:t>All Other</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002554"/>
              </w:rPr>
              <w:t>Total ($)</w:t>
            </w:r>
          </w:p>
        </w:tc>
        <w:tc>
          <w:tcPr>
            <w:tcW w:w="0" w:type="dxa"/>
            <w:vAlign w:val="bottom"/>
          </w:tcPr>
          <w:p>
            <w:pPr>
              <w:spacing w:after="0"/>
              <w:rPr>
                <w:sz w:val="1"/>
                <w:szCs w:val="1"/>
                <w:color w:val="auto"/>
              </w:rPr>
            </w:pPr>
          </w:p>
        </w:tc>
      </w:tr>
      <w:tr>
        <w:trPr>
          <w:trHeight w:val="189"/>
        </w:trPr>
        <w:tc>
          <w:tcPr>
            <w:tcW w:w="3100" w:type="dxa"/>
            <w:vAlign w:val="bottom"/>
            <w:tcBorders>
              <w:bottom w:val="single" w:sz="8" w:color="00C389"/>
            </w:tcBorders>
            <w:vMerge w:val="continue"/>
          </w:tcPr>
          <w:p>
            <w:pPr>
              <w:spacing w:after="0"/>
              <w:rPr>
                <w:sz w:val="16"/>
                <w:szCs w:val="16"/>
                <w:color w:val="auto"/>
              </w:rPr>
            </w:pPr>
          </w:p>
        </w:tc>
        <w:tc>
          <w:tcPr>
            <w:tcW w:w="2640" w:type="dxa"/>
            <w:vAlign w:val="bottom"/>
            <w:tcBorders>
              <w:bottom w:val="single" w:sz="8" w:color="00C389"/>
            </w:tcBorders>
          </w:tcPr>
          <w:p>
            <w:pPr>
              <w:jc w:val="right"/>
              <w:ind w:right="33"/>
              <w:spacing w:after="0"/>
              <w:rPr>
                <w:sz w:val="20"/>
                <w:szCs w:val="20"/>
                <w:color w:val="auto"/>
              </w:rPr>
            </w:pPr>
            <w:r>
              <w:rPr>
                <w:rFonts w:ascii="Arial" w:cs="Arial" w:eastAsia="Arial" w:hAnsi="Arial"/>
                <w:sz w:val="14"/>
                <w:szCs w:val="14"/>
                <w:b w:val="1"/>
                <w:bCs w:val="1"/>
                <w:color w:val="002554"/>
              </w:rPr>
              <w:t>Paid in Cash ($)(1)</w:t>
            </w:r>
          </w:p>
        </w:tc>
        <w:tc>
          <w:tcPr>
            <w:tcW w:w="1200" w:type="dxa"/>
            <w:vAlign w:val="bottom"/>
            <w:tcBorders>
              <w:bottom w:val="single" w:sz="8" w:color="00C389"/>
            </w:tcBorders>
          </w:tcPr>
          <w:p>
            <w:pPr>
              <w:jc w:val="right"/>
              <w:ind w:right="33"/>
              <w:spacing w:after="0"/>
              <w:rPr>
                <w:sz w:val="20"/>
                <w:szCs w:val="20"/>
                <w:color w:val="auto"/>
              </w:rPr>
            </w:pPr>
            <w:r>
              <w:rPr>
                <w:rFonts w:ascii="Arial" w:cs="Arial" w:eastAsia="Arial" w:hAnsi="Arial"/>
                <w:sz w:val="14"/>
                <w:szCs w:val="14"/>
                <w:b w:val="1"/>
                <w:bCs w:val="1"/>
                <w:color w:val="002554"/>
              </w:rPr>
              <w:t>Award(s)(2)(3)</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Compensation ($)</w:t>
            </w:r>
          </w:p>
        </w:tc>
        <w:tc>
          <w:tcPr>
            <w:tcW w:w="780" w:type="dxa"/>
            <w:vAlign w:val="bottom"/>
            <w:tcBorders>
              <w:bottom w:val="single" w:sz="8" w:color="00C38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Douglas A. Cifu</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William F. Cruger, Jr</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100,000</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Virginia Gambale(4)</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70,521</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58,000</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128,521</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Joseph J. Grano, Jr.</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85,000</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240,000</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Glenn Hutchins</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95,000</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John D. Nixon</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102,500</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Christopher C. Quick</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92,500</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227,500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John F. (Jack) Sandner</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92,500</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David Urban</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82,500</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217,500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Michael T. Viola</w:t>
            </w:r>
          </w:p>
        </w:tc>
        <w:tc>
          <w:tcPr>
            <w:tcW w:w="2640" w:type="dxa"/>
            <w:vAlign w:val="bottom"/>
            <w:tcBorders>
              <w:bottom w:val="single" w:sz="8" w:color="00C389"/>
            </w:tcBorders>
            <w:shd w:val="clear" w:color="auto" w:fill="CCEEFF"/>
          </w:tcPr>
          <w:p>
            <w:pPr>
              <w:jc w:val="right"/>
              <w:ind w:right="333"/>
              <w:spacing w:after="0"/>
              <w:rPr>
                <w:sz w:val="20"/>
                <w:szCs w:val="20"/>
                <w:color w:val="auto"/>
              </w:rPr>
            </w:pPr>
            <w:r>
              <w:rPr>
                <w:rFonts w:ascii="Arial" w:cs="Arial" w:eastAsia="Arial" w:hAnsi="Arial"/>
                <w:sz w:val="18"/>
                <w:szCs w:val="18"/>
                <w:color w:val="auto"/>
              </w:rPr>
              <w:t>90,000</w:t>
            </w:r>
          </w:p>
        </w:tc>
        <w:tc>
          <w:tcPr>
            <w:tcW w:w="1200" w:type="dxa"/>
            <w:vAlign w:val="bottom"/>
            <w:tcBorders>
              <w:bottom w:val="single" w:sz="8" w:color="00C389"/>
            </w:tcBorders>
            <w:shd w:val="clear" w:color="auto" w:fill="CCEEFF"/>
          </w:tcPr>
          <w:p>
            <w:pPr>
              <w:jc w:val="right"/>
              <w:ind w:right="173"/>
              <w:spacing w:after="0"/>
              <w:rPr>
                <w:sz w:val="20"/>
                <w:szCs w:val="20"/>
                <w:color w:val="auto"/>
              </w:rPr>
            </w:pPr>
            <w:r>
              <w:rPr>
                <w:rFonts w:ascii="Arial" w:cs="Arial" w:eastAsia="Arial" w:hAnsi="Arial"/>
                <w:sz w:val="18"/>
                <w:szCs w:val="18"/>
                <w:color w:val="auto"/>
              </w:rPr>
              <w:t>135,000</w:t>
            </w:r>
          </w:p>
        </w:tc>
        <w:tc>
          <w:tcPr>
            <w:tcW w:w="1460" w:type="dxa"/>
            <w:vAlign w:val="bottom"/>
            <w:tcBorders>
              <w:bottom w:val="single" w:sz="8" w:color="00C389"/>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Vincent Viola</w:t>
            </w:r>
          </w:p>
        </w:tc>
        <w:tc>
          <w:tcPr>
            <w:tcW w:w="2640" w:type="dxa"/>
            <w:vAlign w:val="bottom"/>
            <w:tcBorders>
              <w:bottom w:val="single" w:sz="8" w:color="00C389"/>
            </w:tcBorders>
          </w:tcPr>
          <w:p>
            <w:pPr>
              <w:jc w:val="right"/>
              <w:ind w:right="3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0C389"/>
            </w:tcBorders>
          </w:tcPr>
          <w:p>
            <w:pPr>
              <w:jc w:val="right"/>
              <w:ind w:right="17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00C389"/>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18"/>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fees allocable to Fiscal 2020.</w:t>
      </w:r>
    </w:p>
    <w:p>
      <w:pPr>
        <w:spacing w:after="0" w:line="122" w:lineRule="exact"/>
        <w:rPr>
          <w:rFonts w:ascii="Arial" w:cs="Arial" w:eastAsia="Arial" w:hAnsi="Arial"/>
          <w:sz w:val="14"/>
          <w:szCs w:val="14"/>
          <w:color w:val="auto"/>
        </w:rPr>
      </w:pPr>
    </w:p>
    <w:p>
      <w:pPr>
        <w:ind w:left="980" w:right="120" w:hanging="218"/>
        <w:spacing w:after="0" w:line="267"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reported in this column represents the grant date fair value calculated in accordance with FASB ASC Topic 718 with respect to the grant of restricted stock units. Assumptions used in calculating these amounts are described in Note 19 of the Company’s audited financial statements for the fiscal year ended December 31, 2020 included in our Annual Report on Form 10-K for the fiscal year ended December 31, 2020.</w:t>
      </w:r>
    </w:p>
    <w:p>
      <w:pPr>
        <w:spacing w:after="0" w:line="93" w:lineRule="exact"/>
        <w:rPr>
          <w:rFonts w:ascii="Arial" w:cs="Arial" w:eastAsia="Arial" w:hAnsi="Arial"/>
          <w:sz w:val="14"/>
          <w:szCs w:val="14"/>
          <w:color w:val="auto"/>
        </w:rPr>
      </w:pPr>
    </w:p>
    <w:p>
      <w:pPr>
        <w:ind w:left="980" w:right="100" w:hanging="218"/>
        <w:spacing w:after="0" w:line="267"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December 31, 2020, Messrs. Cruger, Grano, Greifeld, Hutchins, Nixon, Quick, Sandner, Urban, and Michael Viola each held 5,811 unvested restricted stock units of the Company. In addition, as of December 31, 2020, Vincent Viola held 693,750 stock options of the Company, all of which were vested and exercisable. For outstanding equity awards held by Mr. Cifu, please see “Outstanding Equity Awards at 2020 Fiscal Year-End” above.</w:t>
      </w:r>
    </w:p>
    <w:p>
      <w:pPr>
        <w:spacing w:after="0" w:line="93" w:lineRule="exact"/>
        <w:rPr>
          <w:rFonts w:ascii="Arial" w:cs="Arial" w:eastAsia="Arial" w:hAnsi="Arial"/>
          <w:sz w:val="14"/>
          <w:szCs w:val="14"/>
          <w:color w:val="auto"/>
        </w:rPr>
      </w:pPr>
    </w:p>
    <w:p>
      <w:pPr>
        <w:ind w:left="980" w:right="360" w:hanging="218"/>
        <w:spacing w:after="0" w:line="278"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Gambale was appointed to our Board of Directors on January 29, 2020 and received a prorated partial year grant of 3,706 restricted stock units for the board year 2019-2020 on January 29, 2020 which vested July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75438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right="1720"/>
        <w:spacing w:after="0" w:line="234" w:lineRule="auto"/>
        <w:rPr>
          <w:sz w:val="20"/>
          <w:szCs w:val="20"/>
          <w:color w:val="auto"/>
        </w:rPr>
      </w:pPr>
      <w:r>
        <w:rPr>
          <w:rFonts w:ascii="Arial" w:cs="Arial" w:eastAsia="Arial" w:hAnsi="Arial"/>
          <w:sz w:val="53"/>
          <w:szCs w:val="53"/>
          <w:color w:val="002554"/>
        </w:rPr>
        <w:t>Proposal 3 Ratification of Appointment of Independent Registered Public Accounting Firm</w:t>
      </w:r>
    </w:p>
    <w:p>
      <w:pPr>
        <w:spacing w:after="0" w:line="84" w:lineRule="exact"/>
        <w:rPr>
          <w:sz w:val="20"/>
          <w:szCs w:val="20"/>
          <w:color w:val="auto"/>
        </w:rPr>
      </w:pPr>
    </w:p>
    <w:p>
      <w:pPr>
        <w:ind w:left="760" w:right="780"/>
        <w:spacing w:after="0" w:line="251"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2021. Stockholder ratification of the appointment of PricewaterhouseCoopers LLP is not required by law. The ratification of the appointment of PricewaterhouseCoopers LLP requires the affirmative vote of a majority in voting power of shares of stock present or represented by proxy and entitled to vote thereon at the Annual Meeting. If the stockholders do not ratify the appointment of PricewaterhouseCoopers LLP, the Audit Committee will reconsider the appointment. Even if the stockholders ratify the appointment of PricewaterhouseCoopers LLP, the Audit Committee retains the discretion to appoint a different independent registered public accounting firm at any time if it determines that such a change would be in the best interests of Virtu and its stockholders.</w:t>
      </w:r>
    </w:p>
    <w:p>
      <w:pPr>
        <w:spacing w:after="0" w:line="104" w:lineRule="exact"/>
        <w:rPr>
          <w:sz w:val="20"/>
          <w:szCs w:val="20"/>
          <w:color w:val="auto"/>
        </w:rPr>
      </w:pPr>
    </w:p>
    <w:p>
      <w:pPr>
        <w:ind w:left="760" w:right="960"/>
        <w:spacing w:after="0" w:line="256" w:lineRule="auto"/>
        <w:rPr>
          <w:sz w:val="20"/>
          <w:szCs w:val="20"/>
          <w:color w:val="auto"/>
        </w:rPr>
      </w:pPr>
      <w:r>
        <w:rPr>
          <w:rFonts w:ascii="Arial" w:cs="Arial" w:eastAsia="Arial" w:hAnsi="Arial"/>
          <w:sz w:val="18"/>
          <w:szCs w:val="18"/>
          <w:color w:val="auto"/>
        </w:rPr>
        <w:t>Representatives of PricewaterhouseCoopers LLP are expected to attend the Annual Meeting, will have an opportunity to make a statement if they desire to do so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291465</wp:posOffset>
            </wp:positionV>
            <wp:extent cx="5829300" cy="4800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002554"/>
        </w:rPr>
        <w:t>The board of directors recommends that you vote FOR the ratification of PricewaterhouseCoopers LLP as our independent auditor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3986530</wp:posOffset>
            </wp:positionV>
            <wp:extent cx="754380"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41</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right="720"/>
        <w:spacing w:after="0"/>
        <w:rPr>
          <w:sz w:val="20"/>
          <w:szCs w:val="20"/>
          <w:color w:val="auto"/>
        </w:rPr>
      </w:pPr>
      <w:r>
        <w:rPr>
          <w:rFonts w:ascii="Arial" w:cs="Arial" w:eastAsia="Arial" w:hAnsi="Arial"/>
          <w:sz w:val="53"/>
          <w:szCs w:val="53"/>
          <w:color w:val="002554"/>
        </w:rPr>
        <w:t>Information Regarding Independent Registered Public Accounting Firm</w:t>
      </w:r>
    </w:p>
    <w:p>
      <w:pPr>
        <w:spacing w:after="0" w:line="81" w:lineRule="exact"/>
        <w:rPr>
          <w:sz w:val="20"/>
          <w:szCs w:val="20"/>
          <w:color w:val="auto"/>
        </w:rPr>
      </w:pPr>
    </w:p>
    <w:p>
      <w:pPr>
        <w:ind w:left="760" w:right="260"/>
        <w:spacing w:after="0" w:line="246" w:lineRule="auto"/>
        <w:rPr>
          <w:sz w:val="20"/>
          <w:szCs w:val="20"/>
          <w:color w:val="auto"/>
        </w:rPr>
      </w:pPr>
      <w:r>
        <w:rPr>
          <w:rFonts w:ascii="Arial" w:cs="Arial" w:eastAsia="Arial" w:hAnsi="Arial"/>
          <w:sz w:val="18"/>
          <w:szCs w:val="18"/>
          <w:color w:val="auto"/>
        </w:rPr>
        <w:t>PricewaterhouseCoopers LLP has served as the Company’s independent registered public accounting firm since 2018.</w:t>
      </w:r>
    </w:p>
    <w:p>
      <w:pPr>
        <w:spacing w:after="0" w:line="89" w:lineRule="exact"/>
        <w:rPr>
          <w:sz w:val="20"/>
          <w:szCs w:val="20"/>
          <w:color w:val="auto"/>
        </w:rPr>
      </w:pPr>
    </w:p>
    <w:p>
      <w:pPr>
        <w:ind w:left="760" w:right="160"/>
        <w:spacing w:after="0"/>
        <w:rPr>
          <w:sz w:val="20"/>
          <w:szCs w:val="20"/>
          <w:color w:val="auto"/>
        </w:rPr>
      </w:pPr>
      <w:r>
        <w:rPr>
          <w:rFonts w:ascii="Arial" w:cs="Arial" w:eastAsia="Arial" w:hAnsi="Arial"/>
          <w:sz w:val="18"/>
          <w:szCs w:val="18"/>
          <w:color w:val="auto"/>
        </w:rPr>
        <w:t>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95" w:lineRule="exact"/>
        <w:rPr>
          <w:sz w:val="20"/>
          <w:szCs w:val="20"/>
          <w:color w:val="auto"/>
        </w:rPr>
      </w:pPr>
    </w:p>
    <w:p>
      <w:pPr>
        <w:ind w:left="760" w:right="260"/>
        <w:spacing w:after="0" w:line="274" w:lineRule="auto"/>
        <w:rPr>
          <w:sz w:val="20"/>
          <w:szCs w:val="20"/>
          <w:color w:val="auto"/>
        </w:rPr>
      </w:pPr>
      <w:r>
        <w:rPr>
          <w:rFonts w:ascii="Arial" w:cs="Arial" w:eastAsia="Arial" w:hAnsi="Arial"/>
          <w:sz w:val="17"/>
          <w:szCs w:val="17"/>
          <w:color w:val="auto"/>
        </w:rPr>
        <w:t>A representative of PricewaterhouseCoopers LLP is expected to be present at the Annual Meeting, will have an opportunity to make a statement if he or she so desires and will be available to respond to appropriate questions.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20"/>
        <w:spacing w:after="0"/>
        <w:rPr>
          <w:sz w:val="20"/>
          <w:szCs w:val="20"/>
          <w:color w:val="auto"/>
        </w:rPr>
      </w:pPr>
      <w:r>
        <w:rPr>
          <w:rFonts w:ascii="Arial" w:cs="Arial" w:eastAsia="Arial" w:hAnsi="Arial"/>
          <w:sz w:val="18"/>
          <w:szCs w:val="18"/>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95"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All of the audit-related, tax and all other services provided by PricewaterhouseCoopers LLP to us since their appointment in 2018, and by Deloitte &amp; Touche LLP to us subsequent to our initial public offering in 2016 and until their dismissal in 2018, were approved by our Audit Committee, and none of such services were approved pursuant to the exception provided by Rule 2-01(c)(7)(i)(C) under Regulation S-X. All non-audit services provided subsequent to our initial public offering in 2016 were reviewed with the Audit Committee, which in each case concluded that the provision of such services by the relevant independent registered public accounting firm was compatible with the maintenance of that firm’s independence in the conduct of its auditing functions.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following table presents aggregate fees billed to us for services rendered by our current independent registered public accounting firm, PricewaterhouseCoopers LLP, for the fiscal years ended December 31, 2020 and December 31, 2019.</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260" w:type="dxa"/>
            <w:vAlign w:val="bottom"/>
            <w:tcBorders>
              <w:bottom w:val="single" w:sz="8" w:color="00C389"/>
            </w:tcBorders>
          </w:tcPr>
          <w:p>
            <w:pPr>
              <w:spacing w:after="0"/>
              <w:rPr>
                <w:sz w:val="17"/>
                <w:szCs w:val="17"/>
                <w:color w:val="auto"/>
              </w:rPr>
            </w:pPr>
          </w:p>
        </w:tc>
        <w:tc>
          <w:tcPr>
            <w:tcW w:w="2960" w:type="dxa"/>
            <w:vAlign w:val="bottom"/>
            <w:tcBorders>
              <w:bottom w:val="single" w:sz="8" w:color="00C389"/>
            </w:tcBorders>
          </w:tcPr>
          <w:p>
            <w:pPr>
              <w:spacing w:after="0"/>
              <w:rPr>
                <w:sz w:val="17"/>
                <w:szCs w:val="17"/>
                <w:color w:val="auto"/>
              </w:rPr>
            </w:pPr>
          </w:p>
        </w:tc>
        <w:tc>
          <w:tcPr>
            <w:tcW w:w="940" w:type="dxa"/>
            <w:vAlign w:val="bottom"/>
            <w:tcBorders>
              <w:bottom w:val="single" w:sz="8" w:color="00C389"/>
            </w:tcBorders>
          </w:tcPr>
          <w:p>
            <w:pPr>
              <w:jc w:val="right"/>
              <w:ind w:right="353"/>
              <w:spacing w:after="0"/>
              <w:rPr>
                <w:sz w:val="20"/>
                <w:szCs w:val="20"/>
                <w:color w:val="auto"/>
              </w:rPr>
            </w:pPr>
            <w:r>
              <w:rPr>
                <w:rFonts w:ascii="Arial" w:cs="Arial" w:eastAsia="Arial" w:hAnsi="Arial"/>
                <w:sz w:val="14"/>
                <w:szCs w:val="14"/>
                <w:b w:val="1"/>
                <w:bCs w:val="1"/>
                <w:color w:val="002554"/>
              </w:rPr>
              <w:t>2020</w:t>
            </w:r>
          </w:p>
        </w:tc>
        <w:tc>
          <w:tcPr>
            <w:tcW w:w="220" w:type="dxa"/>
            <w:vAlign w:val="bottom"/>
            <w:tcBorders>
              <w:bottom w:val="single" w:sz="8" w:color="00C389"/>
            </w:tcBorders>
          </w:tcPr>
          <w:p>
            <w:pPr>
              <w:spacing w:after="0"/>
              <w:rPr>
                <w:sz w:val="17"/>
                <w:szCs w:val="17"/>
                <w:color w:val="auto"/>
              </w:rPr>
            </w:pPr>
          </w:p>
        </w:tc>
        <w:tc>
          <w:tcPr>
            <w:tcW w:w="800" w:type="dxa"/>
            <w:vAlign w:val="bottom"/>
            <w:tcBorders>
              <w:bottom w:val="single" w:sz="8" w:color="00C389"/>
            </w:tcBorders>
          </w:tcPr>
          <w:p>
            <w:pPr>
              <w:jc w:val="right"/>
              <w:ind w:right="213"/>
              <w:spacing w:after="0"/>
              <w:rPr>
                <w:sz w:val="20"/>
                <w:szCs w:val="20"/>
                <w:color w:val="auto"/>
              </w:rPr>
            </w:pPr>
            <w:r>
              <w:rPr>
                <w:rFonts w:ascii="Arial" w:cs="Arial" w:eastAsia="Arial" w:hAnsi="Arial"/>
                <w:sz w:val="14"/>
                <w:szCs w:val="14"/>
                <w:b w:val="1"/>
                <w:bCs w:val="1"/>
                <w:color w:val="002554"/>
              </w:rPr>
              <w:t>2019</w:t>
            </w:r>
          </w:p>
        </w:tc>
      </w:tr>
      <w:tr>
        <w:trPr>
          <w:trHeight w:val="263"/>
        </w:trPr>
        <w:tc>
          <w:tcPr>
            <w:tcW w:w="42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9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6,482,647</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w w:val="97"/>
              </w:rPr>
              <w:t>6,798,303</w:t>
            </w:r>
          </w:p>
        </w:tc>
      </w:tr>
      <w:tr>
        <w:trPr>
          <w:trHeight w:val="250"/>
        </w:trPr>
        <w:tc>
          <w:tcPr>
            <w:tcW w:w="426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Audit-related fees</w:t>
            </w:r>
          </w:p>
        </w:tc>
        <w:tc>
          <w:tcPr>
            <w:tcW w:w="29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693,833</w:t>
            </w:r>
          </w:p>
        </w:tc>
        <w:tc>
          <w:tcPr>
            <w:tcW w:w="22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410,970</w:t>
            </w:r>
          </w:p>
        </w:tc>
      </w:tr>
      <w:tr>
        <w:trPr>
          <w:trHeight w:val="250"/>
        </w:trPr>
        <w:tc>
          <w:tcPr>
            <w:tcW w:w="42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29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1,644,556</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w w:val="97"/>
              </w:rPr>
              <w:t>1,468,232</w:t>
            </w:r>
          </w:p>
        </w:tc>
      </w:tr>
      <w:tr>
        <w:trPr>
          <w:trHeight w:val="250"/>
        </w:trPr>
        <w:tc>
          <w:tcPr>
            <w:tcW w:w="426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All other fees</w:t>
            </w:r>
          </w:p>
        </w:tc>
        <w:tc>
          <w:tcPr>
            <w:tcW w:w="2960" w:type="dxa"/>
            <w:vAlign w:val="bottom"/>
            <w:tcBorders>
              <w:bottom w:val="single" w:sz="8" w:color="00C389"/>
            </w:tcBorders>
          </w:tcPr>
          <w:p>
            <w:pPr>
              <w:spacing w:after="0"/>
              <w:rPr>
                <w:sz w:val="21"/>
                <w:szCs w:val="21"/>
                <w:color w:val="auto"/>
              </w:rPr>
            </w:pPr>
          </w:p>
        </w:tc>
        <w:tc>
          <w:tcPr>
            <w:tcW w:w="9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1"/>
                <w:szCs w:val="21"/>
                <w:color w:val="auto"/>
              </w:rPr>
            </w:pPr>
          </w:p>
        </w:tc>
        <w:tc>
          <w:tcPr>
            <w:tcW w:w="80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26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8,821,037</w:t>
            </w:r>
          </w:p>
        </w:tc>
        <w:tc>
          <w:tcPr>
            <w:tcW w:w="22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w w:val="97"/>
              </w:rPr>
              <w:t>8,677,505</w:t>
            </w:r>
          </w:p>
        </w:tc>
      </w:tr>
    </w:tbl>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60"/>
        <w:spacing w:after="0" w:line="237" w:lineRule="auto"/>
        <w:rPr>
          <w:sz w:val="20"/>
          <w:szCs w:val="20"/>
          <w:color w:val="auto"/>
        </w:rPr>
      </w:pPr>
      <w:r>
        <w:rPr>
          <w:rFonts w:ascii="Arial" w:cs="Arial" w:eastAsia="Arial" w:hAnsi="Arial"/>
          <w:sz w:val="18"/>
          <w:szCs w:val="18"/>
          <w:color w:val="auto"/>
        </w:rPr>
        <w:t>This category includes the aggregate fees during 2020 and 2019 for audit services provided by our independent registered public accounting firm for the fiscal years ending December 31, 2020 and December 31, 2019, including for the audits of our annual consolidated financial statements, and reviews of each of the quarterly financial statements included in our Quarterly Reports on Form 10-Q, as well as audits of the consolidated financial statements of various of our regulated and foreign operating subsidiaries. In 2020 and 2019, these amounts include fees associated with the audit of various regulated and foreign operating subsidiaries acquired in the ITG Acquisition.</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0"/>
        <w:spacing w:after="0" w:line="274" w:lineRule="auto"/>
        <w:rPr>
          <w:sz w:val="20"/>
          <w:szCs w:val="20"/>
          <w:color w:val="auto"/>
        </w:rPr>
      </w:pPr>
      <w:r>
        <w:rPr>
          <w:rFonts w:ascii="Arial" w:cs="Arial" w:eastAsia="Arial" w:hAnsi="Arial"/>
          <w:sz w:val="17"/>
          <w:szCs w:val="17"/>
          <w:color w:val="auto"/>
        </w:rPr>
        <w:t>This category includes the aggregate fees during 2020 and 2019 for services related to the performance of the audits and reviews described in the preceding paragraph that are not included in the Audit Fees category. In 2020</w:t>
      </w:r>
    </w:p>
    <w:p>
      <w:pPr>
        <w:spacing w:after="0" w:line="259"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75438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INFORMATION REGARDING INDEPENDENT REGISTERED PUBLIC ACCOUNTING FIRM</w:t>
      </w:r>
    </w:p>
    <w:p>
      <w:pPr>
        <w:spacing w:after="0" w:line="225" w:lineRule="exact"/>
        <w:rPr>
          <w:sz w:val="20"/>
          <w:szCs w:val="20"/>
          <w:color w:val="auto"/>
        </w:rPr>
      </w:pPr>
    </w:p>
    <w:p>
      <w:pPr>
        <w:ind w:left="760" w:right="780"/>
        <w:spacing w:after="0" w:line="254" w:lineRule="auto"/>
        <w:rPr>
          <w:sz w:val="20"/>
          <w:szCs w:val="20"/>
          <w:color w:val="auto"/>
        </w:rPr>
      </w:pPr>
      <w:r>
        <w:rPr>
          <w:rFonts w:ascii="Arial" w:cs="Arial" w:eastAsia="Arial" w:hAnsi="Arial"/>
          <w:sz w:val="18"/>
          <w:szCs w:val="18"/>
          <w:color w:val="auto"/>
        </w:rPr>
        <w:t>and 2019, these amounts include fees associated with assurance services provided in respect of certain businesses acquired in the ITG Acquisition. This category can also include fees associated with (i) accounting consultation and due diligence related to certain transactions, (ii) services rendered in connection with our registration statements and (iii) the preparation and review of documents related to our securities offerings.</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000"/>
        <w:spacing w:after="0" w:line="254" w:lineRule="auto"/>
        <w:rPr>
          <w:sz w:val="20"/>
          <w:szCs w:val="20"/>
          <w:color w:val="auto"/>
        </w:rPr>
      </w:pPr>
      <w:r>
        <w:rPr>
          <w:rFonts w:ascii="Arial" w:cs="Arial" w:eastAsia="Arial" w:hAnsi="Arial"/>
          <w:sz w:val="18"/>
          <w:szCs w:val="18"/>
          <w:color w:val="auto"/>
        </w:rPr>
        <w:t>This category includes the aggregate fees during 2020 and 2019 for professional tax services provided by the independent registered public accounting firm or its affiliates, including for tax compliance and tax advice. In 2020 and 2019, these amounts include fees associated with tax services provided in respect of various regulated and foreign operating subsidiaries acquired in the ITG Acquisition.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other fees during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5475605</wp:posOffset>
            </wp:positionV>
            <wp:extent cx="75438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43</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Audit Committee Report</w:t>
      </w:r>
    </w:p>
    <w:p>
      <w:pPr>
        <w:spacing w:after="0" w:line="94" w:lineRule="exact"/>
        <w:rPr>
          <w:sz w:val="20"/>
          <w:szCs w:val="20"/>
          <w:color w:val="auto"/>
        </w:rPr>
      </w:pPr>
    </w:p>
    <w:p>
      <w:pPr>
        <w:ind w:left="760" w:right="140"/>
        <w:spacing w:after="0" w:line="258" w:lineRule="auto"/>
        <w:rPr>
          <w:sz w:val="20"/>
          <w:szCs w:val="20"/>
          <w:color w:val="auto"/>
        </w:rPr>
      </w:pPr>
      <w:r>
        <w:rPr>
          <w:rFonts w:ascii="Arial" w:cs="Arial" w:eastAsia="Arial" w:hAnsi="Arial"/>
          <w:sz w:val="18"/>
          <w:szCs w:val="18"/>
          <w:i w:val="1"/>
          <w:iCs w:val="1"/>
          <w:color w:val="auto"/>
        </w:rPr>
        <w:t>The following is the report of the Audit Committee of Virtu Financial, Inc. (the “Company”) with respect to our audited financial statements for the year ended December 31, 2020. The information contained in this report shall not be deemed “soliciting material” or otherwise considered “filed” with the SEC, and such information shall not be incorporated by reference into any future filing under the Exchange Act, except to the extent that we specifically incorporate such information by reference in such filing.</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hereby reports as follows:</w:t>
      </w:r>
    </w:p>
    <w:p>
      <w:pPr>
        <w:spacing w:after="0" w:line="117"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color w:val="auto"/>
        </w:rPr>
        <w:t>1.Management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94" w:lineRule="exact"/>
        <w:rPr>
          <w:sz w:val="20"/>
          <w:szCs w:val="20"/>
          <w:color w:val="auto"/>
        </w:rPr>
      </w:pPr>
    </w:p>
    <w:p>
      <w:pPr>
        <w:ind w:left="980" w:right="160"/>
        <w:spacing w:after="0" w:line="254" w:lineRule="auto"/>
        <w:rPr>
          <w:sz w:val="20"/>
          <w:szCs w:val="20"/>
          <w:color w:val="auto"/>
        </w:rPr>
      </w:pPr>
      <w:r>
        <w:rPr>
          <w:rFonts w:ascii="Arial" w:cs="Arial" w:eastAsia="Arial" w:hAnsi="Arial"/>
          <w:sz w:val="18"/>
          <w:szCs w:val="18"/>
          <w:color w:val="auto"/>
        </w:rPr>
        <w:t>2.The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applicable requirements of the PCAOB and the SEC.</w:t>
      </w:r>
    </w:p>
    <w:p>
      <w:pPr>
        <w:spacing w:after="0" w:line="96" w:lineRule="exact"/>
        <w:rPr>
          <w:sz w:val="20"/>
          <w:szCs w:val="20"/>
          <w:color w:val="auto"/>
        </w:rPr>
      </w:pPr>
    </w:p>
    <w:p>
      <w:pPr>
        <w:ind w:left="980" w:right="200"/>
        <w:spacing w:after="0" w:line="252" w:lineRule="auto"/>
        <w:rPr>
          <w:sz w:val="20"/>
          <w:szCs w:val="20"/>
          <w:color w:val="auto"/>
        </w:rPr>
      </w:pPr>
      <w:r>
        <w:rPr>
          <w:rFonts w:ascii="Arial" w:cs="Arial" w:eastAsia="Arial" w:hAnsi="Arial"/>
          <w:sz w:val="18"/>
          <w:szCs w:val="18"/>
          <w:color w:val="auto"/>
        </w:rPr>
        <w:t>3.The Audit Committee has received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The Audit Committee has concluded that PricewaterhouseCoopers LLP’s provision of audit and non-audit services to the Company and its affiliates is compatible with PricewaterhouseCoopers LLP’s independence.</w:t>
      </w:r>
    </w:p>
    <w:p>
      <w:pPr>
        <w:spacing w:after="0" w:line="100" w:lineRule="exact"/>
        <w:rPr>
          <w:sz w:val="20"/>
          <w:szCs w:val="20"/>
          <w:color w:val="auto"/>
        </w:rPr>
      </w:pPr>
    </w:p>
    <w:p>
      <w:pPr>
        <w:ind w:left="980" w:right="280"/>
        <w:spacing w:after="0" w:line="261" w:lineRule="auto"/>
        <w:rPr>
          <w:sz w:val="20"/>
          <w:szCs w:val="20"/>
          <w:color w:val="auto"/>
        </w:rPr>
      </w:pPr>
      <w:r>
        <w:rPr>
          <w:rFonts w:ascii="Arial" w:cs="Arial" w:eastAsia="Arial" w:hAnsi="Arial"/>
          <w:sz w:val="18"/>
          <w:szCs w:val="18"/>
          <w:color w:val="auto"/>
        </w:rPr>
        <w:t>4.The Audit Committee has an established charter outlining the practices it follows. The charter is available on the Company’s website at: ir.virtu.com/corporate-governance/default.aspx.</w:t>
      </w:r>
    </w:p>
    <w:p>
      <w:pPr>
        <w:spacing w:after="0" w:line="90" w:lineRule="exact"/>
        <w:rPr>
          <w:sz w:val="20"/>
          <w:szCs w:val="20"/>
          <w:color w:val="auto"/>
        </w:rPr>
      </w:pPr>
    </w:p>
    <w:p>
      <w:pPr>
        <w:ind w:left="980" w:right="220"/>
        <w:spacing w:after="0" w:line="254" w:lineRule="auto"/>
        <w:rPr>
          <w:sz w:val="20"/>
          <w:szCs w:val="20"/>
          <w:color w:val="auto"/>
        </w:rPr>
      </w:pPr>
      <w:r>
        <w:rPr>
          <w:rFonts w:ascii="Arial" w:cs="Arial" w:eastAsia="Arial" w:hAnsi="Arial"/>
          <w:sz w:val="18"/>
          <w:szCs w:val="18"/>
          <w:color w:val="auto"/>
        </w:rPr>
        <w:t>5.Based on the review and discussions referred to in paragraphs (1) through (4) above, the Audit Committee recommended to the Company’s board of directors, and the board has approved, that the audited financial statements be included in the Company’s Annual Report on Form 10-K for the fiscal year ended December 31, 2020, for filing with the Securities and Exchange Commission.</w:t>
      </w:r>
    </w:p>
    <w:p>
      <w:pPr>
        <w:spacing w:after="0" w:line="290" w:lineRule="exact"/>
        <w:rPr>
          <w:sz w:val="20"/>
          <w:szCs w:val="20"/>
          <w:color w:val="auto"/>
        </w:rPr>
      </w:pPr>
    </w:p>
    <w:p>
      <w:pPr>
        <w:ind w:left="5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1"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William F. Cruger, Jr.</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Christopher C. Quick</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Joseph J. Grano, Jr.</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Virginia Gambale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754380" cy="24003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right="940"/>
        <w:spacing w:after="0" w:line="235" w:lineRule="auto"/>
        <w:rPr>
          <w:sz w:val="20"/>
          <w:szCs w:val="20"/>
          <w:color w:val="auto"/>
        </w:rPr>
      </w:pPr>
      <w:r>
        <w:rPr>
          <w:rFonts w:ascii="Arial" w:cs="Arial" w:eastAsia="Arial" w:hAnsi="Arial"/>
          <w:sz w:val="54"/>
          <w:szCs w:val="54"/>
          <w:color w:val="002554"/>
        </w:rPr>
        <w:t>Stock Ownership of Certain Beneficial Owners and Management</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tables below set forth information with respect to the beneficial ownership of our Class A common stock and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Class B common stock by:</w:t>
      </w:r>
    </w:p>
    <w:p>
      <w:pPr>
        <w:spacing w:after="0" w:line="117" w:lineRule="exact"/>
        <w:rPr>
          <w:sz w:val="20"/>
          <w:szCs w:val="20"/>
          <w:color w:val="auto"/>
        </w:rPr>
      </w:pPr>
    </w:p>
    <w:p>
      <w:pPr>
        <w:ind w:left="1340" w:hanging="218"/>
        <w:spacing w:after="0"/>
        <w:tabs>
          <w:tab w:leader="none" w:pos="1340" w:val="left"/>
        </w:tabs>
        <w:numPr>
          <w:ilvl w:val="0"/>
          <w:numId w:val="22"/>
        </w:numPr>
        <w:rPr>
          <w:rFonts w:ascii="Arial" w:cs="Arial" w:eastAsia="Arial" w:hAnsi="Arial"/>
          <w:sz w:val="18"/>
          <w:szCs w:val="18"/>
          <w:color w:val="002554"/>
        </w:rPr>
      </w:pPr>
      <w:r>
        <w:rPr>
          <w:rFonts w:ascii="Arial" w:cs="Arial" w:eastAsia="Arial" w:hAnsi="Arial"/>
          <w:sz w:val="18"/>
          <w:szCs w:val="18"/>
          <w:color w:val="auto"/>
        </w:rPr>
        <w:t>each of our directors and executive officers;</w:t>
      </w:r>
    </w:p>
    <w:p>
      <w:pPr>
        <w:spacing w:after="0" w:line="117" w:lineRule="exact"/>
        <w:rPr>
          <w:rFonts w:ascii="Arial" w:cs="Arial" w:eastAsia="Arial" w:hAnsi="Arial"/>
          <w:sz w:val="18"/>
          <w:szCs w:val="18"/>
          <w:color w:val="002554"/>
        </w:rPr>
      </w:pPr>
    </w:p>
    <w:p>
      <w:pPr>
        <w:ind w:left="1340" w:right="1260" w:hanging="218"/>
        <w:spacing w:after="0" w:line="261" w:lineRule="auto"/>
        <w:tabs>
          <w:tab w:leader="none" w:pos="1340" w:val="left"/>
        </w:tabs>
        <w:numPr>
          <w:ilvl w:val="0"/>
          <w:numId w:val="22"/>
        </w:numPr>
        <w:rPr>
          <w:rFonts w:ascii="Arial" w:cs="Arial" w:eastAsia="Arial" w:hAnsi="Arial"/>
          <w:sz w:val="18"/>
          <w:szCs w:val="18"/>
          <w:color w:val="002554"/>
        </w:rPr>
      </w:pPr>
      <w:r>
        <w:rPr>
          <w:rFonts w:ascii="Arial" w:cs="Arial" w:eastAsia="Arial" w:hAnsi="Arial"/>
          <w:sz w:val="18"/>
          <w:szCs w:val="18"/>
          <w:color w:val="auto"/>
        </w:rPr>
        <w:t>each person who is known to be the beneficial owner of more than 5% of the outstanding shares of our Class A common stock and Class B common stock; and</w:t>
      </w:r>
    </w:p>
    <w:p>
      <w:pPr>
        <w:spacing w:after="0" w:line="89" w:lineRule="exact"/>
        <w:rPr>
          <w:rFonts w:ascii="Arial" w:cs="Arial" w:eastAsia="Arial" w:hAnsi="Arial"/>
          <w:sz w:val="18"/>
          <w:szCs w:val="18"/>
          <w:color w:val="002554"/>
        </w:rPr>
      </w:pPr>
    </w:p>
    <w:p>
      <w:pPr>
        <w:ind w:left="1340" w:hanging="218"/>
        <w:spacing w:after="0"/>
        <w:tabs>
          <w:tab w:leader="none" w:pos="1340" w:val="left"/>
        </w:tabs>
        <w:numPr>
          <w:ilvl w:val="0"/>
          <w:numId w:val="22"/>
        </w:numPr>
        <w:rPr>
          <w:rFonts w:ascii="Arial" w:cs="Arial" w:eastAsia="Arial" w:hAnsi="Arial"/>
          <w:sz w:val="18"/>
          <w:szCs w:val="18"/>
          <w:color w:val="002554"/>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jc w:val="both"/>
        <w:ind w:left="760" w:right="1160"/>
        <w:spacing w:after="0" w:line="254"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96" w:lineRule="exact"/>
        <w:rPr>
          <w:sz w:val="20"/>
          <w:szCs w:val="20"/>
          <w:color w:val="auto"/>
        </w:rPr>
      </w:pPr>
    </w:p>
    <w:p>
      <w:pPr>
        <w:ind w:left="760" w:right="780"/>
        <w:spacing w:after="0" w:line="251" w:lineRule="auto"/>
        <w:rPr>
          <w:sz w:val="20"/>
          <w:szCs w:val="20"/>
          <w:color w:val="auto"/>
        </w:rPr>
      </w:pPr>
      <w:r>
        <w:rPr>
          <w:rFonts w:ascii="Arial" w:cs="Arial" w:eastAsia="Arial" w:hAnsi="Arial"/>
          <w:sz w:val="18"/>
          <w:szCs w:val="18"/>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 holders of Virtu Financial acquired shares of our Class A common stock and (iii) certain direct or indirect equity holders of Virtu Financial had their interests reclassified into Virtu Financial Units and acquired shares of our Class C common stock or, in the case of the Founder Member only, shares of our Class D common stock (collectively, the “Virtu Members”). Subject to certain restrictions, each Virtu Member, other than the Founder Member, has the right at any time to exchange any vested Virtu Financial Units (together with a corresponding number of shares of Class C common stock) for shares of Class A common stock on a one-for-one basis. Subject to certain restrictions, the Founder Member has the right at any time to exchange any Virtu Financial Units (together with a corresponding number of shares of Class D common stock) for shares of Class B common stock on a one-for-one basis. Shares of Class B common stock may be converted into shares of Class A common stock on a one-for-one basis.</w:t>
      </w:r>
    </w:p>
    <w:p>
      <w:pPr>
        <w:spacing w:after="0" w:line="102" w:lineRule="exact"/>
        <w:rPr>
          <w:sz w:val="20"/>
          <w:szCs w:val="20"/>
          <w:color w:val="auto"/>
        </w:rPr>
      </w:pPr>
    </w:p>
    <w:p>
      <w:pPr>
        <w:ind w:left="760" w:right="920"/>
        <w:spacing w:after="0" w:line="265" w:lineRule="auto"/>
        <w:rPr>
          <w:sz w:val="20"/>
          <w:szCs w:val="20"/>
          <w:color w:val="auto"/>
        </w:rPr>
      </w:pPr>
      <w:r>
        <w:rPr>
          <w:rFonts w:ascii="Arial" w:cs="Arial" w:eastAsia="Arial" w:hAnsi="Arial"/>
          <w:sz w:val="17"/>
          <w:szCs w:val="17"/>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 (ii) all Virtu Financial Units (together with the corresponding shares of Class D common stock) have been exchanged for shares of Class B common stock and (iii) all shares of Class B common stock have been converted into shares of Class A common stock. Subject to the assumptions in the preceding sentence, the amounts</w:t>
      </w:r>
    </w:p>
    <w:p>
      <w:pPr>
        <w:spacing w:after="0" w:line="1" w:lineRule="exact"/>
        <w:rPr>
          <w:sz w:val="20"/>
          <w:szCs w:val="20"/>
          <w:color w:val="auto"/>
        </w:rPr>
      </w:pPr>
    </w:p>
    <w:p>
      <w:pPr>
        <w:ind w:left="760" w:right="800"/>
        <w:spacing w:after="0" w:line="252" w:lineRule="auto"/>
        <w:rPr>
          <w:sz w:val="20"/>
          <w:szCs w:val="20"/>
          <w:color w:val="auto"/>
        </w:rPr>
      </w:pPr>
      <w:r>
        <w:rPr>
          <w:rFonts w:ascii="Arial" w:cs="Arial" w:eastAsia="Arial" w:hAnsi="Arial"/>
          <w:sz w:val="18"/>
          <w:szCs w:val="18"/>
          <w:color w:val="auto"/>
        </w:rPr>
        <w:t>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99" w:lineRule="exact"/>
        <w:rPr>
          <w:sz w:val="20"/>
          <w:szCs w:val="20"/>
          <w:color w:val="auto"/>
        </w:rPr>
      </w:pPr>
    </w:p>
    <w:p>
      <w:pPr>
        <w:ind w:left="760" w:right="780"/>
        <w:spacing w:after="0" w:line="254" w:lineRule="auto"/>
        <w:rPr>
          <w:sz w:val="20"/>
          <w:szCs w:val="20"/>
          <w:color w:val="auto"/>
        </w:rPr>
      </w:pPr>
      <w:r>
        <w:rPr>
          <w:rFonts w:ascii="Arial" w:cs="Arial" w:eastAsia="Arial" w:hAnsi="Arial"/>
          <w:sz w:val="18"/>
          <w:szCs w:val="18"/>
          <w:color w:val="auto"/>
        </w:rPr>
        <w:t>Except as set forth in the footnotes below, the percentages included in the following table are based on 120,661,513 shares of Class A common stock outstanding, 10,135,182 Virtu Financial Units and related shares of Class C common stock and 60,091,740 Virtu Financial Units and related shares of Class D common stock outstanding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858520</wp:posOffset>
            </wp:positionV>
            <wp:extent cx="754380"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45</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25" w:lineRule="exact"/>
        <w:rPr>
          <w:sz w:val="20"/>
          <w:szCs w:val="20"/>
          <w:color w:val="auto"/>
        </w:rPr>
      </w:pPr>
    </w:p>
    <w:p>
      <w:pPr>
        <w:ind w:left="760" w:right="480"/>
        <w:spacing w:after="0" w:line="246" w:lineRule="auto"/>
        <w:rPr>
          <w:sz w:val="20"/>
          <w:szCs w:val="20"/>
          <w:color w:val="auto"/>
        </w:rPr>
      </w:pPr>
      <w:r>
        <w:rPr>
          <w:rFonts w:ascii="Arial" w:cs="Arial" w:eastAsia="Arial" w:hAnsi="Arial"/>
          <w:sz w:val="18"/>
          <w:szCs w:val="18"/>
          <w:color w:val="auto"/>
        </w:rPr>
        <w:t>Unless otherwise indicated, the address for each beneficial owner listed below is: c/o Virtu Financial, Inc., One Liberty Plaza, 165 Broadway, New York, New York 10006.</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002554"/>
              </w:rPr>
              <w:t>Class A Common Stock</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002554"/>
              </w:rPr>
              <w:t>Class B Common 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2554"/>
              </w:rPr>
              <w:t>Combined</w:t>
            </w:r>
          </w:p>
        </w:tc>
      </w:tr>
      <w:tr>
        <w:trPr>
          <w:trHeight w:val="135"/>
        </w:trPr>
        <w:tc>
          <w:tcPr>
            <w:tcW w:w="4140" w:type="dxa"/>
            <w:vAlign w:val="bottom"/>
          </w:tcPr>
          <w:p>
            <w:pPr>
              <w:spacing w:after="0"/>
              <w:rPr>
                <w:sz w:val="11"/>
                <w:szCs w:val="11"/>
                <w:color w:val="auto"/>
              </w:rPr>
            </w:pPr>
          </w:p>
        </w:tc>
        <w:tc>
          <w:tcPr>
            <w:tcW w:w="21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002554"/>
              </w:rPr>
              <w:t>(on a fully exchanged and</w:t>
            </w:r>
          </w:p>
        </w:tc>
        <w:tc>
          <w:tcPr>
            <w:tcW w:w="2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002554"/>
              </w:rPr>
              <w:t>(on a fully exchanged and</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002554"/>
                <w:w w:val="96"/>
              </w:rPr>
              <w:t>Voting</w:t>
            </w:r>
          </w:p>
        </w:tc>
      </w:tr>
      <w:tr>
        <w:trPr>
          <w:trHeight w:val="176"/>
        </w:trPr>
        <w:tc>
          <w:tcPr>
            <w:tcW w:w="4140" w:type="dxa"/>
            <w:vAlign w:val="bottom"/>
          </w:tcPr>
          <w:p>
            <w:pPr>
              <w:spacing w:after="0"/>
              <w:rPr>
                <w:sz w:val="15"/>
                <w:szCs w:val="15"/>
                <w:color w:val="auto"/>
              </w:rPr>
            </w:pPr>
          </w:p>
        </w:tc>
        <w:tc>
          <w:tcPr>
            <w:tcW w:w="192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converted basis)</w:t>
            </w:r>
          </w:p>
        </w:tc>
        <w:tc>
          <w:tcPr>
            <w:tcW w:w="220" w:type="dxa"/>
            <w:vAlign w:val="bottom"/>
          </w:tcPr>
          <w:p>
            <w:pPr>
              <w:spacing w:after="0"/>
              <w:rPr>
                <w:sz w:val="15"/>
                <w:szCs w:val="15"/>
                <w:color w:val="auto"/>
              </w:rPr>
            </w:pPr>
          </w:p>
        </w:tc>
        <w:tc>
          <w:tcPr>
            <w:tcW w:w="2040" w:type="dxa"/>
            <w:vAlign w:val="bottom"/>
            <w:tcBorders>
              <w:bottom w:val="single" w:sz="8" w:color="00C389"/>
            </w:tcBorders>
            <w:gridSpan w:val="2"/>
          </w:tcPr>
          <w:p>
            <w:pPr>
              <w:jc w:val="center"/>
              <w:spacing w:after="0"/>
              <w:rPr>
                <w:sz w:val="20"/>
                <w:szCs w:val="20"/>
                <w:color w:val="auto"/>
              </w:rPr>
            </w:pPr>
            <w:r>
              <w:rPr>
                <w:rFonts w:ascii="Arial" w:cs="Arial" w:eastAsia="Arial" w:hAnsi="Arial"/>
                <w:sz w:val="14"/>
                <w:szCs w:val="14"/>
                <w:b w:val="1"/>
                <w:bCs w:val="1"/>
                <w:color w:val="002554"/>
              </w:rPr>
              <w:t>converted basis)(1)</w:t>
            </w:r>
          </w:p>
        </w:tc>
        <w:tc>
          <w:tcPr>
            <w:tcW w:w="860" w:type="dxa"/>
            <w:vAlign w:val="bottom"/>
            <w:tcBorders>
              <w:bottom w:val="single" w:sz="8" w:color="00C389"/>
            </w:tcBorders>
          </w:tcPr>
          <w:p>
            <w:pPr>
              <w:jc w:val="center"/>
              <w:ind w:left="13"/>
              <w:spacing w:after="0"/>
              <w:rPr>
                <w:sz w:val="20"/>
                <w:szCs w:val="20"/>
                <w:color w:val="auto"/>
              </w:rPr>
            </w:pPr>
            <w:r>
              <w:rPr>
                <w:rFonts w:ascii="Arial" w:cs="Arial" w:eastAsia="Arial" w:hAnsi="Arial"/>
                <w:sz w:val="14"/>
                <w:szCs w:val="14"/>
                <w:b w:val="1"/>
                <w:bCs w:val="1"/>
                <w:color w:val="002554"/>
              </w:rPr>
              <w:t>Power(2)</w:t>
            </w:r>
          </w:p>
        </w:tc>
      </w:tr>
      <w:tr>
        <w:trPr>
          <w:trHeight w:val="196"/>
        </w:trPr>
        <w:tc>
          <w:tcPr>
            <w:tcW w:w="4140" w:type="dxa"/>
            <w:vAlign w:val="bottom"/>
          </w:tcPr>
          <w:p>
            <w:pPr>
              <w:spacing w:after="0"/>
              <w:rPr>
                <w:sz w:val="17"/>
                <w:szCs w:val="17"/>
                <w:color w:val="auto"/>
              </w:rPr>
            </w:pPr>
          </w:p>
        </w:tc>
        <w:tc>
          <w:tcPr>
            <w:tcW w:w="1040" w:type="dxa"/>
            <w:vAlign w:val="bottom"/>
            <w:tcBorders>
              <w:bottom w:val="single" w:sz="8" w:color="00C389"/>
            </w:tcBorders>
          </w:tcPr>
          <w:p>
            <w:pPr>
              <w:jc w:val="right"/>
              <w:ind w:right="213"/>
              <w:spacing w:after="0"/>
              <w:rPr>
                <w:sz w:val="20"/>
                <w:szCs w:val="20"/>
                <w:color w:val="auto"/>
              </w:rPr>
            </w:pPr>
            <w:r>
              <w:rPr>
                <w:rFonts w:ascii="Arial" w:cs="Arial" w:eastAsia="Arial" w:hAnsi="Arial"/>
                <w:sz w:val="14"/>
                <w:szCs w:val="14"/>
                <w:b w:val="1"/>
                <w:bCs w:val="1"/>
                <w:color w:val="002554"/>
              </w:rPr>
              <w:t>Number</w:t>
            </w:r>
          </w:p>
        </w:tc>
        <w:tc>
          <w:tcPr>
            <w:tcW w:w="1100" w:type="dxa"/>
            <w:vAlign w:val="bottom"/>
            <w:tcBorders>
              <w:bottom w:val="single" w:sz="8" w:color="00C389"/>
            </w:tcBorders>
            <w:gridSpan w:val="2"/>
          </w:tcPr>
          <w:p>
            <w:pPr>
              <w:ind w:left="100"/>
              <w:spacing w:after="0"/>
              <w:rPr>
                <w:sz w:val="20"/>
                <w:szCs w:val="20"/>
                <w:color w:val="auto"/>
              </w:rPr>
            </w:pPr>
            <w:r>
              <w:rPr>
                <w:rFonts w:ascii="Arial" w:cs="Arial" w:eastAsia="Arial" w:hAnsi="Arial"/>
                <w:sz w:val="14"/>
                <w:szCs w:val="14"/>
                <w:b w:val="1"/>
                <w:bCs w:val="1"/>
                <w:color w:val="002554"/>
              </w:rPr>
              <w:t>Percentage</w:t>
            </w:r>
          </w:p>
        </w:tc>
        <w:tc>
          <w:tcPr>
            <w:tcW w:w="1060" w:type="dxa"/>
            <w:vAlign w:val="bottom"/>
            <w:tcBorders>
              <w:bottom w:val="single" w:sz="8" w:color="00C389"/>
            </w:tcBorders>
          </w:tcPr>
          <w:p>
            <w:pPr>
              <w:jc w:val="right"/>
              <w:ind w:right="253"/>
              <w:spacing w:after="0"/>
              <w:rPr>
                <w:sz w:val="20"/>
                <w:szCs w:val="20"/>
                <w:color w:val="auto"/>
              </w:rPr>
            </w:pPr>
            <w:r>
              <w:rPr>
                <w:rFonts w:ascii="Arial" w:cs="Arial" w:eastAsia="Arial" w:hAnsi="Arial"/>
                <w:sz w:val="14"/>
                <w:szCs w:val="14"/>
                <w:b w:val="1"/>
                <w:bCs w:val="1"/>
                <w:color w:val="002554"/>
              </w:rPr>
              <w:t>Number</w:t>
            </w:r>
          </w:p>
        </w:tc>
        <w:tc>
          <w:tcPr>
            <w:tcW w:w="980" w:type="dxa"/>
            <w:vAlign w:val="bottom"/>
            <w:tcBorders>
              <w:bottom w:val="single" w:sz="8" w:color="00C389"/>
            </w:tcBorders>
          </w:tcPr>
          <w:p>
            <w:pPr>
              <w:jc w:val="right"/>
              <w:spacing w:after="0"/>
              <w:rPr>
                <w:sz w:val="20"/>
                <w:szCs w:val="20"/>
                <w:color w:val="auto"/>
              </w:rPr>
            </w:pPr>
            <w:r>
              <w:rPr>
                <w:rFonts w:ascii="Arial" w:cs="Arial" w:eastAsia="Arial" w:hAnsi="Arial"/>
                <w:sz w:val="14"/>
                <w:szCs w:val="14"/>
                <w:b w:val="1"/>
                <w:bCs w:val="1"/>
                <w:color w:val="002554"/>
              </w:rPr>
              <w:t>Percentage</w:t>
            </w:r>
          </w:p>
        </w:tc>
        <w:tc>
          <w:tcPr>
            <w:tcW w:w="860" w:type="dxa"/>
            <w:vAlign w:val="bottom"/>
            <w:tcBorders>
              <w:bottom w:val="single" w:sz="8" w:color="00C389"/>
            </w:tcBorders>
          </w:tcPr>
          <w:p>
            <w:pPr>
              <w:jc w:val="center"/>
              <w:spacing w:after="0"/>
              <w:rPr>
                <w:sz w:val="20"/>
                <w:szCs w:val="20"/>
                <w:color w:val="auto"/>
              </w:rPr>
            </w:pPr>
            <w:r>
              <w:rPr>
                <w:rFonts w:ascii="Arial" w:cs="Arial" w:eastAsia="Arial" w:hAnsi="Arial"/>
                <w:sz w:val="14"/>
                <w:szCs w:val="14"/>
                <w:b w:val="1"/>
                <w:bCs w:val="1"/>
                <w:color w:val="002554"/>
              </w:rPr>
              <w:t>Percentage</w:t>
            </w:r>
          </w:p>
        </w:tc>
      </w:tr>
      <w:tr>
        <w:trPr>
          <w:trHeight w:val="196"/>
        </w:trPr>
        <w:tc>
          <w:tcPr>
            <w:tcW w:w="4140" w:type="dxa"/>
            <w:vAlign w:val="bottom"/>
            <w:tcBorders>
              <w:bottom w:val="single" w:sz="8" w:color="00C389"/>
            </w:tcBorders>
          </w:tcPr>
          <w:p>
            <w:pPr>
              <w:spacing w:after="0"/>
              <w:rPr>
                <w:sz w:val="17"/>
                <w:szCs w:val="17"/>
                <w:color w:val="auto"/>
              </w:rPr>
            </w:pPr>
          </w:p>
        </w:tc>
        <w:tc>
          <w:tcPr>
            <w:tcW w:w="5040" w:type="dxa"/>
            <w:vAlign w:val="bottom"/>
            <w:tcBorders>
              <w:bottom w:val="single" w:sz="8" w:color="00C389"/>
            </w:tcBorders>
            <w:gridSpan w:val="6"/>
          </w:tcPr>
          <w:p>
            <w:pPr>
              <w:jc w:val="right"/>
              <w:ind w:right="113"/>
              <w:spacing w:after="0"/>
              <w:rPr>
                <w:sz w:val="20"/>
                <w:szCs w:val="20"/>
                <w:color w:val="auto"/>
              </w:rPr>
            </w:pPr>
            <w:r>
              <w:rPr>
                <w:rFonts w:ascii="Arial" w:cs="Arial" w:eastAsia="Arial" w:hAnsi="Arial"/>
                <w:sz w:val="14"/>
                <w:szCs w:val="14"/>
                <w:b w:val="1"/>
                <w:bCs w:val="1"/>
                <w:color w:val="002554"/>
              </w:rPr>
              <w:t>As of April 13, 2021 (unless otherwise stated in the footnotes below)</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Name of Beneficial Owner</w:t>
            </w:r>
          </w:p>
        </w:tc>
        <w:tc>
          <w:tcPr>
            <w:tcW w:w="1040" w:type="dxa"/>
            <w:vAlign w:val="bottom"/>
            <w:tcBorders>
              <w:bottom w:val="single" w:sz="8" w:color="00C389"/>
            </w:tcBorders>
            <w:shd w:val="clear" w:color="auto" w:fill="CCEEFF"/>
          </w:tcPr>
          <w:p>
            <w:pPr>
              <w:spacing w:after="0"/>
              <w:rPr>
                <w:sz w:val="20"/>
                <w:szCs w:val="20"/>
                <w:color w:val="auto"/>
              </w:rPr>
            </w:pPr>
          </w:p>
        </w:tc>
        <w:tc>
          <w:tcPr>
            <w:tcW w:w="880" w:type="dxa"/>
            <w:vAlign w:val="bottom"/>
            <w:tcBorders>
              <w:bottom w:val="single" w:sz="8" w:color="00C389"/>
            </w:tcBorders>
            <w:shd w:val="clear" w:color="auto" w:fill="CCEEFF"/>
          </w:tcPr>
          <w:p>
            <w:pPr>
              <w:spacing w:after="0"/>
              <w:rPr>
                <w:sz w:val="20"/>
                <w:szCs w:val="20"/>
                <w:color w:val="auto"/>
              </w:rPr>
            </w:pP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spacing w:after="0"/>
              <w:rPr>
                <w:sz w:val="20"/>
                <w:szCs w:val="20"/>
                <w:color w:val="auto"/>
              </w:rPr>
            </w:pPr>
          </w:p>
        </w:tc>
        <w:tc>
          <w:tcPr>
            <w:tcW w:w="980" w:type="dxa"/>
            <w:vAlign w:val="bottom"/>
            <w:tcBorders>
              <w:bottom w:val="single" w:sz="8" w:color="00C389"/>
            </w:tcBorders>
            <w:shd w:val="clear" w:color="auto" w:fill="CCEEFF"/>
          </w:tcPr>
          <w:p>
            <w:pPr>
              <w:spacing w:after="0"/>
              <w:rPr>
                <w:sz w:val="20"/>
                <w:szCs w:val="20"/>
                <w:color w:val="auto"/>
              </w:rPr>
            </w:pPr>
          </w:p>
        </w:tc>
        <w:tc>
          <w:tcPr>
            <w:tcW w:w="860" w:type="dxa"/>
            <w:vAlign w:val="bottom"/>
            <w:tcBorders>
              <w:bottom w:val="single" w:sz="8" w:color="00C389"/>
            </w:tcBorders>
            <w:shd w:val="clear" w:color="auto" w:fill="CCEEFF"/>
          </w:tcPr>
          <w:p>
            <w:pPr>
              <w:spacing w:after="0"/>
              <w:rPr>
                <w:sz w:val="20"/>
                <w:szCs w:val="20"/>
                <w:color w:val="auto"/>
              </w:rPr>
            </w:pP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b w:val="1"/>
                <w:bCs w:val="1"/>
                <w:color w:val="auto"/>
              </w:rPr>
              <w:t>5% Equity holders</w:t>
            </w:r>
          </w:p>
        </w:tc>
        <w:tc>
          <w:tcPr>
            <w:tcW w:w="1040" w:type="dxa"/>
            <w:vAlign w:val="bottom"/>
            <w:tcBorders>
              <w:bottom w:val="single" w:sz="8" w:color="00C389"/>
            </w:tcBorders>
          </w:tcPr>
          <w:p>
            <w:pPr>
              <w:spacing w:after="0"/>
              <w:rPr>
                <w:sz w:val="20"/>
                <w:szCs w:val="20"/>
                <w:color w:val="auto"/>
              </w:rPr>
            </w:pPr>
          </w:p>
        </w:tc>
        <w:tc>
          <w:tcPr>
            <w:tcW w:w="880" w:type="dxa"/>
            <w:vAlign w:val="bottom"/>
            <w:tcBorders>
              <w:bottom w:val="single" w:sz="8" w:color="00C389"/>
            </w:tcBorders>
          </w:tcPr>
          <w:p>
            <w:pPr>
              <w:spacing w:after="0"/>
              <w:rPr>
                <w:sz w:val="20"/>
                <w:szCs w:val="20"/>
                <w:color w:val="auto"/>
              </w:rPr>
            </w:pP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spacing w:after="0"/>
              <w:rPr>
                <w:sz w:val="20"/>
                <w:szCs w:val="20"/>
                <w:color w:val="auto"/>
              </w:rPr>
            </w:pPr>
          </w:p>
        </w:tc>
        <w:tc>
          <w:tcPr>
            <w:tcW w:w="980" w:type="dxa"/>
            <w:vAlign w:val="bottom"/>
            <w:tcBorders>
              <w:bottom w:val="single" w:sz="8" w:color="00C389"/>
            </w:tcBorders>
          </w:tcPr>
          <w:p>
            <w:pPr>
              <w:spacing w:after="0"/>
              <w:rPr>
                <w:sz w:val="20"/>
                <w:szCs w:val="20"/>
                <w:color w:val="auto"/>
              </w:rPr>
            </w:pPr>
          </w:p>
        </w:tc>
        <w:tc>
          <w:tcPr>
            <w:tcW w:w="860" w:type="dxa"/>
            <w:vAlign w:val="bottom"/>
            <w:tcBorders>
              <w:bottom w:val="single" w:sz="8" w:color="00C389"/>
            </w:tcBorders>
          </w:tcPr>
          <w:p>
            <w:pPr>
              <w:spacing w:after="0"/>
              <w:rPr>
                <w:sz w:val="20"/>
                <w:szCs w:val="20"/>
                <w:color w:val="auto"/>
              </w:rPr>
            </w:pP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TJMT Holdings LLC(3)</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63,308,420</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60,091,740</w:t>
            </w:r>
          </w:p>
        </w:tc>
        <w:tc>
          <w:tcPr>
            <w:tcW w:w="980" w:type="dxa"/>
            <w:vAlign w:val="bottom"/>
            <w:tcBorders>
              <w:bottom w:val="single" w:sz="8" w:color="00C389"/>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8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Virtu Employee Holdco LLC(4)</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5,006,801</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Funds affiliated with Havelock Fund Investments</w:t>
            </w: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4140" w:type="dxa"/>
            <w:vAlign w:val="bottom"/>
            <w:tcBorders>
              <w:bottom w:val="single" w:sz="8" w:color="00C389"/>
            </w:tcBorders>
            <w:shd w:val="clear" w:color="auto" w:fill="CCEEFF"/>
          </w:tcPr>
          <w:p>
            <w:pPr>
              <w:ind w:left="180"/>
              <w:spacing w:after="0"/>
              <w:rPr>
                <w:sz w:val="20"/>
                <w:szCs w:val="20"/>
                <w:color w:val="auto"/>
              </w:rPr>
            </w:pPr>
            <w:r>
              <w:rPr>
                <w:rFonts w:ascii="Arial" w:cs="Arial" w:eastAsia="Arial" w:hAnsi="Arial"/>
                <w:sz w:val="18"/>
                <w:szCs w:val="18"/>
                <w:color w:val="auto"/>
              </w:rPr>
              <w:t>Pte Ltd.(5)</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11,380,503</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00C389"/>
            </w:tcBorders>
            <w:shd w:val="clear" w:color="auto" w:fill="CCEEFF"/>
          </w:tcPr>
          <w:p>
            <w:pPr>
              <w:spacing w:after="0"/>
              <w:rPr>
                <w:sz w:val="19"/>
                <w:szCs w:val="19"/>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FMR LLC(6)</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w w:val="99"/>
              </w:rPr>
              <w:t>11,050,415</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00C389"/>
            </w:tcBorders>
          </w:tcPr>
          <w:p>
            <w:pPr>
              <w:spacing w:after="0"/>
              <w:rPr>
                <w:sz w:val="21"/>
                <w:szCs w:val="21"/>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The Vanguard Group(7)</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12,499,628</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Ordinal Ventures, LLC (f/k/a North Island</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4140" w:type="dxa"/>
            <w:vAlign w:val="bottom"/>
            <w:tcBorders>
              <w:bottom w:val="single" w:sz="8" w:color="00C389"/>
            </w:tcBorders>
          </w:tcPr>
          <w:p>
            <w:pPr>
              <w:ind w:left="180"/>
              <w:spacing w:after="0"/>
              <w:rPr>
                <w:sz w:val="20"/>
                <w:szCs w:val="20"/>
                <w:color w:val="auto"/>
              </w:rPr>
            </w:pPr>
            <w:r>
              <w:rPr>
                <w:rFonts w:ascii="Arial" w:cs="Arial" w:eastAsia="Arial" w:hAnsi="Arial"/>
                <w:sz w:val="18"/>
                <w:szCs w:val="18"/>
                <w:color w:val="auto"/>
              </w:rPr>
              <w:t>Ventures, LLC)(8)</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w w:val="99"/>
              </w:rPr>
              <w:t>21,395,041</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00C389"/>
            </w:tcBorders>
          </w:tcPr>
          <w:p>
            <w:pPr>
              <w:spacing w:after="0"/>
              <w:rPr>
                <w:sz w:val="19"/>
                <w:szCs w:val="19"/>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tcBorders>
              <w:bottom w:val="single" w:sz="8" w:color="00C389"/>
            </w:tcBorders>
            <w:shd w:val="clear" w:color="auto" w:fill="CCEEFF"/>
          </w:tcPr>
          <w:p>
            <w:pPr>
              <w:spacing w:after="0"/>
              <w:rPr>
                <w:sz w:val="21"/>
                <w:szCs w:val="21"/>
                <w:color w:val="auto"/>
              </w:rPr>
            </w:pPr>
          </w:p>
        </w:tc>
        <w:tc>
          <w:tcPr>
            <w:tcW w:w="880" w:type="dxa"/>
            <w:vAlign w:val="bottom"/>
            <w:tcBorders>
              <w:bottom w:val="single" w:sz="8" w:color="00C389"/>
            </w:tcBorders>
            <w:shd w:val="clear" w:color="auto" w:fill="CCEEFF"/>
          </w:tcPr>
          <w:p>
            <w:pPr>
              <w:spacing w:after="0"/>
              <w:rPr>
                <w:sz w:val="21"/>
                <w:szCs w:val="21"/>
                <w:color w:val="auto"/>
              </w:rPr>
            </w:pPr>
          </w:p>
        </w:tc>
        <w:tc>
          <w:tcPr>
            <w:tcW w:w="220" w:type="dxa"/>
            <w:vAlign w:val="bottom"/>
            <w:tcBorders>
              <w:bottom w:val="single" w:sz="8" w:color="00C389"/>
            </w:tcBorders>
            <w:shd w:val="clear" w:color="auto" w:fill="CCEEFF"/>
          </w:tcPr>
          <w:p>
            <w:pPr>
              <w:spacing w:after="0"/>
              <w:rPr>
                <w:sz w:val="21"/>
                <w:szCs w:val="21"/>
                <w:color w:val="auto"/>
              </w:rPr>
            </w:pPr>
          </w:p>
        </w:tc>
        <w:tc>
          <w:tcPr>
            <w:tcW w:w="1060" w:type="dxa"/>
            <w:vAlign w:val="bottom"/>
            <w:tcBorders>
              <w:bottom w:val="single" w:sz="8" w:color="00C389"/>
            </w:tcBorders>
            <w:shd w:val="clear" w:color="auto" w:fill="CCEEFF"/>
          </w:tcPr>
          <w:p>
            <w:pPr>
              <w:spacing w:after="0"/>
              <w:rPr>
                <w:sz w:val="21"/>
                <w:szCs w:val="21"/>
                <w:color w:val="auto"/>
              </w:rPr>
            </w:pPr>
          </w:p>
        </w:tc>
        <w:tc>
          <w:tcPr>
            <w:tcW w:w="980" w:type="dxa"/>
            <w:vAlign w:val="bottom"/>
            <w:tcBorders>
              <w:bottom w:val="single" w:sz="8" w:color="00C389"/>
            </w:tcBorders>
            <w:shd w:val="clear" w:color="auto" w:fill="CCEEFF"/>
          </w:tcPr>
          <w:p>
            <w:pPr>
              <w:spacing w:after="0"/>
              <w:rPr>
                <w:sz w:val="21"/>
                <w:szCs w:val="21"/>
                <w:color w:val="auto"/>
              </w:rPr>
            </w:pPr>
          </w:p>
        </w:tc>
        <w:tc>
          <w:tcPr>
            <w:tcW w:w="860" w:type="dxa"/>
            <w:vAlign w:val="bottom"/>
            <w:tcBorders>
              <w:bottom w:val="single" w:sz="8" w:color="00C389"/>
            </w:tcBorders>
            <w:shd w:val="clear" w:color="auto" w:fill="CCEEFF"/>
          </w:tcPr>
          <w:p>
            <w:pPr>
              <w:spacing w:after="0"/>
              <w:rPr>
                <w:sz w:val="21"/>
                <w:szCs w:val="21"/>
                <w:color w:val="auto"/>
              </w:rPr>
            </w:pP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Vincent Viola(3)(4)</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w w:val="99"/>
              </w:rPr>
              <w:t>69,008,971</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w w:val="99"/>
              </w:rPr>
              <w:t>60,091,740</w:t>
            </w:r>
          </w:p>
        </w:tc>
        <w:tc>
          <w:tcPr>
            <w:tcW w:w="980" w:type="dxa"/>
            <w:vAlign w:val="bottom"/>
            <w:tcBorders>
              <w:bottom w:val="single" w:sz="8" w:color="00C389"/>
            </w:tcBorders>
          </w:tcPr>
          <w:p>
            <w:pPr>
              <w:jc w:val="right"/>
              <w:ind w:right="71"/>
              <w:spacing w:after="0"/>
              <w:rPr>
                <w:sz w:val="20"/>
                <w:szCs w:val="20"/>
                <w:color w:val="auto"/>
              </w:rPr>
            </w:pPr>
            <w:r>
              <w:rPr>
                <w:rFonts w:ascii="Arial" w:cs="Arial" w:eastAsia="Arial" w:hAnsi="Arial"/>
                <w:sz w:val="18"/>
                <w:szCs w:val="18"/>
                <w:color w:val="auto"/>
              </w:rPr>
              <w:t>100%</w:t>
            </w:r>
          </w:p>
        </w:tc>
        <w:tc>
          <w:tcPr>
            <w:tcW w:w="8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83.4%</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Douglas A. Cifu(9)</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4,415,384</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Stephen Cavoli</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119,979</w:t>
            </w:r>
          </w:p>
        </w:tc>
        <w:tc>
          <w:tcPr>
            <w:tcW w:w="880" w:type="dxa"/>
            <w:vAlign w:val="bottom"/>
            <w:tcBorders>
              <w:bottom w:val="single" w:sz="8" w:color="00C389"/>
            </w:tcBorders>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Sean Galvin</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C389"/>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Brett Fairclough(10)</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163,910</w:t>
            </w:r>
          </w:p>
        </w:tc>
        <w:tc>
          <w:tcPr>
            <w:tcW w:w="880" w:type="dxa"/>
            <w:vAlign w:val="bottom"/>
            <w:tcBorders>
              <w:bottom w:val="single" w:sz="8" w:color="00C389"/>
            </w:tcBorders>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Joseph Molluso</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187,836</w:t>
            </w:r>
          </w:p>
        </w:tc>
        <w:tc>
          <w:tcPr>
            <w:tcW w:w="880" w:type="dxa"/>
            <w:vAlign w:val="bottom"/>
            <w:tcBorders>
              <w:bottom w:val="single" w:sz="8" w:color="00C389"/>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Alexander M. Ioffe</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10,737</w:t>
            </w:r>
          </w:p>
        </w:tc>
        <w:tc>
          <w:tcPr>
            <w:tcW w:w="880" w:type="dxa"/>
            <w:vAlign w:val="bottom"/>
            <w:tcBorders>
              <w:bottom w:val="single" w:sz="8" w:color="00C389"/>
            </w:tcBorders>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William F. Cruger, Jr.(10)</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38,275</w:t>
            </w:r>
          </w:p>
        </w:tc>
        <w:tc>
          <w:tcPr>
            <w:tcW w:w="880" w:type="dxa"/>
            <w:vAlign w:val="bottom"/>
            <w:tcBorders>
              <w:bottom w:val="single" w:sz="8" w:color="00C389"/>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Virginia Gambale</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C389"/>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Joseph J. Grano, Jr.</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6,325</w:t>
            </w:r>
          </w:p>
        </w:tc>
        <w:tc>
          <w:tcPr>
            <w:tcW w:w="880" w:type="dxa"/>
            <w:vAlign w:val="bottom"/>
            <w:tcBorders>
              <w:bottom w:val="single" w:sz="8" w:color="00C389"/>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Robert Greifeld(9)</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w w:val="99"/>
              </w:rPr>
              <w:t>21,413,211</w:t>
            </w:r>
          </w:p>
        </w:tc>
        <w:tc>
          <w:tcPr>
            <w:tcW w:w="88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Glenn Hutchins(9)</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21,413,211</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John D. Nixon</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31,217</w:t>
            </w:r>
          </w:p>
        </w:tc>
        <w:tc>
          <w:tcPr>
            <w:tcW w:w="880" w:type="dxa"/>
            <w:vAlign w:val="bottom"/>
            <w:tcBorders>
              <w:bottom w:val="single" w:sz="8" w:color="00C389"/>
            </w:tcBorders>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Christopher C. Quick</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rPr>
              <w:t>25,307</w:t>
            </w:r>
          </w:p>
        </w:tc>
        <w:tc>
          <w:tcPr>
            <w:tcW w:w="880" w:type="dxa"/>
            <w:vAlign w:val="bottom"/>
            <w:tcBorders>
              <w:bottom w:val="single" w:sz="8" w:color="00C389"/>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bottom w:val="single" w:sz="8" w:color="00C389"/>
            </w:tcBorders>
          </w:tcPr>
          <w:p>
            <w:pPr>
              <w:spacing w:after="0"/>
              <w:rPr>
                <w:sz w:val="20"/>
                <w:szCs w:val="20"/>
                <w:color w:val="auto"/>
              </w:rPr>
            </w:pPr>
            <w:r>
              <w:rPr>
                <w:rFonts w:ascii="Arial" w:cs="Arial" w:eastAsia="Arial" w:hAnsi="Arial"/>
                <w:sz w:val="18"/>
                <w:szCs w:val="18"/>
                <w:color w:val="auto"/>
              </w:rPr>
              <w:t>David J. Urban</w:t>
            </w:r>
          </w:p>
        </w:tc>
        <w:tc>
          <w:tcPr>
            <w:tcW w:w="1040" w:type="dxa"/>
            <w:vAlign w:val="bottom"/>
            <w:tcBorders>
              <w:bottom w:val="single" w:sz="8" w:color="00C389"/>
            </w:tcBorders>
          </w:tcPr>
          <w:p>
            <w:pPr>
              <w:jc w:val="right"/>
              <w:ind w:right="33"/>
              <w:spacing w:after="0"/>
              <w:rPr>
                <w:sz w:val="20"/>
                <w:szCs w:val="20"/>
                <w:color w:val="auto"/>
              </w:rPr>
            </w:pPr>
            <w:r>
              <w:rPr>
                <w:rFonts w:ascii="Arial" w:cs="Arial" w:eastAsia="Arial" w:hAnsi="Arial"/>
                <w:sz w:val="18"/>
                <w:szCs w:val="18"/>
                <w:color w:val="auto"/>
              </w:rPr>
              <w:t>9,150</w:t>
            </w:r>
          </w:p>
        </w:tc>
        <w:tc>
          <w:tcPr>
            <w:tcW w:w="880" w:type="dxa"/>
            <w:vAlign w:val="bottom"/>
            <w:tcBorders>
              <w:bottom w:val="single" w:sz="8" w:color="00C389"/>
            </w:tcBorders>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00C389"/>
            </w:tcBorders>
          </w:tcPr>
          <w:p>
            <w:pPr>
              <w:spacing w:after="0"/>
              <w:rPr>
                <w:sz w:val="20"/>
                <w:szCs w:val="20"/>
                <w:color w:val="auto"/>
              </w:rPr>
            </w:pPr>
          </w:p>
        </w:tc>
        <w:tc>
          <w:tcPr>
            <w:tcW w:w="1060" w:type="dxa"/>
            <w:vAlign w:val="bottom"/>
            <w:tcBorders>
              <w:bottom w:val="single" w:sz="8" w:color="00C389"/>
            </w:tcBorders>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C389"/>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0C389"/>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36"/>
        </w:trPr>
        <w:tc>
          <w:tcPr>
            <w:tcW w:w="4140" w:type="dxa"/>
            <w:vAlign w:val="bottom"/>
            <w:tcBorders>
              <w:bottom w:val="single" w:sz="8" w:color="00C389"/>
            </w:tcBorders>
            <w:shd w:val="clear" w:color="auto" w:fill="CCEEFF"/>
          </w:tcPr>
          <w:p>
            <w:pPr>
              <w:spacing w:after="0"/>
              <w:rPr>
                <w:sz w:val="20"/>
                <w:szCs w:val="20"/>
                <w:color w:val="auto"/>
              </w:rPr>
            </w:pPr>
            <w:r>
              <w:rPr>
                <w:rFonts w:ascii="Arial" w:cs="Arial" w:eastAsia="Arial" w:hAnsi="Arial"/>
                <w:sz w:val="18"/>
                <w:szCs w:val="18"/>
                <w:color w:val="auto"/>
              </w:rPr>
              <w:t>Michael T. Viola(3)</w:t>
            </w:r>
          </w:p>
        </w:tc>
        <w:tc>
          <w:tcPr>
            <w:tcW w:w="1040" w:type="dxa"/>
            <w:vAlign w:val="bottom"/>
            <w:tcBorders>
              <w:bottom w:val="single" w:sz="8" w:color="00C389"/>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68,403,883</w:t>
            </w:r>
          </w:p>
        </w:tc>
        <w:tc>
          <w:tcPr>
            <w:tcW w:w="88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00C389"/>
            </w:tcBorders>
            <w:shd w:val="clear" w:color="auto" w:fill="CCEEFF"/>
          </w:tcPr>
          <w:p>
            <w:pPr>
              <w:spacing w:after="0"/>
              <w:rPr>
                <w:sz w:val="20"/>
                <w:szCs w:val="20"/>
                <w:color w:val="auto"/>
              </w:rPr>
            </w:pPr>
          </w:p>
        </w:tc>
        <w:tc>
          <w:tcPr>
            <w:tcW w:w="1060" w:type="dxa"/>
            <w:vAlign w:val="bottom"/>
            <w:tcBorders>
              <w:bottom w:val="single" w:sz="8" w:color="00C389"/>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60,091,740</w:t>
            </w:r>
          </w:p>
        </w:tc>
        <w:tc>
          <w:tcPr>
            <w:tcW w:w="980" w:type="dxa"/>
            <w:vAlign w:val="bottom"/>
            <w:tcBorders>
              <w:bottom w:val="single" w:sz="8" w:color="00C389"/>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860" w:type="dxa"/>
            <w:vAlign w:val="bottom"/>
            <w:tcBorders>
              <w:bottom w:val="single" w:sz="8" w:color="00C389"/>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00"/>
        </w:trPr>
        <w:tc>
          <w:tcPr>
            <w:tcW w:w="4140" w:type="dxa"/>
            <w:vAlign w:val="bottom"/>
          </w:tcPr>
          <w:p>
            <w:pPr>
              <w:spacing w:after="0" w:line="201"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9"/>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(16 persons)</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w w:val="99"/>
              </w:rPr>
              <w:t>95,463,575</w:t>
            </w:r>
          </w:p>
        </w:tc>
        <w:tc>
          <w:tcPr>
            <w:tcW w:w="88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60,091,740</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4140" w:type="dxa"/>
            <w:vAlign w:val="bottom"/>
            <w:tcBorders>
              <w:bottom w:val="single" w:sz="8" w:color="00C389"/>
            </w:tcBorders>
          </w:tcPr>
          <w:p>
            <w:pPr>
              <w:spacing w:after="0"/>
              <w:rPr>
                <w:sz w:val="2"/>
                <w:szCs w:val="2"/>
                <w:color w:val="auto"/>
              </w:rPr>
            </w:pPr>
          </w:p>
        </w:tc>
        <w:tc>
          <w:tcPr>
            <w:tcW w:w="1040" w:type="dxa"/>
            <w:vAlign w:val="bottom"/>
            <w:tcBorders>
              <w:bottom w:val="single" w:sz="8" w:color="00C389"/>
            </w:tcBorders>
          </w:tcPr>
          <w:p>
            <w:pPr>
              <w:spacing w:after="0"/>
              <w:rPr>
                <w:sz w:val="2"/>
                <w:szCs w:val="2"/>
                <w:color w:val="auto"/>
              </w:rPr>
            </w:pPr>
          </w:p>
        </w:tc>
        <w:tc>
          <w:tcPr>
            <w:tcW w:w="880" w:type="dxa"/>
            <w:vAlign w:val="bottom"/>
            <w:tcBorders>
              <w:bottom w:val="single" w:sz="8" w:color="00C389"/>
            </w:tcBorders>
          </w:tcPr>
          <w:p>
            <w:pPr>
              <w:spacing w:after="0"/>
              <w:rPr>
                <w:sz w:val="2"/>
                <w:szCs w:val="2"/>
                <w:color w:val="auto"/>
              </w:rPr>
            </w:pPr>
          </w:p>
        </w:tc>
        <w:tc>
          <w:tcPr>
            <w:tcW w:w="220" w:type="dxa"/>
            <w:vAlign w:val="bottom"/>
            <w:tcBorders>
              <w:bottom w:val="single" w:sz="8" w:color="00C389"/>
            </w:tcBorders>
          </w:tcPr>
          <w:p>
            <w:pPr>
              <w:spacing w:after="0"/>
              <w:rPr>
                <w:sz w:val="2"/>
                <w:szCs w:val="2"/>
                <w:color w:val="auto"/>
              </w:rPr>
            </w:pPr>
          </w:p>
        </w:tc>
        <w:tc>
          <w:tcPr>
            <w:tcW w:w="1060" w:type="dxa"/>
            <w:vAlign w:val="bottom"/>
            <w:tcBorders>
              <w:bottom w:val="single" w:sz="8" w:color="00C389"/>
            </w:tcBorders>
          </w:tcPr>
          <w:p>
            <w:pPr>
              <w:spacing w:after="0"/>
              <w:rPr>
                <w:sz w:val="2"/>
                <w:szCs w:val="2"/>
                <w:color w:val="auto"/>
              </w:rPr>
            </w:pPr>
          </w:p>
        </w:tc>
        <w:tc>
          <w:tcPr>
            <w:tcW w:w="980" w:type="dxa"/>
            <w:vAlign w:val="bottom"/>
            <w:tcBorders>
              <w:bottom w:val="single" w:sz="8" w:color="00C389"/>
            </w:tcBorders>
          </w:tcPr>
          <w:p>
            <w:pPr>
              <w:spacing w:after="0"/>
              <w:rPr>
                <w:sz w:val="2"/>
                <w:szCs w:val="2"/>
                <w:color w:val="auto"/>
              </w:rPr>
            </w:pPr>
          </w:p>
        </w:tc>
        <w:tc>
          <w:tcPr>
            <w:tcW w:w="860" w:type="dxa"/>
            <w:vAlign w:val="bottom"/>
            <w:tcBorders>
              <w:bottom w:val="single" w:sz="8" w:color="00C389"/>
            </w:tcBorders>
          </w:tcPr>
          <w:p>
            <w:pPr>
              <w:spacing w:after="0"/>
              <w:rPr>
                <w:sz w:val="2"/>
                <w:szCs w:val="2"/>
                <w:color w:val="auto"/>
              </w:rPr>
            </w:pPr>
          </w:p>
        </w:tc>
      </w:tr>
    </w:tbl>
    <w:p>
      <w:pPr>
        <w:spacing w:after="0" w:line="72" w:lineRule="exact"/>
        <w:rPr>
          <w:sz w:val="20"/>
          <w:szCs w:val="20"/>
          <w:color w:val="auto"/>
        </w:rPr>
      </w:pPr>
    </w:p>
    <w:p>
      <w:pPr>
        <w:ind w:left="1080" w:hanging="318"/>
        <w:spacing w:after="0"/>
        <w:tabs>
          <w:tab w:leader="none" w:pos="10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6" w:lineRule="exact"/>
        <w:rPr>
          <w:sz w:val="20"/>
          <w:szCs w:val="20"/>
          <w:color w:val="auto"/>
        </w:rPr>
      </w:pPr>
    </w:p>
    <w:p>
      <w:pPr>
        <w:ind w:left="1080" w:right="380" w:hanging="318"/>
        <w:spacing w:after="0" w:line="270" w:lineRule="auto"/>
        <w:tabs>
          <w:tab w:leader="none" w:pos="10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(i) 60,091,740 shares of Class A common stock issuable to the Founder Member at any time upon (a) the exchange of the 60,091,740 Virtu Financial Units and an equal number of shares of Class D common stock held by the Founder Member for shares of Class B common stock and (b) the conversion of such shares of Class B common stock into shares of Class A common stock.</w:t>
      </w:r>
    </w:p>
    <w:p>
      <w:pPr>
        <w:spacing w:after="0" w:line="64" w:lineRule="exact"/>
        <w:rPr>
          <w:rFonts w:ascii="Arial" w:cs="Arial" w:eastAsia="Arial" w:hAnsi="Arial"/>
          <w:sz w:val="14"/>
          <w:szCs w:val="14"/>
          <w:color w:val="auto"/>
        </w:rPr>
      </w:pPr>
    </w:p>
    <w:p>
      <w:pPr>
        <w:ind w:left="1080" w:right="60" w:hanging="318"/>
        <w:spacing w:after="0" w:line="264" w:lineRule="auto"/>
        <w:tabs>
          <w:tab w:leader="none" w:pos="10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71" w:lineRule="exact"/>
        <w:rPr>
          <w:rFonts w:ascii="Arial" w:cs="Arial" w:eastAsia="Arial" w:hAnsi="Arial"/>
          <w:sz w:val="14"/>
          <w:szCs w:val="14"/>
          <w:color w:val="auto"/>
        </w:rPr>
      </w:pPr>
    </w:p>
    <w:p>
      <w:pPr>
        <w:ind w:left="1080" w:hanging="318"/>
        <w:spacing w:after="0" w:line="264" w:lineRule="auto"/>
        <w:tabs>
          <w:tab w:leader="none" w:pos="10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Founder Member is owned by trusts for the benefit of family members of Mr. Viola and Teresa Viola, Mr. Viola’s wife. Teresa Viola and Michael T. Viola, Mr. Viola’s son and one of our directors, share dispositive control and voting control over the shares held by the Founder Member. As a result, Teresa Viola and Michael T. Viola beneficially own 60,091,740 Virtu Financial Units and an equal number of shares of Class D common stock held by the Founder Member, 216,680 Virtu Financial Units and an equal number of shares of Class C common stock held by the Founder Member, 3,000,000 shares of Class A Common Stock which the Founder Member may purchase at an exercise price per share of $22.98 pursuant to a warrant issued on March 20, 2020 and further described in Amendment No. 3 to Schedule 13D, filed</w:t>
      </w:r>
    </w:p>
    <w:p>
      <w:pPr>
        <w:spacing w:after="0" w:line="272"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75438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STOCK OWNERSHIP OF CERTAIN BENEFICIAL OWNERS AND MANAGEMENT</w:t>
      </w:r>
    </w:p>
    <w:p>
      <w:pPr>
        <w:spacing w:after="0" w:line="231" w:lineRule="exact"/>
        <w:rPr>
          <w:sz w:val="20"/>
          <w:szCs w:val="20"/>
          <w:color w:val="auto"/>
        </w:rPr>
      </w:pPr>
    </w:p>
    <w:p>
      <w:pPr>
        <w:ind w:left="1080" w:right="1260"/>
        <w:spacing w:after="0" w:line="261" w:lineRule="auto"/>
        <w:rPr>
          <w:sz w:val="20"/>
          <w:szCs w:val="20"/>
          <w:color w:val="auto"/>
        </w:rPr>
      </w:pPr>
      <w:r>
        <w:rPr>
          <w:rFonts w:ascii="Arial" w:cs="Arial" w:eastAsia="Arial" w:hAnsi="Arial"/>
          <w:sz w:val="14"/>
          <w:szCs w:val="14"/>
          <w:color w:val="auto"/>
        </w:rPr>
        <w:t>by the Founder Member with the SEC on March 20, 2020, 5,006,801 Virtu Financial Units and an equal number of shares of Class C common stock through Virtu Employee Holdco. In addition, Michael T. Viola directly owns 88,612 shares of Class A common stock.</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Mr. Vincent Viola may be deemed to beneficially own the shares held by the Founder Member by virtue of his relationship with Teresa Viola.</w:t>
      </w:r>
    </w:p>
    <w:p>
      <w:pPr>
        <w:spacing w:after="0" w:line="123" w:lineRule="exact"/>
        <w:rPr>
          <w:sz w:val="20"/>
          <w:szCs w:val="20"/>
          <w:color w:val="auto"/>
        </w:rPr>
      </w:pPr>
    </w:p>
    <w:p>
      <w:pPr>
        <w:ind w:left="1080" w:right="780" w:hanging="318"/>
        <w:spacing w:after="0" w:line="263"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5,006,801 Class A common shares issuable upon the exchange of Virtu Financial Units and corresponding shares of Class C common stock held by Virtu Employee Holdco (including both vested and unvested Virtu Financial Units and corresponding shares of Class C common stock), which represents 2.6% of the Class A common shares issued and outstanding as of April 13, 2021. Mr. Viola disclaims beneficial ownership in such shares except to the extent of his pecuniary interest therein. In addition, Mr. Viola directly owns 693,750 shares of Class A common stock issuable upon the exercise of stock options that have vested or will vest within the next 60 days, and may be deemed to beneficially own 60,091,740 Virtu Financial Units and an equal number of shares of Class D common stock, 216,680 Virtu Financial Units and an equal number of shares of Class C common stock and 3,000,000 shares of Class A Common Stock which the Founder Member may purchase at an exercise price per share of $22.98 pursuant to a warrant issued on March 20, 2020 and further described in Amendment No. 3 to Schedule 13D, filed by the Founder Member with the SEC on March 20, 2020, each beneficially owned by Teresa Viola, Mr. Viola’s wife, that Mr. Viola may be deemed to beneficially own by virtue of their relationship.</w:t>
      </w:r>
    </w:p>
    <w:p>
      <w:pPr>
        <w:spacing w:after="0" w:line="273" w:lineRule="exact"/>
        <w:rPr>
          <w:rFonts w:ascii="Arial" w:cs="Arial" w:eastAsia="Arial" w:hAnsi="Arial"/>
          <w:sz w:val="14"/>
          <w:szCs w:val="14"/>
          <w:color w:val="auto"/>
        </w:rPr>
      </w:pPr>
    </w:p>
    <w:p>
      <w:pPr>
        <w:ind w:left="1080" w:right="820" w:hanging="318"/>
        <w:spacing w:after="0" w:line="263"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upon statements in the Schedule 13G filed by Temasek Holdings (Private) Limited (“Temasek”), Fullerton Fund Investments Pte Ltd (“Fullerton”), Havelock Fund Investments Pte Ltd (“Havelock”), Temasek Capital (Private) Limited (“Temasek Capital”), Seletar Investments Pte Ltd (“Seletar”) and Aranda Investments Pte. Ltd. (“Aranda”) on May 13, 2020. Fullerton, through its ownership of Havelock, may be deemed to share voting and dispositive power over the 8,867,682 shares of Class A common stock beneficially owned or deemed to be beneficially owned by Havelock. Seletar, through its ownership of Aranda, and Temasek Capital, through its ownership of Seletar, each may be deemed to share voting and dispositive power over the 2,512,821 shares of Class A common stock beneficially owned or deemed to be beneficially owned by Aranda. Temasek, through its ownership of Fullerton and Temasek Capital, may be deemed to share voting and dispositive power over the shares of Class A common stock beneficially owned or deemed to be beneficially owned by Fullerton, Havelock, Temasek Capital, Seletar and Aranda. Havelock is the direct beneficial owner of 8,867,682 shares of Class A common stock, and Aranda is the direct beneficial owner of 2,512,821 shares of Class A common stock. The address of Temasek is 60B Orchard Road, #06-18 Tower 2, The Atrium@Orchard, Singapore 238891.</w:t>
      </w:r>
    </w:p>
    <w:p>
      <w:pPr>
        <w:spacing w:after="0" w:line="97" w:lineRule="exact"/>
        <w:rPr>
          <w:rFonts w:ascii="Arial" w:cs="Arial" w:eastAsia="Arial" w:hAnsi="Arial"/>
          <w:sz w:val="14"/>
          <w:szCs w:val="14"/>
          <w:color w:val="auto"/>
        </w:rPr>
      </w:pPr>
    </w:p>
    <w:p>
      <w:pPr>
        <w:ind w:left="1080" w:right="1340" w:hanging="318"/>
        <w:spacing w:after="0" w:line="267"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FMR LLC (“FMR”) on February 5, 2021. FMR has (i) sole voting power over 1,309,050 shares of Class A common stock; and (ii) sole dispositive power over 11,050,415 shares of Class A common stock. The aggregate amount of Class A common stock beneficially owned by FMR represents 9.2% of the Class A common stock issued and outstanding as of April 13, 2021. The address of FMR is 245 Summer Street, Boston, MA 02210.</w:t>
      </w:r>
    </w:p>
    <w:p>
      <w:pPr>
        <w:spacing w:after="0" w:line="93" w:lineRule="exact"/>
        <w:rPr>
          <w:rFonts w:ascii="Arial" w:cs="Arial" w:eastAsia="Arial" w:hAnsi="Arial"/>
          <w:sz w:val="14"/>
          <w:szCs w:val="14"/>
          <w:color w:val="auto"/>
        </w:rPr>
      </w:pPr>
    </w:p>
    <w:p>
      <w:pPr>
        <w:ind w:left="1080" w:right="840" w:hanging="318"/>
        <w:spacing w:after="0" w:line="265"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upon statements in the Schedule 13G/A filed by The Vanguard Group (“Vanguard”) on January 8, 2021. Vanguard has (i) shared voting power over 53,282 shares of Class A common stock; (ii) sole dispositive power over 12,391,467 shares of Class A common stock; and (iii) shared dispositive power over 108,161 shares of Class A common stock. The aggregate amount of Class A common stock beneficially owned by Vanguard represents 10.37% of the Class A common stock issued and outstanding as of April 13, 2021. The address of Vanguard is 100 Vanguard Blvd., Malvern, PA 19355.</w:t>
      </w:r>
    </w:p>
    <w:p>
      <w:pPr>
        <w:spacing w:after="0" w:line="96" w:lineRule="exact"/>
        <w:rPr>
          <w:rFonts w:ascii="Arial" w:cs="Arial" w:eastAsia="Arial" w:hAnsi="Arial"/>
          <w:sz w:val="14"/>
          <w:szCs w:val="14"/>
          <w:color w:val="auto"/>
        </w:rPr>
      </w:pPr>
    </w:p>
    <w:p>
      <w:pPr>
        <w:ind w:left="1080" w:right="780" w:hanging="318"/>
        <w:spacing w:after="0" w:line="262"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upon statements in Amendment No. 1 to Schedule 13D filed by Ordinal Ventures, LLC (f/k/a North Island Ventures, LLC) (“Ventures”), Ordinal Holdings I, LP (f/k/a North Island Holdings I, LP) (“NIH”), Ordinal Holdings I GP, LP (f/k/a North Island Holdings I GP, LP) (the “NIH GP”), North Island, West Meadow Group LLC (“West Meadow”), Glenn H. Hutchins and Robert Greifeld (collectively, the “NIH Reporting Persons”) on May 28, 2020. NIH GP is the sole general partner of NIH, and in that capacity, directs the operations of NIH. Ventures is the sole general partner of the NIH GP, and in that capacity, directs the operations of the NIH GP. Messrs. Hutchins and Greifeld, directly and/or indirectly through North Island and West Meadow, respectively, each controls 50% of the membership interests in Ventures and are executives of Ventures. North Island and West Meadow are controlled by Messrs. Hutchins and Greifeld, respectively. The NIH Reporting persons have shared voting and dispositive power over 21,395,041 shares of Class A common stock. The principal business address of each of Ventures and Messrs. Hutchins and Greifeld is 667 Madison Avenue, New York, NY 10065, and the principal business address of each of NIH and NIH GP is c/o Ordinal Ventures, LLC (f/k/a North Island Ventures, LLC), 667 Madison Avenue, New York, NY 10065. The principal business address of North Island is c/o Glenn H. Hutchins, 667 Madison Avenue, New York, NY 10065. The principal business address of West Meadow is c/o Robert Greifeld, 667 Madison Avenue, New York, NY 10065. Under the Stockholders Agreement (as defined below), the Founder Member has agreed to take all necessary action, including voting all of its shares of capital stock of the Company or providing written consent to cause the election of the directors nominated by NIH pursuant to the NIH Investment Agreement (as defined below) and in accordance with the terms of the Stockholders Agreement.</w:t>
      </w:r>
    </w:p>
    <w:p>
      <w:pPr>
        <w:spacing w:after="0" w:line="104" w:lineRule="exact"/>
        <w:rPr>
          <w:rFonts w:ascii="Arial" w:cs="Arial" w:eastAsia="Arial" w:hAnsi="Arial"/>
          <w:sz w:val="14"/>
          <w:szCs w:val="14"/>
          <w:color w:val="auto"/>
        </w:rPr>
      </w:pPr>
    </w:p>
    <w:p>
      <w:pPr>
        <w:ind w:left="1080" w:right="780" w:hanging="318"/>
        <w:spacing w:after="0" w:line="264"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Class A common stock owned by Mr. Cifu is comprised of (i) 2,830,742 shares of Class A common stock issuable upon the exchange of Virtu Financial Units and corresponding shares of Class C common stock held by Mr. Cifu; (iii) 819,804 shares of Class A common stock issuable upon the exchange of Virtu Financial Units and corresponding shares of Class C common stock held by a trust for the benefit of the Cifu Family (the “2011 Cifu Family Trust”), (iii) 297,083 shares of Class A common stock held by Mr. Cifu directly and (iv) 392,755 shares of Class A common stock held by a trust for the benefit of the Cifu Family (the “2020 Cifu Family Trust”). Melissa B. Lautenberg, Mr. Cifu’s wife, and Dr. Mitchel A. Lautenberg, Ms. Lautenberg’s brother, share dispositive control and voting control over the shares held by the 2011 Cifu Family Trust and Ms. Lautenberg holds sole dispositive control and voting control over the shares held by the 2020 Cifu Family Trust. Mr. Cifu may be deemed to beneficially own the shares held by the 2020 Cifu Family Trust by virtue of his relationship with Ms. Lautenberg.</w:t>
      </w:r>
    </w:p>
    <w:p>
      <w:pPr>
        <w:spacing w:after="0" w:line="95" w:lineRule="exact"/>
        <w:rPr>
          <w:rFonts w:ascii="Arial" w:cs="Arial" w:eastAsia="Arial" w:hAnsi="Arial"/>
          <w:sz w:val="14"/>
          <w:szCs w:val="14"/>
          <w:color w:val="auto"/>
        </w:rPr>
      </w:pPr>
    </w:p>
    <w:p>
      <w:pPr>
        <w:ind w:left="1080" w:right="840" w:hanging="318"/>
        <w:spacing w:after="0" w:line="278"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Virtu Financial Units and corresponding shares of Class C common stock held by Virtu Employee Holdco on behalf of such person that have vested or will vest within the next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154305</wp:posOffset>
            </wp:positionV>
            <wp:extent cx="75438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47</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right="1020"/>
        <w:spacing w:after="0" w:line="235" w:lineRule="auto"/>
        <w:rPr>
          <w:sz w:val="20"/>
          <w:szCs w:val="20"/>
          <w:color w:val="auto"/>
        </w:rPr>
      </w:pPr>
      <w:r>
        <w:rPr>
          <w:rFonts w:ascii="Arial" w:cs="Arial" w:eastAsia="Arial" w:hAnsi="Arial"/>
          <w:sz w:val="54"/>
          <w:szCs w:val="54"/>
          <w:color w:val="002554"/>
        </w:rPr>
        <w:t>Certain Relationships and Related Party Transactions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Related Party Transactions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220"/>
        <w:spacing w:after="0" w:line="238" w:lineRule="auto"/>
        <w:rPr>
          <w:sz w:val="20"/>
          <w:szCs w:val="20"/>
          <w:color w:val="auto"/>
        </w:rPr>
      </w:pPr>
      <w:r>
        <w:rPr>
          <w:rFonts w:ascii="Arial" w:cs="Arial" w:eastAsia="Arial" w:hAnsi="Arial"/>
          <w:sz w:val="18"/>
          <w:szCs w:val="18"/>
          <w:color w:val="auto"/>
        </w:rPr>
        <w:t>Upon the consummation of our initial public offering, we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97" w:lineRule="exact"/>
        <w:rPr>
          <w:sz w:val="20"/>
          <w:szCs w:val="20"/>
          <w:color w:val="auto"/>
        </w:rPr>
      </w:pPr>
    </w:p>
    <w:p>
      <w:pPr>
        <w:ind w:left="760"/>
        <w:spacing w:after="0" w:line="237"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95" w:lineRule="exact"/>
        <w:rPr>
          <w:sz w:val="20"/>
          <w:szCs w:val="20"/>
          <w:color w:val="auto"/>
        </w:rPr>
      </w:pPr>
    </w:p>
    <w:p>
      <w:pPr>
        <w:ind w:left="760" w:right="20"/>
        <w:spacing w:after="0" w:line="236" w:lineRule="auto"/>
        <w:rPr>
          <w:sz w:val="20"/>
          <w:szCs w:val="20"/>
          <w:color w:val="auto"/>
        </w:rPr>
      </w:pPr>
      <w:r>
        <w:rPr>
          <w:rFonts w:ascii="Arial" w:cs="Arial" w:eastAsia="Arial" w:hAnsi="Arial"/>
          <w:sz w:val="18"/>
          <w:szCs w:val="18"/>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100" w:lineRule="exact"/>
        <w:rPr>
          <w:sz w:val="20"/>
          <w:szCs w:val="20"/>
          <w:color w:val="auto"/>
        </w:rPr>
      </w:pPr>
    </w:p>
    <w:p>
      <w:pPr>
        <w:ind w:left="760" w:right="80"/>
        <w:spacing w:after="0" w:line="238" w:lineRule="auto"/>
        <w:rPr>
          <w:sz w:val="20"/>
          <w:szCs w:val="20"/>
          <w:color w:val="auto"/>
        </w:rPr>
      </w:pPr>
      <w:r>
        <w:rPr>
          <w:rFonts w:ascii="Arial" w:cs="Arial" w:eastAsia="Arial" w:hAnsi="Arial"/>
          <w:sz w:val="18"/>
          <w:szCs w:val="18"/>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82" w:lineRule="exact"/>
        <w:rPr>
          <w:sz w:val="20"/>
          <w:szCs w:val="20"/>
          <w:color w:val="auto"/>
        </w:rPr>
      </w:pPr>
    </w:p>
    <w:p>
      <w:pPr>
        <w:ind w:left="760" w:right="340"/>
        <w:spacing w:after="0" w:line="258" w:lineRule="auto"/>
        <w:rPr>
          <w:sz w:val="20"/>
          <w:szCs w:val="20"/>
          <w:color w:val="auto"/>
        </w:rPr>
      </w:pPr>
      <w:r>
        <w:rPr>
          <w:rFonts w:ascii="Arial" w:cs="Arial" w:eastAsia="Arial" w:hAnsi="Arial"/>
          <w:sz w:val="29"/>
          <w:szCs w:val="29"/>
          <w:b w:val="1"/>
          <w:bCs w:val="1"/>
          <w:color w:val="002554"/>
        </w:rPr>
        <w:t>Amended and Restated Virtu Financial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15875</wp:posOffset>
            </wp:positionV>
            <wp:extent cx="58293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93" w:lineRule="exact"/>
        <w:rPr>
          <w:sz w:val="20"/>
          <w:szCs w:val="20"/>
          <w:color w:val="auto"/>
        </w:rPr>
      </w:pPr>
    </w:p>
    <w:p>
      <w:pPr>
        <w:ind w:left="760" w:right="220"/>
        <w:spacing w:after="0" w:line="257" w:lineRule="auto"/>
        <w:rPr>
          <w:sz w:val="20"/>
          <w:szCs w:val="20"/>
          <w:color w:val="auto"/>
        </w:rPr>
      </w:pPr>
      <w:r>
        <w:rPr>
          <w:rFonts w:ascii="Arial" w:cs="Arial" w:eastAsia="Arial" w:hAnsi="Arial"/>
          <w:sz w:val="17"/>
          <w:szCs w:val="17"/>
          <w:color w:val="auto"/>
        </w:rPr>
        <w:t>In connection with reorganization transactions preceding our initial public offering (which we refer to as the “reorganization transactions”), we, Virtu Financial and each of the Virtu Members (including the Founder Member, Mr. Cifu, certain affiliates of Silver Lake Partners, an affiliate of Temasek and Virtu Employee Holdco) entered into the Amended and Restated Virtu Financial LLC Agreement (as it may be amended from time to time).</w:t>
      </w:r>
    </w:p>
    <w:p>
      <w:pPr>
        <w:spacing w:after="0" w:line="81" w:lineRule="exact"/>
        <w:rPr>
          <w:sz w:val="20"/>
          <w:szCs w:val="20"/>
          <w:color w:val="auto"/>
        </w:rPr>
      </w:pPr>
    </w:p>
    <w:p>
      <w:pPr>
        <w:ind w:left="760" w:right="20"/>
        <w:spacing w:after="0" w:line="235" w:lineRule="auto"/>
        <w:rPr>
          <w:sz w:val="20"/>
          <w:szCs w:val="20"/>
          <w:color w:val="auto"/>
        </w:rPr>
      </w:pPr>
      <w:r>
        <w:rPr>
          <w:rFonts w:ascii="Arial" w:cs="Arial" w:eastAsia="Arial" w:hAnsi="Arial"/>
          <w:sz w:val="18"/>
          <w:szCs w:val="18"/>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decision-making of Virtu Financial. As such, through our officers and directors, we are responsible for all operational and administrative decisions of Virtu Financial and the day-to-day management of Virtu Financial’s business. We will fund any dividends to our stockholders by causing Virtu Financial to make distributions to its equity holders, including the Founder Member, Virtu Employee Holdco, the Employee Trust and us, subject to the limitations imposed by our credit agreement.</w:t>
      </w:r>
    </w:p>
    <w:p>
      <w:pPr>
        <w:spacing w:after="0" w:line="284"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754380" cy="24003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780"/>
        <w:spacing w:after="0" w:line="251" w:lineRule="auto"/>
        <w:rPr>
          <w:sz w:val="20"/>
          <w:szCs w:val="20"/>
          <w:color w:val="auto"/>
        </w:rPr>
      </w:pPr>
      <w:r>
        <w:rPr>
          <w:rFonts w:ascii="Arial" w:cs="Arial" w:eastAsia="Arial" w:hAnsi="Arial"/>
          <w:sz w:val="18"/>
          <w:szCs w:val="18"/>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treated as advances and may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or another rate as determined by the Company in its discretion for one or more holders.</w:t>
      </w:r>
    </w:p>
    <w:p>
      <w:pPr>
        <w:spacing w:after="0" w:line="102" w:lineRule="exact"/>
        <w:rPr>
          <w:sz w:val="20"/>
          <w:szCs w:val="20"/>
          <w:color w:val="auto"/>
        </w:rPr>
      </w:pPr>
    </w:p>
    <w:p>
      <w:pPr>
        <w:ind w:left="760" w:right="820"/>
        <w:spacing w:after="0" w:line="251" w:lineRule="auto"/>
        <w:rPr>
          <w:sz w:val="20"/>
          <w:szCs w:val="20"/>
          <w:color w:val="auto"/>
        </w:rPr>
      </w:pPr>
      <w:r>
        <w:rPr>
          <w:rFonts w:ascii="Arial" w:cs="Arial" w:eastAsia="Arial" w:hAnsi="Arial"/>
          <w:sz w:val="18"/>
          <w:szCs w:val="18"/>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case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affect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affect any subdivision or combination of any class of our common stock unless it is accompanied by a substantively identical subdivision or combination, as applicable, of the Virtu Financial Units.</w:t>
      </w:r>
    </w:p>
    <w:p>
      <w:pPr>
        <w:spacing w:after="0" w:line="99" w:lineRule="exact"/>
        <w:rPr>
          <w:sz w:val="20"/>
          <w:szCs w:val="20"/>
          <w:color w:val="auto"/>
        </w:rPr>
      </w:pPr>
    </w:p>
    <w:p>
      <w:pPr>
        <w:ind w:left="760" w:right="820"/>
        <w:spacing w:after="0" w:line="253" w:lineRule="auto"/>
        <w:rPr>
          <w:sz w:val="20"/>
          <w:szCs w:val="20"/>
          <w:color w:val="auto"/>
        </w:rPr>
      </w:pPr>
      <w:r>
        <w:rPr>
          <w:rFonts w:ascii="Arial" w:cs="Arial" w:eastAsia="Arial" w:hAnsi="Arial"/>
          <w:sz w:val="18"/>
          <w:szCs w:val="18"/>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including Mr. Fairclough, are subject to similar restrictions under the limited liability company agreements of Virtu Employee Holdco.</w:t>
      </w:r>
    </w:p>
    <w:p>
      <w:pPr>
        <w:spacing w:after="0" w:line="97" w:lineRule="exact"/>
        <w:rPr>
          <w:sz w:val="20"/>
          <w:szCs w:val="20"/>
          <w:color w:val="auto"/>
        </w:rPr>
      </w:pPr>
    </w:p>
    <w:p>
      <w:pPr>
        <w:ind w:left="760" w:right="800"/>
        <w:spacing w:after="0" w:line="254" w:lineRule="auto"/>
        <w:rPr>
          <w:sz w:val="20"/>
          <w:szCs w:val="20"/>
          <w:color w:val="auto"/>
        </w:rPr>
      </w:pPr>
      <w:r>
        <w:rPr>
          <w:rFonts w:ascii="Arial" w:cs="Arial" w:eastAsia="Arial" w:hAnsi="Arial"/>
          <w:sz w:val="18"/>
          <w:szCs w:val="18"/>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96" w:lineRule="exact"/>
        <w:rPr>
          <w:sz w:val="20"/>
          <w:szCs w:val="20"/>
          <w:color w:val="auto"/>
        </w:rPr>
      </w:pPr>
    </w:p>
    <w:p>
      <w:pPr>
        <w:ind w:left="760" w:right="900"/>
        <w:spacing w:after="0" w:line="252" w:lineRule="auto"/>
        <w:rPr>
          <w:sz w:val="20"/>
          <w:szCs w:val="20"/>
          <w:color w:val="auto"/>
        </w:rPr>
      </w:pPr>
      <w:r>
        <w:rPr>
          <w:rFonts w:ascii="Arial" w:cs="Arial" w:eastAsia="Arial" w:hAnsi="Arial"/>
          <w:sz w:val="18"/>
          <w:szCs w:val="18"/>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99" w:lineRule="exact"/>
        <w:rPr>
          <w:sz w:val="20"/>
          <w:szCs w:val="20"/>
          <w:color w:val="auto"/>
        </w:rPr>
      </w:pPr>
    </w:p>
    <w:p>
      <w:pPr>
        <w:ind w:left="760" w:right="800"/>
        <w:spacing w:after="0" w:line="278" w:lineRule="auto"/>
        <w:rPr>
          <w:sz w:val="20"/>
          <w:szCs w:val="20"/>
          <w:color w:val="auto"/>
        </w:rPr>
      </w:pPr>
      <w:r>
        <w:rPr>
          <w:rFonts w:ascii="Arial" w:cs="Arial" w:eastAsia="Arial" w:hAnsi="Arial"/>
          <w:sz w:val="17"/>
          <w:szCs w:val="17"/>
          <w:color w:val="auto"/>
        </w:rPr>
        <w:t>Historically, Virtu Financial has regularly declared and paid distributions on its equity interests to its members, including the Company. During the year ended December 31, 2020, Virtu Financial declared and paid $761.8 million in cash distributions to its members (including our Founder Member, Employee Holdco,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194945</wp:posOffset>
            </wp:positionV>
            <wp:extent cx="75438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49</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100"/>
        <w:spacing w:after="0" w:line="237" w:lineRule="auto"/>
        <w:rPr>
          <w:sz w:val="20"/>
          <w:szCs w:val="20"/>
          <w:color w:val="auto"/>
        </w:rPr>
      </w:pPr>
      <w:r>
        <w:rPr>
          <w:rFonts w:ascii="Arial" w:cs="Arial" w:eastAsia="Arial" w:hAnsi="Arial"/>
          <w:sz w:val="18"/>
          <w:szCs w:val="18"/>
          <w:color w:val="auto"/>
        </w:rPr>
        <w:t>At the closing of our initial public offering, we entered into an Exchange Agreement (the “Exchange Agreement”) with Virtu Financial and each of the Virtu Members, pursuant to which they (or certain transferees thereof)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95" w:lineRule="exact"/>
        <w:rPr>
          <w:sz w:val="20"/>
          <w:szCs w:val="20"/>
          <w:color w:val="auto"/>
        </w:rPr>
      </w:pPr>
    </w:p>
    <w:p>
      <w:pPr>
        <w:ind w:left="760" w:right="80"/>
        <w:spacing w:after="0" w:line="251" w:lineRule="auto"/>
        <w:rPr>
          <w:sz w:val="20"/>
          <w:szCs w:val="20"/>
          <w:color w:val="auto"/>
        </w:rPr>
      </w:pPr>
      <w:r>
        <w:rPr>
          <w:rFonts w:ascii="Arial" w:cs="Arial" w:eastAsia="Arial" w:hAnsi="Arial"/>
          <w:sz w:val="18"/>
          <w:szCs w:val="18"/>
          <w:color w:val="auto"/>
        </w:rPr>
        <w:t>The Exchange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Virtu Members will be permitted to participate in such offer by delivery of a notice of exchange that is effective immediately prior to the consummation of such offer. In the case of any such offer proposed by us, we are obligated to use our reasonable best efforts to enable and permit the Virtu Members to participate in such offer to the same extent or on an economically equivalent basis as the holders of shares of our Class A common stock without discrimination. In addition, we are obligated to use our reasonable best efforts to ensure that the Virtu Members may participate in each such offer without being required to exchange Virtu Financial Units and shares of our Class C common stock or Class D common stock.</w:t>
      </w:r>
    </w:p>
    <w:p>
      <w:pPr>
        <w:spacing w:after="0" w:line="103" w:lineRule="exact"/>
        <w:rPr>
          <w:sz w:val="20"/>
          <w:szCs w:val="20"/>
          <w:color w:val="auto"/>
        </w:rPr>
      </w:pPr>
    </w:p>
    <w:p>
      <w:pPr>
        <w:ind w:left="760"/>
        <w:spacing w:after="0" w:line="267" w:lineRule="auto"/>
        <w:rPr>
          <w:sz w:val="20"/>
          <w:szCs w:val="20"/>
          <w:color w:val="auto"/>
        </w:rPr>
      </w:pPr>
      <w:r>
        <w:rPr>
          <w:rFonts w:ascii="Arial" w:cs="Arial" w:eastAsia="Arial" w:hAnsi="Arial"/>
          <w:sz w:val="17"/>
          <w:szCs w:val="17"/>
          <w:color w:val="auto"/>
        </w:rPr>
        <w:t>The Exchange Agreement also provides that, in the event of a merger, consolidation or other business combination involving us (unless, following such transaction, all or substantially all of the holders of the voting power of us prior to such transaction continue to hold a majority of the voting power of the surviving entity (or its parent) in substantially the same proportions as immediately prior to such transaction) is approved by our board of directors and consummated in accordance with applicable law, we may require that each of the Virtu Members exchange with us all of such Virtu Member’s Virtu Financial Units and shares of our Class C common stock or Class D common stock, as applicable, for aggregate consideration for each Virtu Financial Unit and share of our Class C common stock or Class D common stock, as applicable, that is equivalent to the consideration payable in respect of each share of our Class A common stock in such transaction. Such Virtu Members are not required to participate in such a transaction that is tax-free for our stockholders unless the transaction is also tax-free for such Virtu Members as holders of Virtu Financial Units and shares of our Class C common stock or Class D common stock, as applicable.</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
        <w:spacing w:after="0" w:line="251" w:lineRule="auto"/>
        <w:rPr>
          <w:sz w:val="20"/>
          <w:szCs w:val="20"/>
          <w:color w:val="auto"/>
        </w:rPr>
      </w:pPr>
      <w:r>
        <w:rPr>
          <w:rFonts w:ascii="Arial" w:cs="Arial" w:eastAsia="Arial" w:hAnsi="Arial"/>
          <w:sz w:val="18"/>
          <w:szCs w:val="18"/>
          <w:color w:val="auto"/>
        </w:rPr>
        <w:t>In connection with the reorganization transactions, we acquired equity interests in Virtu Financial from certain affiliates of Silver Lake Partners and Temasek, as a result of a series of transactions (the “Mergers”). In addition, we used a portion of the net proceeds from our initial public offering to purchase Virtu Financial Units and corresponding shares of Class C common stock from certain direct or indirect equity 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 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102" w:lineRule="exact"/>
        <w:rPr>
          <w:sz w:val="20"/>
          <w:szCs w:val="20"/>
          <w:color w:val="auto"/>
        </w:rPr>
      </w:pPr>
    </w:p>
    <w:p>
      <w:pPr>
        <w:ind w:left="760" w:right="20"/>
        <w:spacing w:after="0" w:line="268" w:lineRule="auto"/>
        <w:rPr>
          <w:sz w:val="20"/>
          <w:szCs w:val="20"/>
          <w:color w:val="auto"/>
        </w:rPr>
      </w:pPr>
      <w:r>
        <w:rPr>
          <w:rFonts w:ascii="Arial" w:cs="Arial" w:eastAsia="Arial" w:hAnsi="Arial"/>
          <w:sz w:val="17"/>
          <w:szCs w:val="17"/>
          <w:color w:val="auto"/>
        </w:rPr>
        <w:t>We entered into three tax receivable agreements with certain direct or indirect equity holders of Virtu Financial (one with the Founder Member, Virtu Employee Holdco, the Employee Trust, certain management members and other post-initial public offering investors), another with affiliates of Silver Lake Partners and affiliates of Temasek, and the other with other affiliates of Silver Lake Partners, that provide for the payment by us to certain direct or indirect equity holders of Virtu Financial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an affiliate of Temasek, and another affiliate of</w:t>
      </w:r>
    </w:p>
    <w:p>
      <w:pPr>
        <w:spacing w:after="0" w:line="282"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754380" cy="24003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860"/>
        <w:spacing w:after="0" w:line="248" w:lineRule="auto"/>
        <w:rPr>
          <w:sz w:val="20"/>
          <w:szCs w:val="20"/>
          <w:color w:val="auto"/>
        </w:rPr>
      </w:pPr>
      <w:r>
        <w:rPr>
          <w:rFonts w:ascii="Arial" w:cs="Arial" w:eastAsia="Arial" w:hAnsi="Arial"/>
          <w:sz w:val="17"/>
          <w:szCs w:val="17"/>
          <w:color w:val="auto"/>
        </w:rPr>
        <w:t>Temasek (the “Temasek Member”) in the reorganization transactions (which represents the unamortized portion of the increase in tax basis in Virtu Financial’s assets resulting from a prior acquisition of interests in Virtu Financial by an affiliate of Silver Lake Partners and Temasek, and the Temasek Member, (b) the purchases of Virtu Financial Units (along with the corresponding shares of our Class C common stock or Class D common stock, as applicable) from certain direct or indirect equity holders of Virtu Financial using a portion of the net proceeds from our initial public offering or in any future offering, (c) exchanges by certain direct or indirect equity holders of Virtu Financial of Virtu Financial Units (together with the corresponding shares of our Class C common stock or Class D common stock, as applicable) for shares of our Class A common stock or Class B common stock, as applicable, or</w:t>
      </w:r>
    </w:p>
    <w:p>
      <w:pPr>
        <w:spacing w:after="0" w:line="4" w:lineRule="exact"/>
        <w:rPr>
          <w:sz w:val="20"/>
          <w:szCs w:val="20"/>
          <w:color w:val="auto"/>
        </w:rPr>
      </w:pPr>
    </w:p>
    <w:p>
      <w:pPr>
        <w:ind w:left="760" w:right="820" w:firstLine="2"/>
        <w:spacing w:after="0"/>
        <w:tabs>
          <w:tab w:leader="none" w:pos="10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95" w:lineRule="exact"/>
        <w:rPr>
          <w:sz w:val="20"/>
          <w:szCs w:val="20"/>
          <w:color w:val="auto"/>
        </w:rPr>
      </w:pPr>
    </w:p>
    <w:p>
      <w:pPr>
        <w:ind w:left="760" w:right="820"/>
        <w:spacing w:after="0" w:line="255"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varies depending upon a number of factors, including the timing of exchanges by certain direct or indirect equity 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82" w:lineRule="exact"/>
        <w:rPr>
          <w:sz w:val="20"/>
          <w:szCs w:val="20"/>
          <w:color w:val="auto"/>
        </w:rPr>
      </w:pPr>
    </w:p>
    <w:p>
      <w:pPr>
        <w:ind w:left="760" w:right="820"/>
        <w:spacing w:after="0" w:line="236" w:lineRule="auto"/>
        <w:rPr>
          <w:sz w:val="20"/>
          <w:szCs w:val="20"/>
          <w:color w:val="auto"/>
        </w:rPr>
      </w:pPr>
      <w:r>
        <w:rPr>
          <w:rFonts w:ascii="Arial" w:cs="Arial" w:eastAsia="Arial" w:hAnsi="Arial"/>
          <w:sz w:val="18"/>
          <w:szCs w:val="18"/>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 holders of Virtu Financial are expected to range from approximately $0.9 million to $21.7 million per year over the next 15 years. Such payments will occur only after we have filed our U.S. federal and state income tax returns and realized the cash tax savings from the favorable tax attributes. Future payments under the tax receivable agreements in respect of subsequent exchanges would be in addition to these amounts and are expected to be substantial. The payments under the tax receivable agreements are not conditioned upon the certain direct or indirect equity holders of Virtu Financial’s continued ownership of us.</w:t>
      </w:r>
    </w:p>
    <w:p>
      <w:pPr>
        <w:spacing w:after="0" w:line="98" w:lineRule="exact"/>
        <w:rPr>
          <w:sz w:val="20"/>
          <w:szCs w:val="20"/>
          <w:color w:val="auto"/>
        </w:rPr>
      </w:pPr>
    </w:p>
    <w:p>
      <w:pPr>
        <w:ind w:left="760" w:right="780"/>
        <w:spacing w:after="0" w:line="236" w:lineRule="auto"/>
        <w:rPr>
          <w:sz w:val="20"/>
          <w:szCs w:val="20"/>
          <w:color w:val="auto"/>
        </w:rPr>
      </w:pPr>
      <w:r>
        <w:rPr>
          <w:rFonts w:ascii="Arial" w:cs="Arial" w:eastAsia="Arial" w:hAnsi="Arial"/>
          <w:sz w:val="18"/>
          <w:szCs w:val="18"/>
          <w:color w:val="auto"/>
        </w:rPr>
        <w:t>In addition, although we are not aware of any issue that would cause the IRS to challenge the tax basis increases or other benefits arising under the tax receivable agreements, certain direct or indirect equity holders of Virtu Financial (or their transferees or other assignees) will not reimburse us for any payments previously made if such tax basis increases or other tax benefits are subsequently disallowed, except that any excess payments made to certain direct or indirect equity holders of Virtu Financial will be netted against future payments otherwise to be made under the tax receivable agreements, if any, after our determination of such excess. As a result, in such circumstances we could make payments to certain direct or indirect equity holders of Virtu Financial under the tax receivable agreements that are greater than our actual cash tax savings and may not be able to recoup those payments, which could negatively impact our liquidity.</w:t>
      </w:r>
    </w:p>
    <w:p>
      <w:pPr>
        <w:spacing w:after="0" w:line="99"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95" w:lineRule="exact"/>
        <w:rPr>
          <w:sz w:val="20"/>
          <w:szCs w:val="20"/>
          <w:color w:val="auto"/>
        </w:rPr>
      </w:pPr>
    </w:p>
    <w:p>
      <w:pPr>
        <w:ind w:left="760" w:right="820"/>
        <w:spacing w:after="0" w:line="236" w:lineRule="auto"/>
        <w:rPr>
          <w:sz w:val="20"/>
          <w:szCs w:val="20"/>
          <w:color w:val="auto"/>
        </w:rPr>
      </w:pPr>
      <w:r>
        <w:rPr>
          <w:rFonts w:ascii="Arial" w:cs="Arial" w:eastAsia="Arial" w:hAnsi="Arial"/>
          <w:sz w:val="18"/>
          <w:szCs w:val="18"/>
          <w:color w:val="auto"/>
        </w:rPr>
        <w:t>In addition, the tax receivable agreements provide that in the case of a change in control of the Company, certain direct or indirect equity 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 holders of Virtu Financial have interests that differ from or are in addition to those of our other stockholders. In addition, we could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207010</wp:posOffset>
            </wp:positionV>
            <wp:extent cx="754380" cy="2400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51</w:t>
            </w:r>
          </w:p>
        </w:tc>
      </w:tr>
      <w:tr>
        <w:trPr>
          <w:trHeight w:val="560"/>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420"/>
        <w:spacing w:after="0" w:line="261" w:lineRule="auto"/>
        <w:rPr>
          <w:sz w:val="20"/>
          <w:szCs w:val="20"/>
          <w:color w:val="auto"/>
        </w:rPr>
      </w:pPr>
      <w:r>
        <w:rPr>
          <w:rFonts w:ascii="Arial" w:cs="Arial" w:eastAsia="Arial" w:hAnsi="Arial"/>
          <w:sz w:val="18"/>
          <w:szCs w:val="18"/>
          <w:color w:val="auto"/>
        </w:rPr>
        <w:t>to make payments under the tax receivable agreements that are substantial and in excess of our, or a potential acquirer’s, actual cash savings in income tax.</w:t>
      </w:r>
    </w:p>
    <w:p>
      <w:pPr>
        <w:spacing w:after="0" w:line="90" w:lineRule="exact"/>
        <w:rPr>
          <w:sz w:val="20"/>
          <w:szCs w:val="20"/>
          <w:color w:val="auto"/>
        </w:rPr>
      </w:pPr>
    </w:p>
    <w:p>
      <w:pPr>
        <w:ind w:left="760" w:right="180"/>
        <w:spacing w:after="0" w:line="271"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84" w:lineRule="exact"/>
        <w:rPr>
          <w:sz w:val="20"/>
          <w:szCs w:val="20"/>
          <w:color w:val="auto"/>
        </w:rPr>
      </w:pPr>
    </w:p>
    <w:p>
      <w:pPr>
        <w:ind w:left="760" w:right="40"/>
        <w:spacing w:after="0" w:line="252" w:lineRule="auto"/>
        <w:rPr>
          <w:sz w:val="20"/>
          <w:szCs w:val="20"/>
          <w:color w:val="auto"/>
        </w:rPr>
      </w:pPr>
      <w:r>
        <w:rPr>
          <w:rFonts w:ascii="Arial" w:cs="Arial" w:eastAsia="Arial" w:hAnsi="Arial"/>
          <w:sz w:val="18"/>
          <w:szCs w:val="18"/>
          <w:color w:val="auto"/>
        </w:rPr>
        <w:t>We made our first payment of $7.0 million in February 2017, our second payment of $12.4 million in September 2018, our third payment of $13.3 million in March 2020, and our fourth payment of $16.5 million in April 2021. During the year ended December 31, 2019, an affiliate of Temasek received $2.6 million and an affiliate of a former stockholder received $7.0 million. During the year ended December 31, 2020, an affiliate of Temasek received $4.0 million, the Founder Member received $2.6 million and members and former members of Virtu Employee Holdco LLC received $1.5 million. Through April 19, 2021, during the year ended December 31, 2021, an affiliate of Temasek received $3.6 million, the Founder Member received $4.2 million and members and former members of Virtu Employee Holdco LLC received $2.3 million.</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95" w:lineRule="exact"/>
        <w:rPr>
          <w:sz w:val="20"/>
          <w:szCs w:val="20"/>
          <w:color w:val="auto"/>
        </w:rPr>
      </w:pPr>
    </w:p>
    <w:p>
      <w:pPr>
        <w:ind w:left="760" w:right="680"/>
        <w:spacing w:after="0" w:line="268" w:lineRule="auto"/>
        <w:rPr>
          <w:sz w:val="20"/>
          <w:szCs w:val="20"/>
          <w:color w:val="auto"/>
        </w:rPr>
      </w:pPr>
      <w:r>
        <w:rPr>
          <w:rFonts w:ascii="Arial" w:cs="Arial" w:eastAsia="Arial" w:hAnsi="Arial"/>
          <w:sz w:val="29"/>
          <w:szCs w:val="29"/>
          <w:b w:val="1"/>
          <w:bCs w:val="1"/>
          <w:color w:val="002554"/>
        </w:rPr>
        <w:t>Agreements Entered into in Connection with the Acquisition of KCG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15240</wp:posOffset>
            </wp:positionV>
            <wp:extent cx="5829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Investment Agreements</w:t>
      </w:r>
    </w:p>
    <w:p>
      <w:pPr>
        <w:spacing w:after="0" w:line="139" w:lineRule="exact"/>
        <w:rPr>
          <w:sz w:val="20"/>
          <w:szCs w:val="20"/>
          <w:color w:val="auto"/>
        </w:rPr>
      </w:pPr>
    </w:p>
    <w:p>
      <w:pPr>
        <w:ind w:left="760"/>
        <w:spacing w:after="0" w:line="252" w:lineRule="auto"/>
        <w:rPr>
          <w:sz w:val="20"/>
          <w:szCs w:val="20"/>
          <w:color w:val="auto"/>
        </w:rPr>
      </w:pPr>
      <w:r>
        <w:rPr>
          <w:rFonts w:ascii="Arial" w:cs="Arial" w:eastAsia="Arial" w:hAnsi="Arial"/>
          <w:sz w:val="18"/>
          <w:szCs w:val="18"/>
          <w:color w:val="auto"/>
        </w:rPr>
        <w:t>In connection with financing the Acquisition of KCG Holdings, Inc. on July 20, 2017, on April 20, 2017, the Company entered into investment agreements with each of NIH (as amended and restated on June 23, 2017, the “NIH Investment Agreement”) and Aranda Investments Pte. Ltd. (an affiliate of Temasek) (the “Temasek Investment Agreement”, and together with the NIH Investment Agreement, the “Investment Agreements”). Pursuant to the Investment Agreements, the Company issued Class A common stock to each of Aranda (the “Temasek Investment”) and NIH (the “NIH Investment”), each in private placement transactions exempt from the registration requirements of the Securities Act.</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NIH Investment Agreement provides NIH with certain board nomination rights determined based on</w:t>
      </w:r>
    </w:p>
    <w:p>
      <w:pPr>
        <w:spacing w:after="0" w:line="9" w:lineRule="exact"/>
        <w:rPr>
          <w:sz w:val="20"/>
          <w:szCs w:val="20"/>
          <w:color w:val="auto"/>
        </w:rPr>
      </w:pPr>
    </w:p>
    <w:p>
      <w:pPr>
        <w:ind w:left="760" w:right="60"/>
        <w:spacing w:after="0" w:line="251" w:lineRule="auto"/>
        <w:rPr>
          <w:sz w:val="20"/>
          <w:szCs w:val="20"/>
          <w:color w:val="auto"/>
        </w:rPr>
      </w:pPr>
      <w:r>
        <w:rPr>
          <w:rFonts w:ascii="Arial" w:cs="Arial" w:eastAsia="Arial" w:hAnsi="Arial"/>
          <w:sz w:val="18"/>
          <w:szCs w:val="18"/>
          <w:color w:val="auto"/>
        </w:rPr>
        <w:t>the percentage of the Company’s Class A common stock beneficially owned by NIH as of the closing of the NIH Investment. On July 20, 2017, pursuant to the NIH Investment Agreement, the Company’s Executive Chairman and Founder, Vincent J. Viola, resigned as Executive Chairman and was appointed as Chairman Emeritus, Robert Greifeld was appointed as the new Chairman and Glenn Hutchins was appointed as a member of the Company’s board of directors. Additionally, for so long as NIH beneficially owns at least 50% of its shares of the Company’s Class A common stock held as of the closing of the NIH Investment, NIH is entitled to nominate two directors to serve on the Company’s board of directors. When NIH beneficially owns less than 50% but at least 25% of its shares of the Company’s Class A common stock held as of the closing of the NIH Investment, NIH is entitled to nominate one director. In addition, for so long as NIH is entitled to nominate one director, NIH is entitled to certain pre-emptive rights with respect to issuances of the Company’s equity securities, subject to customary exceptions, based on the percentage of the Company’s Class A common stock owned by NIH at the time of such issuance.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NIH Investment Agreement also provides NIH with certain information rights determined based on</w:t>
      </w:r>
    </w:p>
    <w:p>
      <w:pPr>
        <w:spacing w:after="0" w:line="9" w:lineRule="exact"/>
        <w:rPr>
          <w:sz w:val="20"/>
          <w:szCs w:val="20"/>
          <w:color w:val="auto"/>
        </w:rPr>
      </w:pPr>
    </w:p>
    <w:p>
      <w:pPr>
        <w:ind w:left="760" w:right="380"/>
        <w:spacing w:after="0" w:line="261" w:lineRule="auto"/>
        <w:rPr>
          <w:sz w:val="20"/>
          <w:szCs w:val="20"/>
          <w:color w:val="auto"/>
        </w:rPr>
      </w:pPr>
      <w:r>
        <w:rPr>
          <w:rFonts w:ascii="Arial" w:cs="Arial" w:eastAsia="Arial" w:hAnsi="Arial"/>
          <w:sz w:val="18"/>
          <w:szCs w:val="18"/>
          <w:color w:val="auto"/>
        </w:rPr>
        <w:t>the percentage of the Company’s Class A common stock beneficially owned by NIH as of the closing of the NIH Investment.</w:t>
      </w:r>
    </w:p>
    <w:p>
      <w:pPr>
        <w:spacing w:after="0" w:line="90" w:lineRule="exact"/>
        <w:rPr>
          <w:sz w:val="20"/>
          <w:szCs w:val="20"/>
          <w:color w:val="auto"/>
        </w:rPr>
      </w:pPr>
    </w:p>
    <w:p>
      <w:pPr>
        <w:ind w:left="760" w:right="520"/>
        <w:spacing w:after="0" w:line="256" w:lineRule="auto"/>
        <w:rPr>
          <w:sz w:val="20"/>
          <w:szCs w:val="20"/>
          <w:color w:val="auto"/>
        </w:rPr>
      </w:pPr>
      <w:r>
        <w:rPr>
          <w:rFonts w:ascii="Arial" w:cs="Arial" w:eastAsia="Arial" w:hAnsi="Arial"/>
          <w:sz w:val="18"/>
          <w:szCs w:val="18"/>
          <w:color w:val="auto"/>
        </w:rPr>
        <w:t>The Temasek Investment Agreement provides that, among other things, Aranda is entitled to certain board nomination rights, for so long as Aranda and its affiliates beneficially own at least 25% of its shares of Class A common stock held as of the closing of the Temasek Investment.</w:t>
      </w:r>
    </w:p>
    <w:p>
      <w:pPr>
        <w:spacing w:after="0" w:line="28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754380" cy="24003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The summary of the NIH Investment Agreement is qualified in its entirety by the complete text of the NIH Investment Agreement, filed by the Company with the SEC on August 9, 2017, as an exhibit to the Company’s Quarterly Report on Form 10-Q for the quarterly period ended June 30, 2017. The summary of the Temasek Investment Agreement is qualified in its entirety by the complete text of the Temasek Investment Agreement, filed by the Company with the SEC on May 10, 2017, as an exhibit to the Company’s Quarterly Report on Form 10-Q for the quarterly period ended March 31, 2017.</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Stockholders Agreement</w:t>
      </w:r>
    </w:p>
    <w:p>
      <w:pPr>
        <w:spacing w:after="0" w:line="139" w:lineRule="exact"/>
        <w:rPr>
          <w:sz w:val="20"/>
          <w:szCs w:val="20"/>
          <w:color w:val="auto"/>
        </w:rPr>
      </w:pPr>
    </w:p>
    <w:p>
      <w:pPr>
        <w:ind w:left="760" w:right="1020"/>
        <w:spacing w:after="0" w:line="257" w:lineRule="auto"/>
        <w:rPr>
          <w:sz w:val="20"/>
          <w:szCs w:val="20"/>
          <w:color w:val="auto"/>
        </w:rPr>
      </w:pPr>
      <w:r>
        <w:rPr>
          <w:rFonts w:ascii="Arial" w:cs="Arial" w:eastAsia="Arial" w:hAnsi="Arial"/>
          <w:sz w:val="17"/>
          <w:szCs w:val="17"/>
          <w:color w:val="auto"/>
        </w:rPr>
        <w:t>In connection with entering into the Temasek Investment Agreement and NIH Investment Agreement, on April 20, 2017, the Company entered into a Stockholders Agreement (the “Stockholders Agreement”) with the Founder Member, Temasek, Havelock Fund Investments Pte Ltd. (an affiliate of Temasek) (“Havelock” and, together with Aranda, the “Temasek Entities”) and NIH. The Stockholders Agreement became effective on July 20, 2017.</w:t>
      </w:r>
    </w:p>
    <w:p>
      <w:pPr>
        <w:spacing w:after="0" w:line="81" w:lineRule="exact"/>
        <w:rPr>
          <w:sz w:val="20"/>
          <w:szCs w:val="20"/>
          <w:color w:val="auto"/>
        </w:rPr>
      </w:pPr>
    </w:p>
    <w:p>
      <w:pPr>
        <w:ind w:left="760" w:right="820"/>
        <w:spacing w:after="0" w:line="237" w:lineRule="auto"/>
        <w:rPr>
          <w:sz w:val="20"/>
          <w:szCs w:val="20"/>
          <w:color w:val="auto"/>
        </w:rPr>
      </w:pPr>
      <w:r>
        <w:rPr>
          <w:rFonts w:ascii="Arial" w:cs="Arial" w:eastAsia="Arial" w:hAnsi="Arial"/>
          <w:sz w:val="18"/>
          <w:szCs w:val="18"/>
          <w:color w:val="auto"/>
        </w:rPr>
        <w:t>Under the Stockholders Agreement, the Founder Member has agreed to take all necessary action, including voting all of its shares of capital stock of the Company or providing written consent to cause the election of the directors nominated by NIH pursuant to the NIH Investment Agreement and in accordance with the terms of the Stockholders Agreement. To the extent the Founder Member transfers any of its shares to an affiliated transferee, that transferee would also be bound by the terms of the Stockholders Agreement. The Founder Member’s obligations pursuant to NIH’s director nomination right will automatically terminate upon the termination of NIH’s right to appoint directors pursuant to the NIH Investment Agreement.</w:t>
      </w:r>
    </w:p>
    <w:p>
      <w:pPr>
        <w:spacing w:after="0" w:line="95" w:lineRule="exact"/>
        <w:rPr>
          <w:sz w:val="20"/>
          <w:szCs w:val="20"/>
          <w:color w:val="auto"/>
        </w:rPr>
      </w:pPr>
    </w:p>
    <w:p>
      <w:pPr>
        <w:ind w:left="760" w:right="780"/>
        <w:spacing w:after="0" w:line="238" w:lineRule="auto"/>
        <w:rPr>
          <w:sz w:val="20"/>
          <w:szCs w:val="20"/>
          <w:color w:val="auto"/>
        </w:rPr>
      </w:pPr>
      <w:r>
        <w:rPr>
          <w:rFonts w:ascii="Arial" w:cs="Arial" w:eastAsia="Arial" w:hAnsi="Arial"/>
          <w:sz w:val="18"/>
          <w:szCs w:val="18"/>
          <w:color w:val="auto"/>
        </w:rPr>
        <w:t>The Stockholders Agreement also grants the Temasek Entities and NIH with tag-along rights, subject to customary exceptions, in connection with a transfer of shares by the Founder Member that are subject to cutback provisions on a pro rata basis (in each case calculated based on a fully exchanged and converted to Class A common stock basis).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Amended and Restated Registration Rights Agreement</w:t>
      </w:r>
    </w:p>
    <w:p>
      <w:pPr>
        <w:spacing w:after="0" w:line="139"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On April 15, 2015, prior to the consummation of the Company’s initial public offering, the Company entered into a Registration Rights Agreement with the Founder Member, Havelock and certain direct or indirect or equity holders of the Company that granted the parties certain demand and registration rights. In connection with Temasek Investment and the NIH Investment, on April 20, 2017, the Company and the parties thereto executed the Amended and Restated Registration Rights Agreement (the “Amended and Restated Registration Rights Agreement”) to add NIH and Temasek as parties and provide them with similar registration rights as Havelock. The Amended and Restated Registration Rights Agreement became effective on July 20, 2017.</w:t>
      </w:r>
    </w:p>
    <w:p>
      <w:pPr>
        <w:spacing w:after="0" w:line="95" w:lineRule="exact"/>
        <w:rPr>
          <w:sz w:val="20"/>
          <w:szCs w:val="20"/>
          <w:color w:val="auto"/>
        </w:rPr>
      </w:pPr>
    </w:p>
    <w:p>
      <w:pPr>
        <w:ind w:left="760" w:right="800"/>
        <w:spacing w:after="0" w:line="236" w:lineRule="auto"/>
        <w:rPr>
          <w:sz w:val="20"/>
          <w:szCs w:val="20"/>
          <w:color w:val="auto"/>
        </w:rPr>
      </w:pPr>
      <w:r>
        <w:rPr>
          <w:rFonts w:ascii="Arial" w:cs="Arial" w:eastAsia="Arial" w:hAnsi="Arial"/>
          <w:sz w:val="18"/>
          <w:szCs w:val="18"/>
          <w:color w:val="auto"/>
        </w:rPr>
        <w:t>Subject to several exceptions, including certain specified underwriter cutbacks and the Company’s right to defer a demand registration under certain circumstances, the Founder Member, the Temasek Entities and NIH may require that the Company register for public resale under the Securities Act all common stock of the Company constituting registrable securities that they request be registered at any time so long as the securities requested to be registered in each registration statement have an aggregate estimated market value of least $50 million. Under the Amended and Restated Registration Rights Agreement, the Company is not obligated to effectuate more than seven demand registrations for the Founder Member, more than four demand registrations for NIH or more than three demand registrations for the Temasek Entities. The Founder Member, the Temasek Entities and NIH also have the right to require the Company to register the sale of the registrable securities held by them on Form S-3, subject to offering size and other restrictions. In addition, the Company is required to file a shelf registration statement for the registrable securities, and cause such shelf registration statement to become effective within one year after the earlier of the closing of the Temasek Investment and the NIH Investment.</w:t>
      </w:r>
    </w:p>
    <w:p>
      <w:pPr>
        <w:spacing w:after="0" w:line="96" w:lineRule="exact"/>
        <w:rPr>
          <w:sz w:val="20"/>
          <w:szCs w:val="20"/>
          <w:color w:val="auto"/>
        </w:rPr>
      </w:pPr>
    </w:p>
    <w:p>
      <w:pPr>
        <w:ind w:left="760" w:right="880"/>
        <w:spacing w:after="0" w:line="237" w:lineRule="auto"/>
        <w:rPr>
          <w:sz w:val="20"/>
          <w:szCs w:val="20"/>
          <w:color w:val="auto"/>
        </w:rPr>
      </w:pPr>
      <w:r>
        <w:rPr>
          <w:rFonts w:ascii="Arial" w:cs="Arial" w:eastAsia="Arial" w:hAnsi="Arial"/>
          <w:sz w:val="18"/>
          <w:szCs w:val="18"/>
          <w:color w:val="auto"/>
        </w:rPr>
        <w:t>If the Founder Member, the Temasek Entities or NIH make a request for registration, the non-requesting parties to the Amended and Restated Registration Rights Agreement are entitled to piggyback registration rights in connection with the request. If such request is for an underwritten offering, the piggyback registration rights are subject to underwriter cutback provisions. In addition, the parties to the Amended and Restated Registration Rights Agreement are entitled to piggyback registration rights with respect to any registration initiated by the Company or another stockholder, and if any such registration is in the form of an underwritten offering, such piggyback registration rights are subject to underwriter cutback provisions.</w:t>
      </w:r>
    </w:p>
    <w:p>
      <w:pPr>
        <w:spacing w:after="0" w:line="95" w:lineRule="exact"/>
        <w:rPr>
          <w:sz w:val="20"/>
          <w:szCs w:val="20"/>
          <w:color w:val="auto"/>
        </w:rPr>
      </w:pPr>
    </w:p>
    <w:p>
      <w:pPr>
        <w:ind w:left="760" w:right="1060"/>
        <w:spacing w:after="0" w:line="274" w:lineRule="auto"/>
        <w:rPr>
          <w:sz w:val="20"/>
          <w:szCs w:val="20"/>
          <w:color w:val="auto"/>
        </w:rPr>
      </w:pPr>
      <w:r>
        <w:rPr>
          <w:rFonts w:ascii="Arial" w:cs="Arial" w:eastAsia="Arial" w:hAnsi="Arial"/>
          <w:sz w:val="17"/>
          <w:szCs w:val="17"/>
          <w:color w:val="auto"/>
        </w:rPr>
        <w:t>Pursuant to the Amended and Restated Registration Rights Agreement, NIH will have no registration rights until after the first anniversary of the closing of the NIH Investment and during such period NIH shall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53</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CERTAIN RELATIONSHIPS AND RELATED PARTY TRANSACTIONS</w:t>
      </w:r>
    </w:p>
    <w:p>
      <w:pPr>
        <w:spacing w:after="0" w:line="212" w:lineRule="exact"/>
        <w:rPr>
          <w:sz w:val="20"/>
          <w:szCs w:val="20"/>
          <w:color w:val="auto"/>
        </w:rPr>
      </w:pPr>
    </w:p>
    <w:p>
      <w:pPr>
        <w:jc w:val="both"/>
        <w:ind w:left="760" w:right="340"/>
        <w:spacing w:after="0" w:line="245" w:lineRule="auto"/>
        <w:rPr>
          <w:sz w:val="20"/>
          <w:szCs w:val="20"/>
          <w:color w:val="auto"/>
        </w:rPr>
      </w:pPr>
      <w:r>
        <w:rPr>
          <w:rFonts w:ascii="Arial" w:cs="Arial" w:eastAsia="Arial" w:hAnsi="Arial"/>
          <w:sz w:val="17"/>
          <w:szCs w:val="17"/>
          <w:color w:val="auto"/>
        </w:rPr>
        <w:t>an Excluded Party (as defined in the Amended and Restated Registration Rights Agreement) in connection with certain cutback provisions (unless the Founder Member exercises its registration rights under the Amended and Restated Registration Rights Agreement, in which case NIH will have the right to exercise its registration rights).</w:t>
      </w:r>
    </w:p>
    <w:p>
      <w:pPr>
        <w:spacing w:after="0" w:line="76" w:lineRule="exact"/>
        <w:rPr>
          <w:sz w:val="20"/>
          <w:szCs w:val="20"/>
          <w:color w:val="auto"/>
        </w:rPr>
      </w:pPr>
    </w:p>
    <w:p>
      <w:pPr>
        <w:ind w:left="760" w:right="40"/>
        <w:spacing w:after="0" w:line="227" w:lineRule="auto"/>
        <w:rPr>
          <w:sz w:val="20"/>
          <w:szCs w:val="20"/>
          <w:color w:val="auto"/>
        </w:rPr>
      </w:pPr>
      <w:r>
        <w:rPr>
          <w:rFonts w:ascii="Arial" w:cs="Arial" w:eastAsia="Arial" w:hAnsi="Arial"/>
          <w:sz w:val="18"/>
          <w:szCs w:val="18"/>
          <w:color w:val="auto"/>
        </w:rPr>
        <w:t>In connection with the registrations described above, the Company is required to indemnify any selling stockholders and the Company will bear all fees, costs and expenses (except underwriting commissions and discounts and fees and expenses of the selling stockholders and their internal and similar costs (other than the fees and expense of a single law firm representing the selling stockholders)).</w:t>
      </w:r>
    </w:p>
    <w:p>
      <w:pPr>
        <w:spacing w:after="0" w:line="81" w:lineRule="exact"/>
        <w:rPr>
          <w:sz w:val="20"/>
          <w:szCs w:val="20"/>
          <w:color w:val="auto"/>
        </w:rPr>
      </w:pPr>
    </w:p>
    <w:p>
      <w:pPr>
        <w:ind w:left="760" w:right="40"/>
        <w:spacing w:after="0" w:line="224" w:lineRule="auto"/>
        <w:rPr>
          <w:sz w:val="20"/>
          <w:szCs w:val="20"/>
          <w:color w:val="auto"/>
        </w:rPr>
      </w:pPr>
      <w:r>
        <w:rPr>
          <w:rFonts w:ascii="Arial" w:cs="Arial" w:eastAsia="Arial" w:hAnsi="Arial"/>
          <w:sz w:val="18"/>
          <w:szCs w:val="18"/>
          <w:color w:val="auto"/>
        </w:rPr>
        <w:t>In connection with the May 2018 public offering by the Company and certain selling stockholders of 17,250,000 shares of Class A common stock as described in a Prospectus dated May 8, 2018, as supplemented by a Prospectus Supplement dated May 10, 2018 (filed with the SEC on May 11, 2018), the Company, the Founder Member, NIH, Havelock and Aranda entered into that certain Amendment No. 1 to the Amended and Restated Registration Rights Agreement to, among other things, add Mr. Vincent Viola and Mr. Michael Viola as parties to the Amended and Restated Registration Rights Agreement.</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Secondary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53" w:lineRule="exact"/>
        <w:rPr>
          <w:sz w:val="20"/>
          <w:szCs w:val="20"/>
          <w:color w:val="auto"/>
        </w:rPr>
      </w:pPr>
    </w:p>
    <w:p>
      <w:pPr>
        <w:ind w:left="760" w:right="20"/>
        <w:spacing w:after="0" w:line="224" w:lineRule="auto"/>
        <w:rPr>
          <w:sz w:val="20"/>
          <w:szCs w:val="20"/>
          <w:color w:val="auto"/>
        </w:rPr>
      </w:pPr>
      <w:r>
        <w:rPr>
          <w:rFonts w:ascii="Arial" w:cs="Arial" w:eastAsia="Arial" w:hAnsi="Arial"/>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the Founder Member pursuant to that certain Member Purchase Agreement, entered into on May 14, 2019 by and between the Company and the Founder Member. The terms of the May 2019 Secondary Offering are described in a Prospectus Supplement dated May 14, 2019 (filed with the SEC on May 16, 2019).</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Loan Agreement and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20, 2020, Virtu Americas LLC (the “Borrower”), an indirect subsidiary of the Company, entered into a</w:t>
      </w:r>
    </w:p>
    <w:p>
      <w:pPr>
        <w:ind w:left="760"/>
        <w:spacing w:after="0" w:line="234" w:lineRule="auto"/>
        <w:rPr>
          <w:sz w:val="20"/>
          <w:szCs w:val="20"/>
          <w:color w:val="auto"/>
        </w:rPr>
      </w:pPr>
      <w:r>
        <w:rPr>
          <w:rFonts w:ascii="Arial" w:cs="Arial" w:eastAsia="Arial" w:hAnsi="Arial"/>
          <w:sz w:val="18"/>
          <w:szCs w:val="18"/>
          <w:color w:val="auto"/>
        </w:rPr>
        <w:t>Loan Agreement (the “Loan Agreement”) with the Founder Member (as the “Lender”), as lender and administrative</w:t>
      </w:r>
    </w:p>
    <w:p>
      <w:pPr>
        <w:ind w:left="760"/>
        <w:spacing w:after="0" w:line="235" w:lineRule="auto"/>
        <w:rPr>
          <w:sz w:val="20"/>
          <w:szCs w:val="20"/>
          <w:color w:val="auto"/>
        </w:rPr>
      </w:pPr>
      <w:r>
        <w:rPr>
          <w:rFonts w:ascii="Arial" w:cs="Arial" w:eastAsia="Arial" w:hAnsi="Arial"/>
          <w:sz w:val="18"/>
          <w:szCs w:val="18"/>
          <w:color w:val="auto"/>
        </w:rPr>
        <w:t>agent, providing for unsecured term loans from time to time (the “Loans”) in an aggregate original principal amount</w:t>
      </w:r>
    </w:p>
    <w:p>
      <w:pPr>
        <w:ind w:left="760"/>
        <w:spacing w:after="0" w:line="235" w:lineRule="auto"/>
        <w:rPr>
          <w:sz w:val="20"/>
          <w:szCs w:val="20"/>
          <w:color w:val="auto"/>
        </w:rPr>
      </w:pPr>
      <w:r>
        <w:rPr>
          <w:rFonts w:ascii="Arial" w:cs="Arial" w:eastAsia="Arial" w:hAnsi="Arial"/>
          <w:sz w:val="18"/>
          <w:szCs w:val="18"/>
          <w:color w:val="auto"/>
        </w:rPr>
        <w:t>not to exceed $300 million. The Loans were available to be borrowed in one or more borrowings on or after</w:t>
      </w:r>
    </w:p>
    <w:p>
      <w:pPr>
        <w:ind w:left="760"/>
        <w:spacing w:after="0" w:line="235" w:lineRule="auto"/>
        <w:rPr>
          <w:sz w:val="20"/>
          <w:szCs w:val="20"/>
          <w:color w:val="auto"/>
        </w:rPr>
      </w:pPr>
      <w:r>
        <w:rPr>
          <w:rFonts w:ascii="Arial" w:cs="Arial" w:eastAsia="Arial" w:hAnsi="Arial"/>
          <w:sz w:val="18"/>
          <w:szCs w:val="18"/>
          <w:color w:val="auto"/>
        </w:rPr>
        <w:t>March 20, 2020 and prior to September 20, 2020 solely to finance the purchase and settlement of securities and to</w:t>
      </w:r>
    </w:p>
    <w:p>
      <w:pPr>
        <w:ind w:left="760"/>
        <w:spacing w:after="0" w:line="235" w:lineRule="auto"/>
        <w:rPr>
          <w:sz w:val="20"/>
          <w:szCs w:val="20"/>
          <w:color w:val="auto"/>
        </w:rPr>
      </w:pPr>
      <w:r>
        <w:rPr>
          <w:rFonts w:ascii="Arial" w:cs="Arial" w:eastAsia="Arial" w:hAnsi="Arial"/>
          <w:sz w:val="18"/>
          <w:szCs w:val="18"/>
          <w:color w:val="auto"/>
        </w:rPr>
        <w:t>fund margin deposits with the National Securities Clearing Corporation and Options Clearing Corporation. Upon the</w:t>
      </w:r>
    </w:p>
    <w:p>
      <w:pPr>
        <w:ind w:left="760"/>
        <w:spacing w:after="0" w:line="234" w:lineRule="auto"/>
        <w:rPr>
          <w:sz w:val="20"/>
          <w:szCs w:val="20"/>
          <w:color w:val="auto"/>
        </w:rPr>
      </w:pPr>
      <w:r>
        <w:rPr>
          <w:rFonts w:ascii="Arial" w:cs="Arial" w:eastAsia="Arial" w:hAnsi="Arial"/>
          <w:sz w:val="18"/>
          <w:szCs w:val="18"/>
          <w:color w:val="auto"/>
        </w:rPr>
        <w:t>execution of and in consideration for the Lender’s commitments under the Loan Agreement, the Borrower delivered</w:t>
      </w:r>
    </w:p>
    <w:p>
      <w:pPr>
        <w:ind w:left="760"/>
        <w:spacing w:after="0" w:line="235" w:lineRule="auto"/>
        <w:rPr>
          <w:sz w:val="20"/>
          <w:szCs w:val="20"/>
          <w:color w:val="auto"/>
        </w:rPr>
      </w:pPr>
      <w:r>
        <w:rPr>
          <w:rFonts w:ascii="Arial" w:cs="Arial" w:eastAsia="Arial" w:hAnsi="Arial"/>
          <w:sz w:val="18"/>
          <w:szCs w:val="18"/>
          <w:color w:val="auto"/>
        </w:rPr>
        <w:t>to the Lender a warrant (the “Warrant”) to purchase shares of Class A common stock. Pursuant to the Warrant, the</w:t>
      </w:r>
    </w:p>
    <w:p>
      <w:pPr>
        <w:ind w:left="760"/>
        <w:spacing w:after="0" w:line="235" w:lineRule="auto"/>
        <w:rPr>
          <w:sz w:val="20"/>
          <w:szCs w:val="20"/>
          <w:color w:val="auto"/>
        </w:rPr>
      </w:pPr>
      <w:r>
        <w:rPr>
          <w:rFonts w:ascii="Arial" w:cs="Arial" w:eastAsia="Arial" w:hAnsi="Arial"/>
          <w:sz w:val="18"/>
          <w:szCs w:val="18"/>
          <w:color w:val="auto"/>
        </w:rPr>
        <w:t>Lender may purchase up to 3,000,000 shares of Class A common stock, which number of shares would have been</w:t>
      </w:r>
    </w:p>
    <w:p>
      <w:pPr>
        <w:ind w:left="760"/>
        <w:spacing w:after="0" w:line="235" w:lineRule="auto"/>
        <w:rPr>
          <w:sz w:val="20"/>
          <w:szCs w:val="20"/>
          <w:color w:val="auto"/>
        </w:rPr>
      </w:pPr>
      <w:r>
        <w:rPr>
          <w:rFonts w:ascii="Arial" w:cs="Arial" w:eastAsia="Arial" w:hAnsi="Arial"/>
          <w:sz w:val="18"/>
          <w:szCs w:val="18"/>
          <w:color w:val="auto"/>
        </w:rPr>
        <w:t>increased to 10,000,000 if, at any time during the term of the Loan Agreement, Loans equal to or greater than</w:t>
      </w:r>
    </w:p>
    <w:p>
      <w:pPr>
        <w:ind w:left="760"/>
        <w:spacing w:after="0" w:line="235" w:lineRule="auto"/>
        <w:rPr>
          <w:sz w:val="20"/>
          <w:szCs w:val="20"/>
          <w:color w:val="auto"/>
        </w:rPr>
      </w:pPr>
      <w:r>
        <w:rPr>
          <w:rFonts w:ascii="Arial" w:cs="Arial" w:eastAsia="Arial" w:hAnsi="Arial"/>
          <w:sz w:val="18"/>
          <w:szCs w:val="18"/>
          <w:color w:val="auto"/>
        </w:rPr>
        <w:t>$100 million had been drawn and remained outstanding for a certain period of time specified in the Warrant.</w:t>
      </w:r>
    </w:p>
    <w:p>
      <w:pPr>
        <w:ind w:left="760"/>
        <w:spacing w:after="0" w:line="234" w:lineRule="auto"/>
        <w:rPr>
          <w:sz w:val="20"/>
          <w:szCs w:val="20"/>
          <w:color w:val="auto"/>
        </w:rPr>
      </w:pPr>
      <w:r>
        <w:rPr>
          <w:rFonts w:ascii="Arial" w:cs="Arial" w:eastAsia="Arial" w:hAnsi="Arial"/>
          <w:sz w:val="18"/>
          <w:szCs w:val="18"/>
          <w:color w:val="auto"/>
        </w:rPr>
        <w:t>However, no Loans were drawn under the Loan Agreement and therefore the number of shares available to be</w:t>
      </w:r>
    </w:p>
    <w:p>
      <w:pPr>
        <w:ind w:left="760"/>
        <w:spacing w:after="0" w:line="235" w:lineRule="auto"/>
        <w:rPr>
          <w:sz w:val="20"/>
          <w:szCs w:val="20"/>
          <w:color w:val="auto"/>
        </w:rPr>
      </w:pPr>
      <w:r>
        <w:rPr>
          <w:rFonts w:ascii="Arial" w:cs="Arial" w:eastAsia="Arial" w:hAnsi="Arial"/>
          <w:sz w:val="18"/>
          <w:szCs w:val="18"/>
          <w:color w:val="auto"/>
        </w:rPr>
        <w:t>purchased by the Lender under the Warrant was not increased. The exercise price per share of the Class A</w:t>
      </w:r>
    </w:p>
    <w:p>
      <w:pPr>
        <w:ind w:left="760"/>
        <w:spacing w:after="0" w:line="235" w:lineRule="auto"/>
        <w:rPr>
          <w:sz w:val="20"/>
          <w:szCs w:val="20"/>
          <w:color w:val="auto"/>
        </w:rPr>
      </w:pPr>
      <w:r>
        <w:rPr>
          <w:rFonts w:ascii="Arial" w:cs="Arial" w:eastAsia="Arial" w:hAnsi="Arial"/>
          <w:sz w:val="18"/>
          <w:szCs w:val="18"/>
          <w:color w:val="auto"/>
        </w:rPr>
        <w:t>common stock issuable pursuant to the Warrant is $22.98, the average of the volume weighted average prices of</w:t>
      </w:r>
    </w:p>
    <w:p>
      <w:pPr>
        <w:ind w:left="760"/>
        <w:spacing w:after="0" w:line="235" w:lineRule="auto"/>
        <w:rPr>
          <w:sz w:val="20"/>
          <w:szCs w:val="20"/>
          <w:color w:val="auto"/>
        </w:rPr>
      </w:pPr>
      <w:r>
        <w:rPr>
          <w:rFonts w:ascii="Arial" w:cs="Arial" w:eastAsia="Arial" w:hAnsi="Arial"/>
          <w:sz w:val="18"/>
          <w:szCs w:val="18"/>
          <w:color w:val="auto"/>
        </w:rPr>
        <w:t>the Class A common stock for the ten (10) trading days following the date on which the Company publicly</w:t>
      </w:r>
    </w:p>
    <w:p>
      <w:pPr>
        <w:ind w:left="760"/>
        <w:spacing w:after="0" w:line="235" w:lineRule="auto"/>
        <w:rPr>
          <w:sz w:val="20"/>
          <w:szCs w:val="20"/>
          <w:color w:val="auto"/>
        </w:rPr>
      </w:pPr>
      <w:r>
        <w:rPr>
          <w:rFonts w:ascii="Arial" w:cs="Arial" w:eastAsia="Arial" w:hAnsi="Arial"/>
          <w:sz w:val="18"/>
          <w:szCs w:val="18"/>
          <w:color w:val="auto"/>
        </w:rPr>
        <w:t>announced its earnings results for the first quarter of 2020. The Warrant became exercisable on May 22, 2020 and</w:t>
      </w:r>
    </w:p>
    <w:p>
      <w:pPr>
        <w:ind w:left="760"/>
        <w:spacing w:after="0"/>
        <w:rPr>
          <w:sz w:val="20"/>
          <w:szCs w:val="20"/>
          <w:color w:val="auto"/>
        </w:rPr>
      </w:pPr>
      <w:r>
        <w:rPr>
          <w:rFonts w:ascii="Arial" w:cs="Arial" w:eastAsia="Arial" w:hAnsi="Arial"/>
          <w:sz w:val="17"/>
          <w:szCs w:val="17"/>
          <w:color w:val="auto"/>
        </w:rPr>
        <w:t>may be exercised up to and including January 15, 2022. The Warrant and Class A common stock issuable pursuant</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the Warrant were offered, and will be issued and sold, in reliance on the exemption from the registration</w:t>
      </w:r>
    </w:p>
    <w:p>
      <w:pPr>
        <w:ind w:left="760"/>
        <w:spacing w:after="0" w:line="234" w:lineRule="auto"/>
        <w:rPr>
          <w:sz w:val="20"/>
          <w:szCs w:val="20"/>
          <w:color w:val="auto"/>
        </w:rPr>
      </w:pPr>
      <w:r>
        <w:rPr>
          <w:rFonts w:ascii="Arial" w:cs="Arial" w:eastAsia="Arial" w:hAnsi="Arial"/>
          <w:sz w:val="18"/>
          <w:szCs w:val="18"/>
          <w:color w:val="auto"/>
        </w:rPr>
        <w:t>requirements of the Securities Act of 1933, as amended (the “Securities Act”), set forth under Section 4(a)(2) of the</w:t>
      </w:r>
    </w:p>
    <w:p>
      <w:pPr>
        <w:ind w:left="760"/>
        <w:spacing w:after="0" w:line="235" w:lineRule="auto"/>
        <w:rPr>
          <w:sz w:val="20"/>
          <w:szCs w:val="20"/>
          <w:color w:val="auto"/>
        </w:rPr>
      </w:pPr>
      <w:r>
        <w:rPr>
          <w:rFonts w:ascii="Arial" w:cs="Arial" w:eastAsia="Arial" w:hAnsi="Arial"/>
          <w:sz w:val="18"/>
          <w:szCs w:val="18"/>
          <w:color w:val="auto"/>
        </w:rPr>
        <w:t>Securities Act relating to sales by an issuer not involving any public offering. The interest rate for the Loans, had</w:t>
      </w:r>
    </w:p>
    <w:p>
      <w:pPr>
        <w:ind w:left="760"/>
        <w:spacing w:after="0" w:line="235" w:lineRule="auto"/>
        <w:rPr>
          <w:sz w:val="20"/>
          <w:szCs w:val="20"/>
          <w:color w:val="auto"/>
        </w:rPr>
      </w:pPr>
      <w:r>
        <w:rPr>
          <w:rFonts w:ascii="Arial" w:cs="Arial" w:eastAsia="Arial" w:hAnsi="Arial"/>
          <w:sz w:val="18"/>
          <w:szCs w:val="18"/>
          <w:color w:val="auto"/>
        </w:rPr>
        <w:t>they been drawn, was 8.0% per annum, and the Loans would have matured and become due on September 20,</w:t>
      </w:r>
    </w:p>
    <w:p>
      <w:pPr>
        <w:ind w:left="760"/>
        <w:spacing w:after="0" w:line="235" w:lineRule="auto"/>
        <w:rPr>
          <w:sz w:val="20"/>
          <w:szCs w:val="20"/>
          <w:color w:val="auto"/>
        </w:rPr>
      </w:pPr>
      <w:r>
        <w:rPr>
          <w:rFonts w:ascii="Arial" w:cs="Arial" w:eastAsia="Arial" w:hAnsi="Arial"/>
          <w:sz w:val="18"/>
          <w:szCs w:val="18"/>
          <w:color w:val="auto"/>
        </w:rPr>
        <w:t>2020. If an event of default had occurred and continued, the Lender could have increased the interest rate 2.0%</w:t>
      </w:r>
    </w:p>
    <w:p>
      <w:pPr>
        <w:ind w:left="760"/>
        <w:spacing w:after="0" w:line="235" w:lineRule="auto"/>
        <w:rPr>
          <w:sz w:val="20"/>
          <w:szCs w:val="20"/>
          <w:color w:val="auto"/>
        </w:rPr>
      </w:pPr>
      <w:r>
        <w:rPr>
          <w:rFonts w:ascii="Arial" w:cs="Arial" w:eastAsia="Arial" w:hAnsi="Arial"/>
          <w:sz w:val="18"/>
          <w:szCs w:val="18"/>
          <w:color w:val="auto"/>
        </w:rPr>
        <w:t>above what would otherwise be applicable on overdue amounts, and declare all Loans immediately due and</w:t>
      </w:r>
    </w:p>
    <w:p>
      <w:pPr>
        <w:ind w:left="760"/>
        <w:spacing w:after="0" w:line="234" w:lineRule="auto"/>
        <w:rPr>
          <w:sz w:val="20"/>
          <w:szCs w:val="20"/>
          <w:color w:val="auto"/>
        </w:rPr>
      </w:pPr>
      <w:r>
        <w:rPr>
          <w:rFonts w:ascii="Arial" w:cs="Arial" w:eastAsia="Arial" w:hAnsi="Arial"/>
          <w:sz w:val="18"/>
          <w:szCs w:val="18"/>
          <w:color w:val="auto"/>
        </w:rPr>
        <w:t>payable. The Borrower could have prepaid the Loans in whole or in part at any time without penalty. The Loan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Agreement contained certain customary representations and warranties, covenants and events of default applicable</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the Borrower.</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62230</wp:posOffset>
            </wp:positionV>
            <wp:extent cx="58293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The Company purchases network connections services from affiliates of Level 3 Communications (“Level 3”). Temasek has a significant ownership interest in Level 3. For the year ended December 31, 2020, the Company paid $1.5 million to Level 3 for these services.</w:t>
      </w:r>
    </w:p>
    <w:p>
      <w:pPr>
        <w:spacing w:after="0" w:line="273"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754380" cy="24003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CERTAIN RELATIONSHIPS AND RELATED PARTY TRANSACTIONS</w:t>
      </w:r>
    </w:p>
    <w:p>
      <w:pPr>
        <w:spacing w:after="0" w:line="225" w:lineRule="exact"/>
        <w:rPr>
          <w:sz w:val="20"/>
          <w:szCs w:val="20"/>
          <w:color w:val="auto"/>
        </w:rPr>
      </w:pPr>
    </w:p>
    <w:p>
      <w:pPr>
        <w:ind w:left="760" w:right="820"/>
        <w:spacing w:after="0" w:line="254" w:lineRule="auto"/>
        <w:rPr>
          <w:sz w:val="20"/>
          <w:szCs w:val="20"/>
          <w:color w:val="auto"/>
        </w:rPr>
      </w:pPr>
      <w:r>
        <w:rPr>
          <w:rFonts w:ascii="Arial" w:cs="Arial" w:eastAsia="Arial" w:hAnsi="Arial"/>
          <w:sz w:val="18"/>
          <w:szCs w:val="18"/>
          <w:color w:val="auto"/>
        </w:rPr>
        <w:t>Subsequent to the Company’s acquisition of Investment Technology Group, Inc., the Company makes commission-sharing arrangement (“CSA”) payments to affiliates of DBS Group Holdings (“DBS”). Temasek and its affiliates have a significant ownership interest in DBS. The Company made payments of $0.2 million to DBS for the year ended December 31, 2020.</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provides brokerage and related services to FMR LLC (“FMR”). As noted in footnote 6 to the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beneficial ownership table on page 69 of this proxy statement, according to the Schedule 13G/A filed by FMR 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February 5, 2021, FMR may have been deemed to have shared voting and dispositive power over more than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five percent of the Company’s issued and outstanding Class A common shares. For the year ended December 31,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2020, the Company received $7.1 million from FMR for these services.</w:t>
      </w:r>
    </w:p>
    <w:p>
      <w:pPr>
        <w:spacing w:after="0" w:line="117" w:lineRule="exact"/>
        <w:rPr>
          <w:sz w:val="20"/>
          <w:szCs w:val="20"/>
          <w:color w:val="auto"/>
        </w:rPr>
      </w:pPr>
    </w:p>
    <w:p>
      <w:pPr>
        <w:ind w:left="760" w:right="860"/>
        <w:spacing w:after="0" w:line="253" w:lineRule="auto"/>
        <w:rPr>
          <w:sz w:val="20"/>
          <w:szCs w:val="20"/>
          <w:color w:val="auto"/>
        </w:rPr>
      </w:pPr>
      <w:r>
        <w:rPr>
          <w:rFonts w:ascii="Arial" w:cs="Arial" w:eastAsia="Arial" w:hAnsi="Arial"/>
          <w:sz w:val="18"/>
          <w:szCs w:val="18"/>
          <w:color w:val="auto"/>
        </w:rPr>
        <w:t>The Company provides brokerage and related services to The Vanguard Group, Inc. (“Vanguard”). As noted in footnote 7 to the beneficial ownership table on page 69 of this proxy statement, according to the Schedule 13G/A filed by Vanguard on January 8, 2021, Vanguard may have been deemed to have shared voting and dispositive power over more than five percent of the Company’s issued and outstanding Class A common shares. For the year ended December 31, 2020, the Company received $2.6 million from Vanguard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5582920</wp:posOffset>
            </wp:positionV>
            <wp:extent cx="754380" cy="2400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55</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Delinquent Section 16(a) Reports</w:t>
      </w:r>
    </w:p>
    <w:p>
      <w:pPr>
        <w:spacing w:after="0" w:line="112" w:lineRule="exact"/>
        <w:rPr>
          <w:sz w:val="20"/>
          <w:szCs w:val="20"/>
          <w:color w:val="auto"/>
        </w:rPr>
      </w:pPr>
    </w:p>
    <w:p>
      <w:pPr>
        <w:ind w:left="760" w:right="40"/>
        <w:spacing w:after="0" w:line="265" w:lineRule="auto"/>
        <w:rPr>
          <w:sz w:val="20"/>
          <w:szCs w:val="20"/>
          <w:color w:val="auto"/>
        </w:rPr>
      </w:pPr>
      <w:r>
        <w:rPr>
          <w:rFonts w:ascii="Arial" w:cs="Arial" w:eastAsia="Arial" w:hAnsi="Arial"/>
          <w:sz w:val="17"/>
          <w:szCs w:val="17"/>
          <w:color w:val="auto"/>
        </w:rPr>
        <w:t>Section 16(a) of the Exchange Act requires our directors, executive officers and persons who own more than 10% of a registered class of the Company’s equity securities (collectively, the “Reporting Persons”),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year 2020, except that</w:t>
      </w:r>
    </w:p>
    <w:p>
      <w:pPr>
        <w:spacing w:after="0" w:line="1" w:lineRule="exact"/>
        <w:rPr>
          <w:sz w:val="20"/>
          <w:szCs w:val="20"/>
          <w:color w:val="auto"/>
        </w:rPr>
      </w:pPr>
    </w:p>
    <w:p>
      <w:pPr>
        <w:ind w:left="760" w:right="320" w:firstLine="2"/>
        <w:spacing w:after="0" w:line="261" w:lineRule="auto"/>
        <w:tabs>
          <w:tab w:leader="none" w:pos="9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Form 4 of Virtu Employee Holdco reporting the disposition of 336,581 shares of Class C common stock and corresponding Virtu Financial Units was filed late on April 2, 2021 due to administrative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754380" cy="24003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Additional Information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List of Stockholders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880"/>
        <w:spacing w:after="0" w:line="236" w:lineRule="auto"/>
        <w:rPr>
          <w:sz w:val="20"/>
          <w:szCs w:val="20"/>
          <w:color w:val="auto"/>
        </w:rPr>
      </w:pPr>
      <w:r>
        <w:rPr>
          <w:rFonts w:ascii="Arial" w:cs="Arial" w:eastAsia="Arial" w:hAnsi="Arial"/>
          <w:sz w:val="18"/>
          <w:szCs w:val="18"/>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One Liberty Plaza, 165 Broadway, New York, New York 10006. If, as a result of the coronavirus pandemic, our offices are not generally open during the ten days prior to the Annual Meeting, stockholders of record may request a list of stockholders of record as of the Record Date for any purpose germane to the Annual Meeting by contacting us by mail sent to the attention of the Secretary of the Company at our principal executive offices located at One Liberty Plaza, 165 Broadway, New York, New York 10006, or by calling us at (212) 418-0100. A list of stockholders of record will be available for inspection during the Annual Meeting through the meeting website.</w:t>
      </w:r>
    </w:p>
    <w:p>
      <w:pPr>
        <w:spacing w:after="0" w:line="86" w:lineRule="exact"/>
        <w:rPr>
          <w:sz w:val="20"/>
          <w:szCs w:val="20"/>
          <w:color w:val="auto"/>
        </w:rPr>
      </w:pPr>
    </w:p>
    <w:p>
      <w:pPr>
        <w:ind w:left="760" w:right="1820"/>
        <w:spacing w:after="0" w:line="258" w:lineRule="auto"/>
        <w:rPr>
          <w:sz w:val="20"/>
          <w:szCs w:val="20"/>
          <w:color w:val="auto"/>
        </w:rPr>
      </w:pPr>
      <w:r>
        <w:rPr>
          <w:rFonts w:ascii="Arial" w:cs="Arial" w:eastAsia="Arial" w:hAnsi="Arial"/>
          <w:sz w:val="29"/>
          <w:szCs w:val="29"/>
          <w:b w:val="1"/>
          <w:bCs w:val="1"/>
          <w:color w:val="002554"/>
        </w:rPr>
        <w:t>Submission of Stockholder Proposals at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15875</wp:posOffset>
            </wp:positionV>
            <wp:extent cx="58293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7" w:lineRule="exact"/>
        <w:rPr>
          <w:sz w:val="20"/>
          <w:szCs w:val="20"/>
          <w:color w:val="auto"/>
        </w:rPr>
      </w:pPr>
    </w:p>
    <w:p>
      <w:pPr>
        <w:ind w:left="760" w:right="860"/>
        <w:spacing w:after="0" w:line="238" w:lineRule="auto"/>
        <w:rPr>
          <w:sz w:val="20"/>
          <w:szCs w:val="20"/>
          <w:color w:val="auto"/>
        </w:rPr>
      </w:pPr>
      <w:r>
        <w:rPr>
          <w:rFonts w:ascii="Arial" w:cs="Arial" w:eastAsia="Arial" w:hAnsi="Arial"/>
          <w:sz w:val="18"/>
          <w:szCs w:val="18"/>
          <w:color w:val="auto"/>
        </w:rPr>
        <w:t>To be considered for inclusion in next year’s proxy statement and form of proxy, stockholder proposals for the 2022 Annual Meeting of Stockholders must be received at our principal executive offices no later than December 25, 2021, unless the date of the 2022 Annual Meeting of Stockholders is more than 30 days before or after June 3, 2022, in which case the stockholder proposal must be received a reasonable time before we begin to print and mail our proxy materials.</w:t>
      </w:r>
    </w:p>
    <w:p>
      <w:pPr>
        <w:spacing w:after="0" w:line="94" w:lineRule="exact"/>
        <w:rPr>
          <w:sz w:val="20"/>
          <w:szCs w:val="20"/>
          <w:color w:val="auto"/>
        </w:rPr>
      </w:pPr>
    </w:p>
    <w:p>
      <w:pPr>
        <w:ind w:left="760" w:right="780"/>
        <w:spacing w:after="0" w:line="251" w:lineRule="auto"/>
        <w:rPr>
          <w:sz w:val="20"/>
          <w:szCs w:val="20"/>
          <w:color w:val="auto"/>
        </w:rPr>
      </w:pPr>
      <w:r>
        <w:rPr>
          <w:rFonts w:ascii="Arial" w:cs="Arial" w:eastAsia="Arial" w:hAnsi="Arial"/>
          <w:sz w:val="17"/>
          <w:szCs w:val="17"/>
          <w:color w:val="auto"/>
        </w:rPr>
        <w:t>For any stockholder proposal or director nomination that is not submitted for inclusion in next year’s proxy statement pursuant to the process set forth above, but is instead sought to be presented directly at the 2022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3, 2022 and March 5, 2022 for the 2022 Annual Meeting of Stockholders. In the event that the 2022 Annual Meeting of Stockholders is convened more than 30 days prior to or delayed by more than 60 days after June 3, 2022, notice by the stockholder, to be timely, must be received no earlier than the 120th day prior to the 2022 Annual Meeting of Stockholders and no later than the later of (1) the 90th day prior to the 2022 Annual Meeting of stockholders and (2) the tenth day following the day on which we notify stockholders of the date of the 2022 Annual Meeting of Stockholders, either by mail or other public disclosure.</w:t>
      </w:r>
    </w:p>
    <w:p>
      <w:pPr>
        <w:spacing w:after="0" w:line="85" w:lineRule="exact"/>
        <w:rPr>
          <w:sz w:val="20"/>
          <w:szCs w:val="20"/>
          <w:color w:val="auto"/>
        </w:rPr>
      </w:pPr>
    </w:p>
    <w:p>
      <w:pPr>
        <w:jc w:val="both"/>
        <w:ind w:left="760" w:right="820"/>
        <w:spacing w:after="0" w:line="246" w:lineRule="auto"/>
        <w:rPr>
          <w:sz w:val="20"/>
          <w:szCs w:val="20"/>
          <w:color w:val="auto"/>
        </w:rPr>
      </w:pPr>
      <w:r>
        <w:rPr>
          <w:rFonts w:ascii="Arial" w:cs="Arial" w:eastAsia="Arial" w:hAnsi="Arial"/>
          <w:sz w:val="18"/>
          <w:szCs w:val="18"/>
          <w:color w:val="auto"/>
        </w:rPr>
        <w:t>All stockholder proposals should be sent to our principal executive offices at Virtu Financial, Inc., One Liberty Plaza, 165 Broadway, New York, New York 10006, Attn: Secretary.</w:t>
      </w:r>
    </w:p>
    <w:p>
      <w:pPr>
        <w:spacing w:after="0" w:line="89" w:lineRule="exact"/>
        <w:rPr>
          <w:sz w:val="20"/>
          <w:szCs w:val="20"/>
          <w:color w:val="auto"/>
        </w:rPr>
      </w:pPr>
    </w:p>
    <w:p>
      <w:pPr>
        <w:jc w:val="both"/>
        <w:ind w:left="760" w:right="800"/>
        <w:spacing w:after="0"/>
        <w:rPr>
          <w:sz w:val="20"/>
          <w:szCs w:val="20"/>
          <w:color w:val="auto"/>
        </w:rPr>
      </w:pPr>
      <w:r>
        <w:rPr>
          <w:rFonts w:ascii="Arial" w:cs="Arial" w:eastAsia="Arial" w:hAnsi="Arial"/>
          <w:sz w:val="18"/>
          <w:szCs w:val="18"/>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Consideration of Stockholder-Recommended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80" w:lineRule="exact"/>
        <w:rPr>
          <w:sz w:val="20"/>
          <w:szCs w:val="20"/>
          <w:color w:val="auto"/>
        </w:rPr>
      </w:pPr>
    </w:p>
    <w:p>
      <w:pPr>
        <w:ind w:left="760" w:right="860"/>
        <w:spacing w:after="0" w:line="238" w:lineRule="auto"/>
        <w:rPr>
          <w:sz w:val="20"/>
          <w:szCs w:val="20"/>
          <w:color w:val="auto"/>
        </w:rPr>
      </w:pPr>
      <w:r>
        <w:rPr>
          <w:rFonts w:ascii="Arial" w:cs="Arial" w:eastAsia="Arial" w:hAnsi="Arial"/>
          <w:sz w:val="18"/>
          <w:szCs w:val="18"/>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One Liberty Plaza, 165 Broadway, New York, New York 10006, Attn: Secretary.</w:t>
      </w:r>
    </w:p>
    <w:p>
      <w:pPr>
        <w:spacing w:after="0" w:line="97" w:lineRule="exact"/>
        <w:rPr>
          <w:sz w:val="20"/>
          <w:szCs w:val="20"/>
          <w:color w:val="auto"/>
        </w:rPr>
      </w:pPr>
    </w:p>
    <w:p>
      <w:pPr>
        <w:ind w:left="760" w:right="820"/>
        <w:spacing w:after="0" w:line="238" w:lineRule="auto"/>
        <w:rPr>
          <w:sz w:val="20"/>
          <w:szCs w:val="20"/>
          <w:color w:val="auto"/>
        </w:rPr>
      </w:pPr>
      <w:r>
        <w:rPr>
          <w:rFonts w:ascii="Arial" w:cs="Arial" w:eastAsia="Arial" w:hAnsi="Arial"/>
          <w:sz w:val="18"/>
          <w:szCs w:val="18"/>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197485</wp:posOffset>
            </wp:positionV>
            <wp:extent cx="754380"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57</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left="760" w:right="60"/>
        <w:spacing w:after="0" w:line="256" w:lineRule="auto"/>
        <w:rPr>
          <w:sz w:val="20"/>
          <w:szCs w:val="20"/>
          <w:color w:val="auto"/>
        </w:rPr>
      </w:pPr>
      <w:r>
        <w:rPr>
          <w:rFonts w:ascii="Arial" w:cs="Arial" w:eastAsia="Arial" w:hAnsi="Arial"/>
          <w:sz w:val="18"/>
          <w:szCs w:val="18"/>
          <w:color w:val="auto"/>
        </w:rPr>
        <w:t>the Nominating and Corporate Governance Committee. In the event of any stockholder recommendations, the Nominating and Corporate Governance Committee will evaluate the persons recommended in the same manner as other candidates.</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002554"/>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71120</wp:posOffset>
            </wp:positionV>
            <wp:extent cx="58293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80" w:lineRule="exact"/>
        <w:rPr>
          <w:sz w:val="20"/>
          <w:szCs w:val="20"/>
          <w:color w:val="auto"/>
        </w:rPr>
      </w:pPr>
    </w:p>
    <w:p>
      <w:pPr>
        <w:ind w:left="760" w:right="20"/>
        <w:spacing w:after="0" w:line="256" w:lineRule="auto"/>
        <w:rPr>
          <w:sz w:val="20"/>
          <w:szCs w:val="20"/>
          <w:color w:val="auto"/>
        </w:rPr>
      </w:pPr>
      <w:r>
        <w:rPr>
          <w:rFonts w:ascii="Arial" w:cs="Arial" w:eastAsia="Arial" w:hAnsi="Arial"/>
          <w:sz w:val="18"/>
          <w:szCs w:val="18"/>
          <w:color w:val="auto"/>
        </w:rPr>
        <w:t>Any stockholder or other interested party may contact our board of directors as a group, our non-employee directors as a group, or any individual director by sending written correspondence to the following address: Virtu Financial, Inc., One Liberty Plaza, 165 Broadway, New York, New York 10006, Attn: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754380" cy="24003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54"/>
          <w:szCs w:val="54"/>
          <w:color w:val="002554"/>
        </w:rPr>
        <w:t>General Information</w:t>
      </w:r>
    </w:p>
    <w:p>
      <w:pPr>
        <w:spacing w:after="0" w:line="112" w:lineRule="exact"/>
        <w:rPr>
          <w:sz w:val="20"/>
          <w:szCs w:val="20"/>
          <w:color w:val="auto"/>
        </w:rPr>
      </w:pPr>
    </w:p>
    <w:p>
      <w:pPr>
        <w:ind w:left="760" w:right="800"/>
        <w:spacing w:after="0" w:line="237" w:lineRule="auto"/>
        <w:rPr>
          <w:sz w:val="20"/>
          <w:szCs w:val="20"/>
          <w:color w:val="auto"/>
        </w:rPr>
      </w:pPr>
      <w:r>
        <w:rPr>
          <w:rFonts w:ascii="Arial" w:cs="Arial" w:eastAsia="Arial" w:hAnsi="Arial"/>
          <w:sz w:val="18"/>
          <w:szCs w:val="18"/>
          <w:color w:val="auto"/>
        </w:rPr>
        <w:t>We are making this proxy statement available to our stockholders on or about April 23, 2021 in connection with the solicitation of proxies by our board of directors for the Annual Meeting, which will be held on Thursday, June 3, 2021 at 9:00 a.m. (Eastern Time) via webcast through the provided link. As a stockholder of Virtu, you are invited to attend the Virtual Annual Meeting and are entitled and encouraged to vote on the proposals described in this proxy statement. Below are answers to common questions stockholders may have about the Annual Meeting. Our fiscal year ends on December 31.</w:t>
      </w:r>
    </w:p>
    <w:p>
      <w:pPr>
        <w:spacing w:after="0" w:line="97" w:lineRule="exact"/>
        <w:rPr>
          <w:sz w:val="20"/>
          <w:szCs w:val="20"/>
          <w:color w:val="auto"/>
        </w:rPr>
      </w:pPr>
    </w:p>
    <w:p>
      <w:pPr>
        <w:jc w:val="both"/>
        <w:ind w:left="760" w:right="1160"/>
        <w:spacing w:after="0" w:line="238" w:lineRule="auto"/>
        <w:rPr>
          <w:sz w:val="20"/>
          <w:szCs w:val="20"/>
          <w:color w:val="auto"/>
        </w:rPr>
      </w:pPr>
      <w:r>
        <w:rPr>
          <w:rFonts w:ascii="Arial" w:cs="Arial" w:eastAsia="Arial" w:hAnsi="Arial"/>
          <w:sz w:val="18"/>
          <w:szCs w:val="18"/>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97" w:lineRule="exact"/>
        <w:rPr>
          <w:sz w:val="20"/>
          <w:szCs w:val="20"/>
          <w:color w:val="auto"/>
        </w:rPr>
      </w:pPr>
    </w:p>
    <w:p>
      <w:pPr>
        <w:ind w:left="760" w:right="780"/>
        <w:spacing w:after="0" w:line="237" w:lineRule="auto"/>
        <w:rPr>
          <w:sz w:val="20"/>
          <w:szCs w:val="20"/>
          <w:color w:val="auto"/>
        </w:rPr>
      </w:pPr>
      <w:r>
        <w:rPr>
          <w:rFonts w:ascii="Arial" w:cs="Arial" w:eastAsia="Arial" w:hAnsi="Arial"/>
          <w:sz w:val="18"/>
          <w:szCs w:val="18"/>
          <w:color w:val="auto"/>
        </w:rPr>
        <w:t>The Founder Member, an affiliate of Mr. Vincent Viola, our founder and Chairman Emeritus, and other members of the Viola family, holds all of our issued and outstanding Class D common stock and controls approximately 82%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information is included in this proxy statement?</w:t>
      </w:r>
    </w:p>
    <w:p>
      <w:pPr>
        <w:spacing w:after="0" w:line="139" w:lineRule="exact"/>
        <w:rPr>
          <w:sz w:val="20"/>
          <w:szCs w:val="20"/>
          <w:color w:val="auto"/>
        </w:rPr>
      </w:pPr>
    </w:p>
    <w:p>
      <w:pPr>
        <w:ind w:left="760" w:right="920"/>
        <w:spacing w:after="0"/>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our board of directors and board committees, the compensation of current directors and certain executive officers for the year ended December 31, 2020, and other information.</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are the Proxy Materials?</w:t>
      </w:r>
    </w:p>
    <w:p>
      <w:pPr>
        <w:spacing w:after="0" w:line="139" w:lineRule="exact"/>
        <w:rPr>
          <w:sz w:val="20"/>
          <w:szCs w:val="20"/>
          <w:color w:val="auto"/>
        </w:rPr>
      </w:pPr>
    </w:p>
    <w:p>
      <w:pPr>
        <w:ind w:left="760" w:right="820"/>
        <w:spacing w:after="0" w:line="246" w:lineRule="auto"/>
        <w:rPr>
          <w:sz w:val="20"/>
          <w:szCs w:val="20"/>
          <w:color w:val="auto"/>
        </w:rPr>
      </w:pPr>
      <w:r>
        <w:rPr>
          <w:rFonts w:ascii="Arial" w:cs="Arial" w:eastAsia="Arial" w:hAnsi="Arial"/>
          <w:sz w:val="18"/>
          <w:szCs w:val="18"/>
          <w:color w:val="auto"/>
        </w:rPr>
        <w:t>The “Proxy Materials” are this proxy statement and our annual report to stockholders, which includes the Form 10-K for the fiscal year ended December 31, 2020.</w:t>
      </w:r>
    </w:p>
    <w:p>
      <w:pPr>
        <w:spacing w:after="0" w:line="67" w:lineRule="exact"/>
        <w:rPr>
          <w:sz w:val="20"/>
          <w:szCs w:val="20"/>
          <w:color w:val="auto"/>
        </w:rPr>
      </w:pPr>
    </w:p>
    <w:p>
      <w:pPr>
        <w:ind w:left="760" w:right="1160"/>
        <w:spacing w:after="0" w:line="271" w:lineRule="auto"/>
        <w:rPr>
          <w:sz w:val="20"/>
          <w:szCs w:val="20"/>
          <w:color w:val="auto"/>
        </w:rPr>
      </w:pPr>
      <w:r>
        <w:rPr>
          <w:rFonts w:ascii="Arial" w:cs="Arial" w:eastAsia="Arial" w:hAnsi="Arial"/>
          <w:sz w:val="18"/>
          <w:szCs w:val="18"/>
          <w:b w:val="1"/>
          <w:bCs w:val="1"/>
          <w:i w:val="1"/>
          <w:iCs w:val="1"/>
          <w:color w:val="00C389"/>
        </w:rPr>
        <w:t>Why did I receive a one-page notice in the mail regarding the Internet availability of the Proxy Materials instead of a full set of the Proxy Materials?</w:t>
      </w:r>
    </w:p>
    <w:p>
      <w:pPr>
        <w:spacing w:after="0" w:line="68" w:lineRule="exact"/>
        <w:rPr>
          <w:sz w:val="20"/>
          <w:szCs w:val="20"/>
          <w:color w:val="auto"/>
        </w:rPr>
      </w:pPr>
    </w:p>
    <w:p>
      <w:pPr>
        <w:ind w:left="760" w:right="840"/>
        <w:spacing w:after="0" w:line="237"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73" w:lineRule="exact"/>
        <w:rPr>
          <w:sz w:val="20"/>
          <w:szCs w:val="20"/>
          <w:color w:val="auto"/>
        </w:rPr>
      </w:pPr>
    </w:p>
    <w:p>
      <w:pPr>
        <w:ind w:left="760" w:right="980"/>
        <w:spacing w:after="0" w:line="271" w:lineRule="auto"/>
        <w:rPr>
          <w:sz w:val="20"/>
          <w:szCs w:val="20"/>
          <w:color w:val="auto"/>
        </w:rPr>
      </w:pPr>
      <w:r>
        <w:rPr>
          <w:rFonts w:ascii="Arial" w:cs="Arial" w:eastAsia="Arial" w:hAnsi="Arial"/>
          <w:sz w:val="18"/>
          <w:szCs w:val="18"/>
          <w:b w:val="1"/>
          <w:bCs w:val="1"/>
          <w:i w:val="1"/>
          <w:iCs w:val="1"/>
          <w:color w:val="00C389"/>
        </w:rPr>
        <w:t>What items will be voted on at the Annual Meeting and how does the board of directors recommend that I vote?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three proposals to be voted on at the Annual Meeting:</w:t>
      </w:r>
    </w:p>
    <w:p>
      <w:pPr>
        <w:spacing w:after="0" w:line="117" w:lineRule="exact"/>
        <w:rPr>
          <w:sz w:val="20"/>
          <w:szCs w:val="20"/>
          <w:color w:val="auto"/>
        </w:rPr>
      </w:pPr>
    </w:p>
    <w:p>
      <w:pPr>
        <w:ind w:left="1200" w:right="820" w:hanging="222"/>
        <w:spacing w:after="0" w:line="256"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elect four directors to our board of directors, each to serve as a Class III director for a term of three years expiring at the annual meeting of stockholders to be held in 2024 and until such director’s successor has been duly elected and qualified;</w:t>
      </w:r>
    </w:p>
    <w:p>
      <w:pPr>
        <w:spacing w:after="0" w:line="80" w:lineRule="exact"/>
        <w:rPr>
          <w:rFonts w:ascii="Arial" w:cs="Arial" w:eastAsia="Arial" w:hAnsi="Arial"/>
          <w:sz w:val="18"/>
          <w:szCs w:val="18"/>
          <w:color w:val="auto"/>
        </w:rPr>
      </w:pPr>
    </w:p>
    <w:p>
      <w:pPr>
        <w:ind w:left="1200" w:right="1380" w:hanging="222"/>
        <w:spacing w:after="0" w:line="261"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accompanying proxy statement;</w:t>
      </w:r>
    </w:p>
    <w:p>
      <w:pPr>
        <w:spacing w:after="0" w:line="89" w:lineRule="exact"/>
        <w:rPr>
          <w:rFonts w:ascii="Arial" w:cs="Arial" w:eastAsia="Arial" w:hAnsi="Arial"/>
          <w:sz w:val="18"/>
          <w:szCs w:val="18"/>
          <w:color w:val="auto"/>
        </w:rPr>
      </w:pPr>
    </w:p>
    <w:p>
      <w:pPr>
        <w:ind w:left="1200" w:right="1120" w:hanging="222"/>
        <w:spacing w:after="0" w:line="261"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2021.</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recommends that you vote FOR each of the three proposals.</w:t>
      </w:r>
    </w:p>
    <w:p>
      <w:pPr>
        <w:spacing w:after="0" w:line="117" w:lineRule="exact"/>
        <w:rPr>
          <w:sz w:val="20"/>
          <w:szCs w:val="20"/>
          <w:color w:val="auto"/>
        </w:rPr>
      </w:pPr>
    </w:p>
    <w:p>
      <w:pPr>
        <w:ind w:left="760" w:right="820"/>
        <w:spacing w:after="0" w:line="261" w:lineRule="auto"/>
        <w:rPr>
          <w:sz w:val="20"/>
          <w:szCs w:val="20"/>
          <w:color w:val="auto"/>
        </w:rPr>
      </w:pPr>
      <w:r>
        <w:rPr>
          <w:rFonts w:ascii="Arial" w:cs="Arial" w:eastAsia="Arial" w:hAnsi="Arial"/>
          <w:sz w:val="17"/>
          <w:szCs w:val="17"/>
          <w:color w:val="auto"/>
        </w:rPr>
        <w:t>Our amended and restated bylaws (our “bylaws”)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187325</wp:posOffset>
            </wp:positionV>
            <wp:extent cx="75438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59</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come before the Annual Meeting. If any other matter comes before the Annual Meeting, the proxy holders appointed by our board of directors will have discretion to vote on those matters.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 may vote at the meeting?</w:t>
      </w:r>
    </w:p>
    <w:p>
      <w:pPr>
        <w:spacing w:after="0" w:line="139" w:lineRule="exact"/>
        <w:rPr>
          <w:sz w:val="20"/>
          <w:szCs w:val="20"/>
          <w:color w:val="auto"/>
        </w:rPr>
      </w:pPr>
    </w:p>
    <w:p>
      <w:pPr>
        <w:ind w:left="760" w:right="180"/>
        <w:spacing w:after="0" w:line="261" w:lineRule="auto"/>
        <w:rPr>
          <w:sz w:val="20"/>
          <w:szCs w:val="20"/>
          <w:color w:val="auto"/>
        </w:rPr>
      </w:pPr>
      <w:r>
        <w:rPr>
          <w:rFonts w:ascii="Arial" w:cs="Arial" w:eastAsia="Arial" w:hAnsi="Arial"/>
          <w:sz w:val="18"/>
          <w:szCs w:val="18"/>
          <w:color w:val="auto"/>
        </w:rPr>
        <w:t>Holders of Class A common stock, Class C common stock and Class D common stock, together as a single class, as of the close of business on April 7, 2021, the Record Date, may vote at the Annual Meeting.</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many votes do I have?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the Record Date, there were:</w:t>
      </w:r>
    </w:p>
    <w:p>
      <w:pPr>
        <w:spacing w:after="0" w:line="131" w:lineRule="exact"/>
        <w:rPr>
          <w:sz w:val="20"/>
          <w:szCs w:val="20"/>
          <w:color w:val="auto"/>
        </w:rPr>
      </w:pPr>
    </w:p>
    <w:p>
      <w:pPr>
        <w:ind w:left="1340" w:hanging="218"/>
        <w:spacing w:after="0"/>
        <w:tabs>
          <w:tab w:leader="none" w:pos="1340" w:val="left"/>
        </w:tabs>
        <w:numPr>
          <w:ilvl w:val="0"/>
          <w:numId w:val="29"/>
        </w:numPr>
        <w:rPr>
          <w:rFonts w:ascii="Arial" w:cs="Arial" w:eastAsia="Arial" w:hAnsi="Arial"/>
          <w:sz w:val="18"/>
          <w:szCs w:val="18"/>
          <w:color w:val="002554"/>
        </w:rPr>
      </w:pPr>
      <w:r>
        <w:rPr>
          <w:rFonts w:ascii="Arial" w:cs="Arial" w:eastAsia="Arial" w:hAnsi="Arial"/>
          <w:sz w:val="18"/>
          <w:szCs w:val="18"/>
          <w:color w:val="auto"/>
        </w:rPr>
        <w:t>120,661,513 shares of Class A common stock outstanding;</w:t>
      </w:r>
    </w:p>
    <w:p>
      <w:pPr>
        <w:spacing w:after="0" w:line="117" w:lineRule="exact"/>
        <w:rPr>
          <w:rFonts w:ascii="Arial" w:cs="Arial" w:eastAsia="Arial" w:hAnsi="Arial"/>
          <w:sz w:val="18"/>
          <w:szCs w:val="18"/>
          <w:color w:val="002554"/>
        </w:rPr>
      </w:pPr>
    </w:p>
    <w:p>
      <w:pPr>
        <w:ind w:left="1340" w:hanging="218"/>
        <w:spacing w:after="0"/>
        <w:tabs>
          <w:tab w:leader="none" w:pos="1340" w:val="left"/>
        </w:tabs>
        <w:numPr>
          <w:ilvl w:val="0"/>
          <w:numId w:val="29"/>
        </w:numPr>
        <w:rPr>
          <w:rFonts w:ascii="Arial" w:cs="Arial" w:eastAsia="Arial" w:hAnsi="Arial"/>
          <w:sz w:val="18"/>
          <w:szCs w:val="18"/>
          <w:color w:val="002554"/>
        </w:rPr>
      </w:pPr>
      <w:r>
        <w:rPr>
          <w:rFonts w:ascii="Arial" w:cs="Arial" w:eastAsia="Arial" w:hAnsi="Arial"/>
          <w:sz w:val="18"/>
          <w:szCs w:val="18"/>
          <w:color w:val="auto"/>
        </w:rPr>
        <w:t>10,135,182 shares of Class C common stock outstanding; and</w:t>
      </w:r>
    </w:p>
    <w:p>
      <w:pPr>
        <w:spacing w:after="0" w:line="130" w:lineRule="exact"/>
        <w:rPr>
          <w:rFonts w:ascii="Arial" w:cs="Arial" w:eastAsia="Arial" w:hAnsi="Arial"/>
          <w:sz w:val="18"/>
          <w:szCs w:val="18"/>
          <w:color w:val="002554"/>
        </w:rPr>
      </w:pPr>
    </w:p>
    <w:p>
      <w:pPr>
        <w:ind w:left="760" w:right="4020" w:firstLine="362"/>
        <w:spacing w:after="0" w:line="397" w:lineRule="auto"/>
        <w:tabs>
          <w:tab w:leader="none" w:pos="1336" w:val="left"/>
        </w:tabs>
        <w:numPr>
          <w:ilvl w:val="0"/>
          <w:numId w:val="29"/>
        </w:numPr>
        <w:rPr>
          <w:rFonts w:ascii="Arial" w:cs="Arial" w:eastAsia="Arial" w:hAnsi="Arial"/>
          <w:sz w:val="17"/>
          <w:szCs w:val="17"/>
          <w:color w:val="002554"/>
        </w:rPr>
      </w:pPr>
      <w:r>
        <w:rPr>
          <w:rFonts w:ascii="Arial" w:cs="Arial" w:eastAsia="Arial" w:hAnsi="Arial"/>
          <w:sz w:val="17"/>
          <w:szCs w:val="17"/>
          <w:color w:val="auto"/>
        </w:rPr>
        <w:t>60,091,740 shares of Class D common stock outstanding. There are no shares of Class B common stock outstanding.</w:t>
      </w:r>
    </w:p>
    <w:p>
      <w:pPr>
        <w:spacing w:after="0" w:line="1" w:lineRule="exact"/>
        <w:rPr>
          <w:sz w:val="20"/>
          <w:szCs w:val="20"/>
          <w:color w:val="auto"/>
        </w:rPr>
      </w:pPr>
    </w:p>
    <w:p>
      <w:pPr>
        <w:ind w:left="760" w:right="20"/>
        <w:spacing w:after="0" w:line="254" w:lineRule="auto"/>
        <w:rPr>
          <w:sz w:val="20"/>
          <w:szCs w:val="20"/>
          <w:color w:val="auto"/>
        </w:rPr>
      </w:pPr>
      <w:r>
        <w:rPr>
          <w:rFonts w:ascii="Arial" w:cs="Arial" w:eastAsia="Arial" w:hAnsi="Arial"/>
          <w:sz w:val="18"/>
          <w:szCs w:val="18"/>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vote is required for each proposal?</w:t>
      </w:r>
    </w:p>
    <w:p>
      <w:pPr>
        <w:spacing w:after="0" w:line="139" w:lineRule="exact"/>
        <w:rPr>
          <w:sz w:val="20"/>
          <w:szCs w:val="20"/>
          <w:color w:val="auto"/>
        </w:rPr>
      </w:pPr>
    </w:p>
    <w:p>
      <w:pPr>
        <w:ind w:left="760" w:right="120"/>
        <w:spacing w:after="0" w:line="256" w:lineRule="auto"/>
        <w:rPr>
          <w:sz w:val="20"/>
          <w:szCs w:val="20"/>
          <w:color w:val="auto"/>
        </w:rPr>
      </w:pPr>
      <w:r>
        <w:rPr>
          <w:rFonts w:ascii="Arial" w:cs="Arial" w:eastAsia="Arial" w:hAnsi="Arial"/>
          <w:sz w:val="18"/>
          <w:szCs w:val="18"/>
          <w:color w:val="auto"/>
        </w:rPr>
        <w:t>For the election of directors, each director must be elected by a plurality of the votes cast. This means that the four nominees receiving the largest number of “FOR” votes will be elected as directors. We do not have cumulative voting.</w:t>
      </w:r>
    </w:p>
    <w:p>
      <w:pPr>
        <w:spacing w:after="0" w:line="94" w:lineRule="exact"/>
        <w:rPr>
          <w:sz w:val="20"/>
          <w:szCs w:val="20"/>
          <w:color w:val="auto"/>
        </w:rPr>
      </w:pPr>
    </w:p>
    <w:p>
      <w:pPr>
        <w:ind w:left="760" w:right="100"/>
        <w:spacing w:after="0" w:line="254" w:lineRule="auto"/>
        <w:rPr>
          <w:sz w:val="20"/>
          <w:szCs w:val="20"/>
          <w:color w:val="auto"/>
        </w:rPr>
      </w:pPr>
      <w:r>
        <w:rPr>
          <w:rFonts w:ascii="Arial" w:cs="Arial" w:eastAsia="Arial" w:hAnsi="Arial"/>
          <w:sz w:val="18"/>
          <w:szCs w:val="18"/>
          <w:color w:val="auto"/>
        </w:rPr>
        <w:t>The approval, on an advisory basis, of the compensation of our named executive officers, the ratification of the appointment of the Company’s independent registered public accounting firm for the fiscal year ending December 31, 2021, and any other proposals that may come before the Annual Meeting will be determined by the affirmative vote of a majority in voting power of shares of stock present or represented by proxy and entitled to vote thereon.</w:t>
      </w:r>
    </w:p>
    <w:p>
      <w:pPr>
        <w:spacing w:after="0" w:line="312" w:lineRule="exact"/>
        <w:rPr>
          <w:sz w:val="20"/>
          <w:szCs w:val="20"/>
          <w:color w:val="auto"/>
        </w:rPr>
      </w:pPr>
    </w:p>
    <w:p>
      <w:pPr>
        <w:jc w:val="both"/>
        <w:ind w:left="760" w:right="60"/>
        <w:spacing w:after="0" w:line="278" w:lineRule="auto"/>
        <w:rPr>
          <w:sz w:val="20"/>
          <w:szCs w:val="20"/>
          <w:color w:val="auto"/>
        </w:rPr>
      </w:pPr>
      <w:r>
        <w:rPr>
          <w:rFonts w:ascii="Arial" w:cs="Arial" w:eastAsia="Arial" w:hAnsi="Arial"/>
          <w:sz w:val="17"/>
          <w:szCs w:val="17"/>
          <w:color w:val="auto"/>
        </w:rPr>
        <w:t>The Founder Member controls approximately 85% of the combined voting power of our outstanding common stock and, as a result, controls any action requiring the general approval of our stockholders, including the election of our board of directors. The Founder Member has informed us that it intends to vote “FOR” the four nominated directors.</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are abstentions and broker non-votes counted?</w:t>
      </w:r>
    </w:p>
    <w:p>
      <w:pPr>
        <w:spacing w:after="0" w:line="139" w:lineRule="exact"/>
        <w:rPr>
          <w:sz w:val="20"/>
          <w:szCs w:val="20"/>
          <w:color w:val="auto"/>
        </w:rPr>
      </w:pPr>
    </w:p>
    <w:p>
      <w:pPr>
        <w:jc w:val="both"/>
        <w:ind w:left="760" w:right="240"/>
        <w:spacing w:after="0" w:line="256" w:lineRule="auto"/>
        <w:rPr>
          <w:sz w:val="20"/>
          <w:szCs w:val="20"/>
          <w:color w:val="auto"/>
        </w:rPr>
      </w:pPr>
      <w:r>
        <w:rPr>
          <w:rFonts w:ascii="Arial" w:cs="Arial" w:eastAsia="Arial" w:hAnsi="Arial"/>
          <w:sz w:val="18"/>
          <w:szCs w:val="18"/>
          <w:color w:val="auto"/>
        </w:rPr>
        <w:t>Abstentions (shares present at the meeting or by proxy that are voted “abstain”) and broker non-votes (explained below) are counted for the purpose of establishing the presence of a quorum but are not counted as votes cast in respect of the proposals to be voted on at the Annual Meeting.</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constitutes a “quorum”?</w:t>
      </w:r>
    </w:p>
    <w:p>
      <w:pPr>
        <w:spacing w:after="0" w:line="139" w:lineRule="exact"/>
        <w:rPr>
          <w:sz w:val="20"/>
          <w:szCs w:val="20"/>
          <w:color w:val="auto"/>
        </w:rPr>
      </w:pPr>
    </w:p>
    <w:p>
      <w:pPr>
        <w:ind w:left="760" w:right="40"/>
        <w:spacing w:after="0" w:line="256" w:lineRule="auto"/>
        <w:rPr>
          <w:sz w:val="20"/>
          <w:szCs w:val="20"/>
          <w:color w:val="auto"/>
        </w:rPr>
      </w:pPr>
      <w:r>
        <w:rPr>
          <w:rFonts w:ascii="Arial" w:cs="Arial" w:eastAsia="Arial" w:hAnsi="Arial"/>
          <w:sz w:val="18"/>
          <w:szCs w:val="18"/>
          <w:color w:val="auto"/>
        </w:rPr>
        <w:t>The holders of a majority of the voting power of the combined shares of Class A common stock, Class B common stock, Class C common stock and Class D common stock issued, outstanding and entitled to vote, either present or represented by proxy, constitute a quorum.</w:t>
      </w:r>
    </w:p>
    <w:p>
      <w:pPr>
        <w:spacing w:after="0" w:line="72" w:lineRule="exact"/>
        <w:rPr>
          <w:sz w:val="20"/>
          <w:szCs w:val="20"/>
          <w:color w:val="auto"/>
        </w:rPr>
      </w:pPr>
    </w:p>
    <w:p>
      <w:pPr>
        <w:ind w:left="760" w:right="500"/>
        <w:spacing w:after="0" w:line="287" w:lineRule="auto"/>
        <w:rPr>
          <w:sz w:val="20"/>
          <w:szCs w:val="20"/>
          <w:color w:val="auto"/>
        </w:rPr>
      </w:pPr>
      <w:r>
        <w:rPr>
          <w:rFonts w:ascii="Arial" w:cs="Arial" w:eastAsia="Arial" w:hAnsi="Arial"/>
          <w:sz w:val="18"/>
          <w:szCs w:val="18"/>
          <w:b w:val="1"/>
          <w:bCs w:val="1"/>
          <w:i w:val="1"/>
          <w:iCs w:val="1"/>
          <w:color w:val="00C389"/>
        </w:rPr>
        <w:t>What is the difference between a stockholder of record and a beneficial owner of shares held in street name?</w:t>
      </w:r>
    </w:p>
    <w:p>
      <w:pPr>
        <w:spacing w:after="0" w:line="49" w:lineRule="exact"/>
        <w:rPr>
          <w:sz w:val="20"/>
          <w:szCs w:val="20"/>
          <w:color w:val="auto"/>
        </w:rPr>
      </w:pPr>
    </w:p>
    <w:p>
      <w:pPr>
        <w:ind w:left="1340" w:right="100" w:hanging="218"/>
        <w:spacing w:after="0" w:line="282" w:lineRule="auto"/>
        <w:tabs>
          <w:tab w:leader="none" w:pos="1340" w:val="left"/>
        </w:tabs>
        <w:numPr>
          <w:ilvl w:val="0"/>
          <w:numId w:val="30"/>
        </w:numPr>
        <w:rPr>
          <w:rFonts w:ascii="Arial" w:cs="Arial" w:eastAsia="Arial" w:hAnsi="Arial"/>
          <w:sz w:val="18"/>
          <w:szCs w:val="18"/>
          <w:color w:val="002554"/>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Transfer &amp; Trust Company, LLC, you are a stockholder of record.</w:t>
      </w:r>
    </w:p>
    <w:p>
      <w:pPr>
        <w:spacing w:after="0" w:line="53" w:lineRule="exact"/>
        <w:rPr>
          <w:rFonts w:ascii="Arial" w:cs="Arial" w:eastAsia="Arial" w:hAnsi="Arial"/>
          <w:sz w:val="18"/>
          <w:szCs w:val="18"/>
          <w:color w:val="002554"/>
        </w:rPr>
      </w:pPr>
    </w:p>
    <w:p>
      <w:pPr>
        <w:ind w:left="1340" w:right="60" w:hanging="218"/>
        <w:spacing w:after="0" w:line="258" w:lineRule="auto"/>
        <w:tabs>
          <w:tab w:leader="none" w:pos="1340" w:val="left"/>
        </w:tabs>
        <w:numPr>
          <w:ilvl w:val="0"/>
          <w:numId w:val="30"/>
        </w:numPr>
        <w:rPr>
          <w:rFonts w:ascii="Arial" w:cs="Arial" w:eastAsia="Arial" w:hAnsi="Arial"/>
          <w:sz w:val="18"/>
          <w:szCs w:val="18"/>
          <w:color w:val="002554"/>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broker-dealer or other similar organization, then 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286"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754380" cy="24003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339090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do I vote?</w:t>
      </w:r>
    </w:p>
    <w:p>
      <w:pPr>
        <w:spacing w:after="0" w:line="121" w:lineRule="exact"/>
        <w:rPr>
          <w:sz w:val="20"/>
          <w:szCs w:val="20"/>
          <w:color w:val="auto"/>
        </w:rPr>
      </w:pPr>
    </w:p>
    <w:p>
      <w:pPr>
        <w:ind w:left="1340" w:right="820" w:hanging="218"/>
        <w:spacing w:after="0" w:line="256" w:lineRule="auto"/>
        <w:tabs>
          <w:tab w:leader="none" w:pos="1340" w:val="left"/>
        </w:tabs>
        <w:numPr>
          <w:ilvl w:val="0"/>
          <w:numId w:val="31"/>
        </w:numPr>
        <w:rPr>
          <w:rFonts w:ascii="Arial" w:cs="Arial" w:eastAsia="Arial" w:hAnsi="Arial"/>
          <w:sz w:val="18"/>
          <w:szCs w:val="18"/>
          <w:color w:val="002554"/>
        </w:rPr>
      </w:pPr>
      <w:r>
        <w:rPr>
          <w:rFonts w:ascii="Arial" w:cs="Arial" w:eastAsia="Arial" w:hAnsi="Arial"/>
          <w:sz w:val="18"/>
          <w:szCs w:val="18"/>
          <w:i w:val="1"/>
          <w:iCs w:val="1"/>
          <w:color w:val="auto"/>
        </w:rPr>
        <w:t xml:space="preserve">Vote by Internet. Visit www.proxyvote.com to vote via the Internet. </w:t>
      </w:r>
      <w:r>
        <w:rPr>
          <w:rFonts w:ascii="Arial" w:cs="Arial" w:eastAsia="Arial" w:hAnsi="Arial"/>
          <w:sz w:val="18"/>
          <w:szCs w:val="18"/>
          <w:color w:val="auto"/>
        </w:rPr>
        <w:t>Stockholders of record may submit</w:t>
      </w:r>
      <w:r>
        <w:rPr>
          <w:rFonts w:ascii="Arial" w:cs="Arial" w:eastAsia="Arial" w:hAnsi="Arial"/>
          <w:sz w:val="18"/>
          <w:szCs w:val="18"/>
          <w:i w:val="1"/>
          <w:iCs w:val="1"/>
          <w:color w:val="auto"/>
        </w:rPr>
        <w:t xml:space="preserve"> </w:t>
      </w:r>
      <w:r>
        <w:rPr>
          <w:rFonts w:ascii="Arial" w:cs="Arial" w:eastAsia="Arial" w:hAnsi="Arial"/>
          <w:sz w:val="18"/>
          <w:szCs w:val="18"/>
          <w:color w:val="auto"/>
        </w:rPr>
        <w:t>proxies over the Internet by following the instructions on 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61" w:lineRule="exact"/>
        <w:rPr>
          <w:rFonts w:ascii="Arial" w:cs="Arial" w:eastAsia="Arial" w:hAnsi="Arial"/>
          <w:sz w:val="18"/>
          <w:szCs w:val="18"/>
          <w:color w:val="002554"/>
        </w:rPr>
      </w:pPr>
    </w:p>
    <w:p>
      <w:pPr>
        <w:ind w:left="1340" w:right="820" w:hanging="218"/>
        <w:spacing w:after="0" w:line="256" w:lineRule="auto"/>
        <w:tabs>
          <w:tab w:leader="none" w:pos="1340" w:val="left"/>
        </w:tabs>
        <w:numPr>
          <w:ilvl w:val="0"/>
          <w:numId w:val="31"/>
        </w:numPr>
        <w:rPr>
          <w:rFonts w:ascii="Arial" w:cs="Arial" w:eastAsia="Arial" w:hAnsi="Arial"/>
          <w:sz w:val="18"/>
          <w:szCs w:val="18"/>
          <w:color w:val="002554"/>
        </w:rPr>
      </w:pPr>
      <w:r>
        <w:rPr>
          <w:rFonts w:ascii="Arial" w:cs="Arial" w:eastAsia="Arial" w:hAnsi="Arial"/>
          <w:sz w:val="18"/>
          <w:szCs w:val="18"/>
          <w:i w:val="1"/>
          <w:iCs w:val="1"/>
          <w:color w:val="auto"/>
        </w:rPr>
        <w:t xml:space="preserve">Vote by Telephone. </w:t>
      </w:r>
      <w:r>
        <w:rPr>
          <w:rFonts w:ascii="Arial" w:cs="Arial" w:eastAsia="Arial" w:hAnsi="Arial"/>
          <w:sz w:val="18"/>
          <w:szCs w:val="18"/>
          <w:b w:val="1"/>
          <w:bCs w:val="1"/>
          <w:color w:val="auto"/>
        </w:rPr>
        <w:t>Call toll-free 1-800-690-6903 in the United States or from foreign countries from</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any touch-tone telephone and follow the instructions. </w:t>
      </w:r>
      <w:r>
        <w:rPr>
          <w:rFonts w:ascii="Arial" w:cs="Arial" w:eastAsia="Arial" w:hAnsi="Arial"/>
          <w:sz w:val="18"/>
          <w:szCs w:val="18"/>
          <w:color w:val="auto"/>
        </w:rPr>
        <w:t>Stockholders of record may submit proxies using</w:t>
      </w:r>
      <w:r>
        <w:rPr>
          <w:rFonts w:ascii="Arial" w:cs="Arial" w:eastAsia="Arial" w:hAnsi="Arial"/>
          <w:sz w:val="18"/>
          <w:szCs w:val="18"/>
          <w:b w:val="1"/>
          <w:bCs w:val="1"/>
          <w:color w:val="auto"/>
        </w:rPr>
        <w:t xml:space="preserve"> </w:t>
      </w:r>
      <w:r>
        <w:rPr>
          <w:rFonts w:ascii="Arial" w:cs="Arial" w:eastAsia="Arial" w:hAnsi="Arial"/>
          <w:sz w:val="18"/>
          <w:szCs w:val="18"/>
          <w:color w:val="auto"/>
        </w:rPr>
        <w:t>any touch-tone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touch-tone telephone from within the United States by calling the number specified on the voting instruction forms provided by their brokers, trustees, banks or other nominees.</w:t>
      </w:r>
    </w:p>
    <w:p>
      <w:pPr>
        <w:spacing w:after="0" w:line="65" w:lineRule="exact"/>
        <w:rPr>
          <w:rFonts w:ascii="Arial" w:cs="Arial" w:eastAsia="Arial" w:hAnsi="Arial"/>
          <w:sz w:val="18"/>
          <w:szCs w:val="18"/>
          <w:color w:val="002554"/>
        </w:rPr>
      </w:pPr>
    </w:p>
    <w:p>
      <w:pPr>
        <w:ind w:left="1340" w:right="780" w:hanging="218"/>
        <w:spacing w:after="0" w:line="254" w:lineRule="auto"/>
        <w:tabs>
          <w:tab w:leader="none" w:pos="1340" w:val="left"/>
        </w:tabs>
        <w:numPr>
          <w:ilvl w:val="0"/>
          <w:numId w:val="31"/>
        </w:numPr>
        <w:rPr>
          <w:rFonts w:ascii="Arial" w:cs="Arial" w:eastAsia="Arial" w:hAnsi="Arial"/>
          <w:sz w:val="18"/>
          <w:szCs w:val="18"/>
          <w:color w:val="002554"/>
        </w:rPr>
      </w:pPr>
      <w:r>
        <w:rPr>
          <w:rFonts w:ascii="Arial" w:cs="Arial" w:eastAsia="Arial" w:hAnsi="Arial"/>
          <w:sz w:val="18"/>
          <w:szCs w:val="18"/>
          <w:i w:val="1"/>
          <w:iCs w:val="1"/>
          <w:color w:val="auto"/>
        </w:rPr>
        <w:t xml:space="preserve">Vote by Mail. </w:t>
      </w:r>
      <w:r>
        <w:rPr>
          <w:rFonts w:ascii="Arial" w:cs="Arial" w:eastAsia="Arial" w:hAnsi="Arial"/>
          <w:sz w:val="18"/>
          <w:szCs w:val="18"/>
          <w:color w:val="auto"/>
        </w:rPr>
        <w:t>Stockholders of record may submit proxies by mail by requesting printed proxy cards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completing, signing and dating the printed proxy cards 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each proposal.</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How can I vote my shares in person and participate at the Annual Meeting?</w:t>
      </w:r>
    </w:p>
    <w:p>
      <w:pPr>
        <w:spacing w:after="0" w:line="139" w:lineRule="exact"/>
        <w:rPr>
          <w:sz w:val="20"/>
          <w:szCs w:val="20"/>
          <w:color w:val="auto"/>
        </w:rPr>
      </w:pPr>
    </w:p>
    <w:p>
      <w:pPr>
        <w:ind w:left="760" w:right="800"/>
        <w:spacing w:after="0" w:line="236" w:lineRule="auto"/>
        <w:rPr>
          <w:sz w:val="20"/>
          <w:szCs w:val="20"/>
          <w:color w:val="auto"/>
        </w:rPr>
      </w:pPr>
      <w:r>
        <w:rPr>
          <w:rFonts w:ascii="Arial" w:cs="Arial" w:eastAsia="Arial" w:hAnsi="Arial"/>
          <w:sz w:val="18"/>
          <w:szCs w:val="18"/>
          <w:color w:val="auto"/>
        </w:rPr>
        <w:t>Due to the ongoing public health impact of the coronavirus outbreak (COVID-19) and to support the health and well-being of our employees and stockholders, the Annual Meeting will be held in a virtual meeting format only. Stockholders may participate in the annual meeting by visiting the following website: www.virtualshareholdermeeting.com/VIRT2021. To participate in the Annual Meeting, you will need the 16-digit control number included on your Notice, on your proxy card or on the instructions that accompanied your proxy materials. Shares held in your name as the stockholder of record may be voted electronically during the Annual Meeting. Shares for which you are the beneficial owner but not the stockholder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Can I change my vote after submitting a proxy?</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Stockholders of record may revoke their proxy at any time before it is exercised at the Annual Meeting by</w:t>
      </w:r>
    </w:p>
    <w:p>
      <w:pPr>
        <w:ind w:left="760" w:right="1020" w:firstLine="2"/>
        <w:spacing w:after="0" w:line="248" w:lineRule="auto"/>
        <w:tabs>
          <w:tab w:leader="none" w:pos="9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delivering written notice, bearing a date later than the proxy, stating that the proxy is revoked to Virtu Financial, Inc., One Liberty Plaza, 165 Broadway, New York, New York 10006, Attn: Secretary, (ii) submitting a later-dated proxy relating to the same shares by mail, telephone or the Internet prior to the vote at the Annual Meeting or</w:t>
      </w:r>
    </w:p>
    <w:p>
      <w:pPr>
        <w:spacing w:after="0" w:line="1" w:lineRule="exact"/>
        <w:rPr>
          <w:rFonts w:ascii="Arial" w:cs="Arial" w:eastAsia="Arial" w:hAnsi="Arial"/>
          <w:sz w:val="17"/>
          <w:szCs w:val="17"/>
          <w:color w:val="auto"/>
        </w:rPr>
      </w:pPr>
    </w:p>
    <w:p>
      <w:pPr>
        <w:ind w:left="760" w:right="840" w:firstLine="2"/>
        <w:spacing w:after="0"/>
        <w:tabs>
          <w:tab w:leader="none" w:pos="10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attending the Annual Meeting and voting electronically during the Annual Meeting. If you are a beneficial stockholder, you may revoke your proxy or change your vote only by following the separate instructions provided by your broker, trust, bank or other nominee.</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If I hold shares in street name through a broker, can the broker vote my shares for me?</w:t>
      </w:r>
    </w:p>
    <w:p>
      <w:pPr>
        <w:spacing w:after="0" w:line="139" w:lineRule="exact"/>
        <w:rPr>
          <w:sz w:val="20"/>
          <w:szCs w:val="20"/>
          <w:color w:val="auto"/>
        </w:rPr>
      </w:pPr>
    </w:p>
    <w:p>
      <w:pPr>
        <w:ind w:left="760" w:right="800"/>
        <w:spacing w:after="0" w:line="238"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Proposals 1 and 2 are not considered “routine” proposals. Proposal 3 is a “routine” proposal. If you hold shares in street name and do not vote on proposal 1 or 2, your shares will not be voted in respect of those proposals and will be counted as “broker non-votes.”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 is paying for this proxy solicitation?</w:t>
      </w:r>
    </w:p>
    <w:p>
      <w:pPr>
        <w:spacing w:after="0" w:line="139" w:lineRule="exact"/>
        <w:rPr>
          <w:sz w:val="20"/>
          <w:szCs w:val="20"/>
          <w:color w:val="auto"/>
        </w:rPr>
      </w:pPr>
    </w:p>
    <w:p>
      <w:pPr>
        <w:ind w:left="760" w:right="940"/>
        <w:spacing w:after="0" w:line="274" w:lineRule="auto"/>
        <w:rPr>
          <w:sz w:val="20"/>
          <w:szCs w:val="20"/>
          <w:color w:val="auto"/>
        </w:rPr>
      </w:pPr>
      <w:r>
        <w:rPr>
          <w:rFonts w:ascii="Arial" w:cs="Arial" w:eastAsia="Arial" w:hAnsi="Arial"/>
          <w:sz w:val="17"/>
          <w:szCs w:val="17"/>
          <w:color w:val="auto"/>
        </w:rPr>
        <w:t>We are paying the costs of the solicitation of proxies, which we anticipate will be approximately $10,000. Members of our board of directors and officers and employees may solicit proxies by mail, telephone, fax, email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188595</wp:posOffset>
            </wp:positionV>
            <wp:extent cx="754380"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61</w:t>
            </w:r>
          </w:p>
        </w:tc>
      </w:tr>
      <w:tr>
        <w:trPr>
          <w:trHeight w:val="561"/>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left="760" w:right="80"/>
        <w:spacing w:after="0" w:line="278" w:lineRule="auto"/>
        <w:rPr>
          <w:sz w:val="20"/>
          <w:szCs w:val="20"/>
          <w:color w:val="auto"/>
        </w:rPr>
      </w:pPr>
      <w:r>
        <w:rPr>
          <w:rFonts w:ascii="Arial" w:cs="Arial" w:eastAsia="Arial" w:hAnsi="Arial"/>
          <w:sz w:val="17"/>
          <w:szCs w:val="17"/>
          <w:color w:val="auto"/>
        </w:rPr>
        <w:t>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What do I need to do if I want to attend the meeting?</w:t>
      </w:r>
    </w:p>
    <w:p>
      <w:pPr>
        <w:spacing w:after="0" w:line="139" w:lineRule="exact"/>
        <w:rPr>
          <w:sz w:val="20"/>
          <w:szCs w:val="20"/>
          <w:color w:val="auto"/>
        </w:rPr>
      </w:pPr>
    </w:p>
    <w:p>
      <w:pPr>
        <w:ind w:left="760" w:right="80"/>
        <w:spacing w:after="0" w:line="254" w:lineRule="auto"/>
        <w:rPr>
          <w:sz w:val="20"/>
          <w:szCs w:val="20"/>
          <w:color w:val="auto"/>
        </w:rPr>
      </w:pPr>
      <w:r>
        <w:rPr>
          <w:rFonts w:ascii="Arial" w:cs="Arial" w:eastAsia="Arial" w:hAnsi="Arial"/>
          <w:sz w:val="18"/>
          <w:szCs w:val="18"/>
          <w:color w:val="auto"/>
        </w:rPr>
        <w:t>To attend and vote at the virtual Annual Meeting, you will need your 16-digit control number, included in your Notice of Internet Availability, on your proxy card or on the instructions that accompany your proxy materials. You may electronically attend the Annual Meeting, vote and submit a question during the Annual Meeting by visiting www.virtualshareholdermeeting.com/VIRT2021 and using your 16-digit control number to enter the meeting.</w:t>
      </w:r>
    </w:p>
    <w:p>
      <w:pPr>
        <w:spacing w:after="0" w:line="96" w:lineRule="exact"/>
        <w:rPr>
          <w:sz w:val="20"/>
          <w:szCs w:val="20"/>
          <w:color w:val="auto"/>
        </w:rPr>
      </w:pPr>
    </w:p>
    <w:p>
      <w:pPr>
        <w:ind w:left="760" w:right="280"/>
        <w:spacing w:after="0" w:line="261"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call the technical support number that will be posted on the Virtual Shareholder Meeting log in page.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Where can I find voting results?</w:t>
      </w:r>
    </w:p>
    <w:p>
      <w:pPr>
        <w:spacing w:after="0" w:line="139" w:lineRule="exact"/>
        <w:rPr>
          <w:sz w:val="20"/>
          <w:szCs w:val="20"/>
          <w:color w:val="auto"/>
        </w:rPr>
      </w:pPr>
    </w:p>
    <w:p>
      <w:pPr>
        <w:ind w:left="760" w:right="120"/>
        <w:spacing w:after="0" w:line="261" w:lineRule="auto"/>
        <w:rPr>
          <w:sz w:val="20"/>
          <w:szCs w:val="20"/>
          <w:color w:val="auto"/>
        </w:rPr>
      </w:pPr>
      <w:r>
        <w:rPr>
          <w:rFonts w:ascii="Arial" w:cs="Arial" w:eastAsia="Arial" w:hAnsi="Arial"/>
          <w:sz w:val="18"/>
          <w:szCs w:val="18"/>
          <w:color w:val="auto"/>
        </w:rPr>
        <w:t>Final voting results from the Annual Meeting will be filed with the Securities and Exchange Commission (“SEC”) on a Current Report on Form 8-K on or before the fourth business day after the Annual Meeting concludes.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I share an address with another stockholder. Why did we receive only one set of Proxy Materials?</w:t>
      </w:r>
    </w:p>
    <w:p>
      <w:pPr>
        <w:spacing w:after="0" w:line="139" w:lineRule="exact"/>
        <w:rPr>
          <w:sz w:val="20"/>
          <w:szCs w:val="20"/>
          <w:color w:val="auto"/>
        </w:rPr>
      </w:pPr>
    </w:p>
    <w:p>
      <w:pPr>
        <w:ind w:left="760"/>
        <w:spacing w:after="0" w:line="251" w:lineRule="auto"/>
        <w:rPr>
          <w:sz w:val="20"/>
          <w:szCs w:val="20"/>
          <w:color w:val="auto"/>
        </w:rPr>
      </w:pPr>
      <w:r>
        <w:rPr>
          <w:rFonts w:ascii="Arial" w:cs="Arial" w:eastAsia="Arial" w:hAnsi="Arial"/>
          <w:sz w:val="18"/>
          <w:szCs w:val="18"/>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2020 and/or our Notice of Internet Availability of Proxy Materials, as requested, to a stockholder at a shared address to which a single copy of these documents was delivered, or to deliver a single copy in lieu of multiple copies to a single household if preferred. To make such a request, please follow the instructions on our Notice of Internet Availability of Proxy Materials.</w:t>
      </w:r>
    </w:p>
    <w:p>
      <w:pPr>
        <w:spacing w:after="0" w:line="103" w:lineRule="exact"/>
        <w:rPr>
          <w:sz w:val="20"/>
          <w:szCs w:val="20"/>
          <w:color w:val="auto"/>
        </w:rPr>
      </w:pPr>
    </w:p>
    <w:p>
      <w:pPr>
        <w:ind w:left="760" w:right="160"/>
        <w:spacing w:after="0" w:line="268" w:lineRule="auto"/>
        <w:rPr>
          <w:sz w:val="20"/>
          <w:szCs w:val="20"/>
          <w:color w:val="auto"/>
        </w:rPr>
      </w:pPr>
      <w:r>
        <w:rPr>
          <w:rFonts w:ascii="Arial" w:cs="Arial" w:eastAsia="Arial" w:hAnsi="Arial"/>
          <w:sz w:val="17"/>
          <w:szCs w:val="17"/>
          <w:color w:val="auto"/>
        </w:rPr>
        <w:t>If your shares are held by a brokerage firm or bank and you prefer to receive separate copies of our proxy statement, our annual report including our Form 10-K for the fiscal year ended December 31, 2020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who are receiving multiple copies of the Proxy Materials and/or our Notice of Internet Availability of Proxy Materials may request to receive a single copy of the Proxy Materials and/or our Notice of Internet Availability of Proxy Materials, either now or in the future, by contacting our Investor Relations department at our executive office by calling (212) 418-0100.</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May I ask questions at the Annual Meeting?</w:t>
      </w:r>
    </w:p>
    <w:p>
      <w:pPr>
        <w:spacing w:after="0" w:line="139" w:lineRule="exact"/>
        <w:rPr>
          <w:sz w:val="20"/>
          <w:szCs w:val="20"/>
          <w:color w:val="auto"/>
        </w:rPr>
      </w:pPr>
    </w:p>
    <w:p>
      <w:pPr>
        <w:ind w:left="760" w:right="280"/>
        <w:spacing w:after="0" w:line="253" w:lineRule="auto"/>
        <w:rPr>
          <w:sz w:val="20"/>
          <w:szCs w:val="20"/>
          <w:color w:val="auto"/>
        </w:rPr>
      </w:pPr>
      <w:r>
        <w:rPr>
          <w:rFonts w:ascii="Arial" w:cs="Arial" w:eastAsia="Arial" w:hAnsi="Arial"/>
          <w:sz w:val="18"/>
          <w:szCs w:val="18"/>
          <w:color w:val="auto"/>
        </w:rPr>
        <w:t>Yes. Stockholders will have the same opportunity to participate at the virtual Annual Meeting as they would at an annual meeting of the Company held in person. Stockholders may submit questions live during the meeting by accessing the meeting at www.virtualshareholdermeeting.com/VIRT2021, typing a question into the “Ask a Question” field, and clicking “Submit.” Only questions submitted by stockholders on subjects pertinent to meeting matters will be answered during the meeting, subject to time constraints.</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May guests attend the Annual Meeting?</w:t>
      </w:r>
    </w:p>
    <w:p>
      <w:pPr>
        <w:spacing w:after="0" w:line="139" w:lineRule="exact"/>
        <w:rPr>
          <w:sz w:val="20"/>
          <w:szCs w:val="20"/>
          <w:color w:val="auto"/>
        </w:rPr>
      </w:pPr>
    </w:p>
    <w:p>
      <w:pPr>
        <w:ind w:left="760" w:right="240"/>
        <w:spacing w:after="0" w:line="256" w:lineRule="auto"/>
        <w:rPr>
          <w:sz w:val="20"/>
          <w:szCs w:val="20"/>
          <w:color w:val="auto"/>
        </w:rPr>
      </w:pPr>
      <w:r>
        <w:rPr>
          <w:rFonts w:ascii="Arial" w:cs="Arial" w:eastAsia="Arial" w:hAnsi="Arial"/>
          <w:sz w:val="18"/>
          <w:szCs w:val="18"/>
          <w:color w:val="auto"/>
        </w:rPr>
        <w:t>Yes. A webcast of the Annual Meeting will also be available to the general public at the following link: www.virtualshareholdermeeting.com/VIRT2021. Select “Other Stockholders/Guests” to enter the meeting. Please note that guests will not have the ability to ask questions or vote during the meeting.</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C389"/>
        </w:rPr>
        <w:t>Whom should I contact if I have additional questions?</w:t>
      </w:r>
    </w:p>
    <w:p>
      <w:pPr>
        <w:spacing w:after="0" w:line="139"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You can contact our Investor Relations department at our executive office at (212) 418-0100.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0"/>
        <w:spacing w:after="0"/>
        <w:tabs>
          <w:tab w:leader="none" w:pos="6801"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754380" cy="24003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54380" cy="24003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347345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15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GENERAL INFORMATION</w:t>
      </w:r>
    </w:p>
    <w:p>
      <w:pPr>
        <w:spacing w:after="0" w:line="203" w:lineRule="exact"/>
        <w:rPr>
          <w:sz w:val="20"/>
          <w:szCs w:val="20"/>
          <w:color w:val="auto"/>
        </w:rPr>
      </w:pPr>
    </w:p>
    <w:p>
      <w:pPr>
        <w:ind w:left="760" w:right="800"/>
        <w:spacing w:after="0" w:line="257" w:lineRule="auto"/>
        <w:rPr>
          <w:sz w:val="20"/>
          <w:szCs w:val="20"/>
          <w:color w:val="auto"/>
        </w:rPr>
      </w:pPr>
      <w:r>
        <w:rPr>
          <w:rFonts w:ascii="Arial" w:cs="Arial" w:eastAsia="Arial" w:hAnsi="Arial"/>
          <w:sz w:val="18"/>
          <w:szCs w:val="18"/>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2020, including financial statements and schedules and amendments thereto filed with the SEC, are also available without charge to stockholders upon written request addressed to:</w:t>
      </w:r>
    </w:p>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Virtu Financial, Inc.</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Attn: Investor Relations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165 Broadway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6075680</wp:posOffset>
            </wp:positionV>
            <wp:extent cx="754380" cy="2400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5438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100"/>
              <w:spacing w:after="0"/>
              <w:rPr>
                <w:sz w:val="20"/>
                <w:szCs w:val="20"/>
                <w:color w:val="auto"/>
              </w:rPr>
            </w:pPr>
            <w:r>
              <w:rPr>
                <w:rFonts w:ascii="Arial" w:cs="Arial" w:eastAsia="Arial" w:hAnsi="Arial"/>
                <w:sz w:val="18"/>
                <w:szCs w:val="18"/>
                <w:color w:val="auto"/>
              </w:rPr>
              <w:t>2021 Proxy Statement</w:t>
            </w:r>
          </w:p>
        </w:tc>
        <w:tc>
          <w:tcPr>
            <w:tcW w:w="3920" w:type="dxa"/>
            <w:vAlign w:val="bottom"/>
          </w:tcPr>
          <w:p>
            <w:pPr>
              <w:jc w:val="right"/>
              <w:ind w:right="690"/>
              <w:spacing w:after="0"/>
              <w:rPr>
                <w:sz w:val="20"/>
                <w:szCs w:val="20"/>
                <w:color w:val="auto"/>
              </w:rPr>
            </w:pPr>
            <w:r>
              <w:rPr>
                <w:rFonts w:ascii="Arial" w:cs="Arial" w:eastAsia="Arial" w:hAnsi="Arial"/>
                <w:sz w:val="18"/>
                <w:szCs w:val="18"/>
                <w:color w:val="auto"/>
              </w:rPr>
              <w:t>63</w:t>
            </w:r>
          </w:p>
        </w:tc>
      </w:tr>
      <w:tr>
        <w:trPr>
          <w:trHeight w:val="574"/>
        </w:trPr>
        <w:tc>
          <w:tcPr>
            <w:tcW w:w="68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7888605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374650</wp:posOffset>
            </wp:positionV>
            <wp:extent cx="3771900" cy="11912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771900" cy="119126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4569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84569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88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838835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Roman"/>
      <w:start w:val="10"/>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4"/>
    </w:lvl>
  </w:abstractNum>
  <w:abstractNum w:abstractNumId="25">
    <w:nsid w:val="3A95F874"/>
    <w:multiLevelType w:val="hybridMultilevel"/>
    <w:lvl w:ilvl="0">
      <w:lvlJc w:val="left"/>
      <w:lvlText w:val="(%1)"/>
      <w:numFmt w:val="lowerLetter"/>
      <w:start w:val="4"/>
    </w:lvl>
  </w:abstractNum>
  <w:abstractNum w:abstractNumId="26">
    <w:nsid w:val="8138641"/>
    <w:multiLevelType w:val="hybridMultilevel"/>
    <w:lvl w:ilvl="0">
      <w:lvlJc w:val="left"/>
      <w:lvlText w:val="(%1)"/>
      <w:numFmt w:val="lowerRoman"/>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2021-04-23T15:29:44Z</dcterms:created>
  <dcterms:modified xsi:type="dcterms:W3CDTF">2021-04-23T15:29:44Z</dcterms:modified>
</cp:coreProperties>
</file>